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E9371" w14:textId="77777777" w:rsidR="00660651" w:rsidRPr="00F7663A" w:rsidRDefault="00660651" w:rsidP="00F7663A">
      <w:pPr>
        <w:spacing w:line="360" w:lineRule="auto"/>
        <w:jc w:val="both"/>
        <w:rPr>
          <w:rFonts w:ascii="Arial" w:hAnsi="Arial" w:cs="Arial"/>
          <w:bCs/>
        </w:rPr>
      </w:pPr>
      <w:r w:rsidRPr="00F7663A">
        <w:rPr>
          <w:rFonts w:ascii="Arial" w:hAnsi="Arial" w:cs="Arial"/>
          <w:bCs/>
        </w:rPr>
        <w:t>Curso Virtual</w:t>
      </w:r>
    </w:p>
    <w:p w14:paraId="46BB0C86" w14:textId="77777777" w:rsidR="00660651" w:rsidRPr="00F7663A" w:rsidRDefault="00660651" w:rsidP="00F7663A">
      <w:pPr>
        <w:spacing w:line="360" w:lineRule="auto"/>
        <w:jc w:val="both"/>
        <w:rPr>
          <w:rFonts w:ascii="Arial" w:hAnsi="Arial" w:cs="Arial"/>
          <w:bCs/>
          <w:iCs/>
          <w:color w:val="000000" w:themeColor="text1"/>
        </w:rPr>
      </w:pPr>
      <w:r w:rsidRPr="00F7663A">
        <w:rPr>
          <w:rFonts w:ascii="Arial" w:hAnsi="Arial" w:cs="Arial"/>
          <w:color w:val="000000" w:themeColor="text1"/>
        </w:rPr>
        <w:t>Curso de conceptos básicos de la estrategia de eliminación de la malaria</w:t>
      </w:r>
    </w:p>
    <w:p w14:paraId="10DC4C8C" w14:textId="28672A1D" w:rsidR="00660651" w:rsidRPr="00F7663A" w:rsidRDefault="00660651" w:rsidP="00F7663A">
      <w:pPr>
        <w:spacing w:line="360" w:lineRule="auto"/>
        <w:jc w:val="both"/>
        <w:rPr>
          <w:rFonts w:ascii="Arial" w:hAnsi="Arial" w:cs="Arial"/>
          <w:iCs/>
          <w:color w:val="000000" w:themeColor="text1"/>
        </w:rPr>
      </w:pPr>
      <w:r w:rsidRPr="00F7663A">
        <w:rPr>
          <w:rFonts w:ascii="Arial" w:hAnsi="Arial" w:cs="Arial"/>
          <w:bCs/>
          <w:iCs/>
          <w:color w:val="000000" w:themeColor="text1"/>
        </w:rPr>
        <w:t xml:space="preserve">Módulo </w:t>
      </w:r>
      <w:r w:rsidR="00F7663A" w:rsidRPr="00F7663A">
        <w:rPr>
          <w:rFonts w:ascii="Arial" w:hAnsi="Arial" w:cs="Arial"/>
          <w:bCs/>
          <w:iCs/>
          <w:color w:val="000000" w:themeColor="text1"/>
        </w:rPr>
        <w:t>1</w:t>
      </w:r>
      <w:r w:rsidRPr="00F7663A">
        <w:rPr>
          <w:rFonts w:ascii="Arial" w:hAnsi="Arial" w:cs="Arial"/>
          <w:bCs/>
          <w:iCs/>
          <w:color w:val="000000" w:themeColor="text1"/>
        </w:rPr>
        <w:t xml:space="preserve"> </w:t>
      </w:r>
      <w:r w:rsidR="00F7663A" w:rsidRPr="00F7663A">
        <w:rPr>
          <w:rFonts w:ascii="Arial" w:hAnsi="Arial" w:cs="Arial"/>
          <w:iCs/>
          <w:color w:val="000000" w:themeColor="text1"/>
        </w:rPr>
        <w:t xml:space="preserve">Introducción a la malaria </w:t>
      </w:r>
      <w:r w:rsidRPr="00F7663A">
        <w:rPr>
          <w:rFonts w:ascii="Arial" w:hAnsi="Arial" w:cs="Arial"/>
          <w:iCs/>
          <w:color w:val="000000" w:themeColor="text1"/>
        </w:rPr>
        <w:t xml:space="preserve"> </w:t>
      </w:r>
    </w:p>
    <w:p w14:paraId="6025DAE3" w14:textId="59445161" w:rsidR="00F7663A" w:rsidRDefault="00660651" w:rsidP="00F7663A">
      <w:pPr>
        <w:spacing w:line="360" w:lineRule="auto"/>
        <w:rPr>
          <w:rFonts w:ascii="Arial" w:hAnsi="Arial" w:cs="Arial"/>
          <w:color w:val="000000"/>
        </w:rPr>
      </w:pPr>
      <w:r w:rsidRPr="00F7663A">
        <w:rPr>
          <w:rFonts w:ascii="Arial" w:hAnsi="Arial" w:cs="Arial"/>
          <w:bCs/>
        </w:rPr>
        <w:t xml:space="preserve">Resultado de aprendizaje: </w:t>
      </w:r>
      <w:r w:rsidR="00F7663A" w:rsidRPr="00F7663A">
        <w:rPr>
          <w:rFonts w:ascii="Arial" w:hAnsi="Arial" w:cs="Arial"/>
          <w:color w:val="000000"/>
        </w:rPr>
        <w:t>Apropiar los aspectos generales de la malaria en Colombia de acuerdo con los lineamientos y el plan estratégico nacional vigentes.</w:t>
      </w:r>
    </w:p>
    <w:p w14:paraId="2CF2ECB4" w14:textId="635C3496" w:rsidR="00514FC5" w:rsidRPr="00F7663A" w:rsidRDefault="00514FC5" w:rsidP="00F7663A">
      <w:pPr>
        <w:spacing w:line="360" w:lineRule="auto"/>
        <w:rPr>
          <w:rFonts w:ascii="Arial" w:hAnsi="Arial" w:cs="Arial"/>
          <w:smallCaps/>
          <w:color w:val="000000"/>
        </w:rPr>
      </w:pPr>
      <w:r>
        <w:rPr>
          <w:rFonts w:ascii="Arial" w:hAnsi="Arial" w:cs="Arial"/>
          <w:color w:val="000000"/>
        </w:rPr>
        <w:t>El modulo 1 esta constituido por dos actividades interactivas como parte del ejercicio de parendizaje; es importante aclarar que no son calificables.</w:t>
      </w:r>
    </w:p>
    <w:p w14:paraId="09776B5A" w14:textId="421C1EDC" w:rsidR="00F74095" w:rsidRPr="00514FC5" w:rsidRDefault="00F74095" w:rsidP="00F7663A">
      <w:pPr>
        <w:spacing w:line="360" w:lineRule="auto"/>
        <w:jc w:val="both"/>
        <w:rPr>
          <w:rFonts w:ascii="Arial" w:hAnsi="Arial" w:cs="Arial"/>
          <w:b/>
          <w:bCs/>
        </w:rPr>
      </w:pPr>
      <w:r w:rsidRPr="00514FC5">
        <w:rPr>
          <w:rFonts w:ascii="Arial" w:hAnsi="Arial" w:cs="Arial"/>
          <w:b/>
          <w:bCs/>
        </w:rPr>
        <w:t>Actividad</w:t>
      </w:r>
      <w:r w:rsidR="00514FC5" w:rsidRPr="00514FC5">
        <w:rPr>
          <w:rFonts w:ascii="Arial" w:hAnsi="Arial" w:cs="Arial"/>
          <w:b/>
          <w:bCs/>
        </w:rPr>
        <w:t xml:space="preserve"> 1: </w:t>
      </w:r>
      <w:r w:rsidRPr="00514FC5">
        <w:rPr>
          <w:rFonts w:ascii="Arial" w:hAnsi="Arial" w:cs="Arial"/>
          <w:b/>
          <w:bCs/>
        </w:rPr>
        <w:t xml:space="preserve"> sopa de letras.</w:t>
      </w:r>
    </w:p>
    <w:p w14:paraId="455E0DAC" w14:textId="69D0E475" w:rsidR="00E45386" w:rsidRPr="00F7663A" w:rsidRDefault="00062D25" w:rsidP="00F7663A">
      <w:pPr>
        <w:spacing w:line="360" w:lineRule="auto"/>
        <w:jc w:val="both"/>
        <w:rPr>
          <w:rFonts w:ascii="Arial" w:hAnsi="Arial" w:cs="Arial"/>
        </w:rPr>
      </w:pPr>
      <w:r w:rsidRPr="00F7663A">
        <w:rPr>
          <w:rFonts w:ascii="Arial" w:hAnsi="Arial" w:cs="Arial"/>
        </w:rPr>
        <w:t xml:space="preserve">Objetivo: Identificar </w:t>
      </w:r>
      <w:r w:rsidR="00E21D8C" w:rsidRPr="00F7663A">
        <w:rPr>
          <w:rFonts w:ascii="Arial" w:hAnsi="Arial" w:cs="Arial"/>
        </w:rPr>
        <w:t xml:space="preserve">10 palabras escondidas entre el conjunto de letras relativas a la </w:t>
      </w:r>
      <w:r w:rsidR="00F7663A" w:rsidRPr="00F7663A">
        <w:rPr>
          <w:rFonts w:ascii="Arial" w:hAnsi="Arial" w:cs="Arial"/>
        </w:rPr>
        <w:t xml:space="preserve">introducción a la </w:t>
      </w:r>
      <w:r w:rsidR="00E21D8C" w:rsidRPr="00F7663A">
        <w:rPr>
          <w:rFonts w:ascii="Arial" w:hAnsi="Arial" w:cs="Arial"/>
        </w:rPr>
        <w:t xml:space="preserve"> malaria</w:t>
      </w:r>
      <w:r w:rsidRPr="00F7663A">
        <w:rPr>
          <w:rFonts w:ascii="Arial" w:hAnsi="Arial" w:cs="Arial"/>
        </w:rPr>
        <w:t xml:space="preserve"> para profundizar los conceptos adquiridos</w:t>
      </w:r>
      <w:r w:rsidR="00E45386" w:rsidRPr="00F7663A">
        <w:rPr>
          <w:rFonts w:ascii="Arial" w:hAnsi="Arial" w:cs="Arial"/>
        </w:rPr>
        <w:t>:</w:t>
      </w:r>
    </w:p>
    <w:p w14:paraId="443F5F3E" w14:textId="77777777" w:rsidR="00406D7D" w:rsidRPr="00F7663A" w:rsidRDefault="00406D7D" w:rsidP="00F7663A">
      <w:pPr>
        <w:spacing w:line="360" w:lineRule="auto"/>
        <w:jc w:val="both"/>
        <w:rPr>
          <w:rFonts w:ascii="Arial" w:hAnsi="Arial" w:cs="Arial"/>
        </w:rPr>
      </w:pPr>
    </w:p>
    <w:p w14:paraId="4AE7B89D" w14:textId="425947C9" w:rsidR="00F7663A" w:rsidRPr="00F7663A" w:rsidRDefault="00F7663A" w:rsidP="00F7663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7663A">
        <w:rPr>
          <w:rFonts w:ascii="Arial" w:hAnsi="Arial" w:cs="Arial"/>
        </w:rPr>
        <w:t>Hembra infectada.</w:t>
      </w:r>
    </w:p>
    <w:p w14:paraId="4CA0C026" w14:textId="476E2B6C" w:rsidR="00E45386" w:rsidRPr="00F7663A" w:rsidRDefault="00F7663A" w:rsidP="00F7663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7663A">
        <w:rPr>
          <w:rFonts w:ascii="Arial" w:hAnsi="Arial" w:cs="Arial"/>
        </w:rPr>
        <w:t xml:space="preserve">Género </w:t>
      </w:r>
      <w:r w:rsidRPr="00F7663A">
        <w:rPr>
          <w:rFonts w:ascii="Arial" w:hAnsi="Arial" w:cs="Arial"/>
          <w:i/>
          <w:iCs/>
        </w:rPr>
        <w:t>anophelino</w:t>
      </w:r>
    </w:p>
    <w:p w14:paraId="7182F140" w14:textId="38F34846" w:rsidR="00F7663A" w:rsidRPr="00F7663A" w:rsidRDefault="00F7663A" w:rsidP="00F7663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7663A">
        <w:rPr>
          <w:rFonts w:ascii="Arial" w:hAnsi="Arial" w:cs="Arial"/>
        </w:rPr>
        <w:t xml:space="preserve">Dolor de Cabeza </w:t>
      </w:r>
    </w:p>
    <w:p w14:paraId="68287F57" w14:textId="73EE4819" w:rsidR="00F7663A" w:rsidRPr="00F7663A" w:rsidRDefault="00F7663A" w:rsidP="00F7663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7663A">
        <w:rPr>
          <w:rFonts w:ascii="Arial" w:hAnsi="Arial" w:cs="Arial"/>
        </w:rPr>
        <w:t xml:space="preserve">Dolor del cuerpo </w:t>
      </w:r>
    </w:p>
    <w:p w14:paraId="1750DCA6" w14:textId="6B2BBD23" w:rsidR="00F7663A" w:rsidRPr="00F7663A" w:rsidRDefault="00F7663A" w:rsidP="00F7663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7663A">
        <w:rPr>
          <w:rFonts w:ascii="Arial" w:hAnsi="Arial" w:cs="Arial"/>
        </w:rPr>
        <w:t>Tratamiento completo.</w:t>
      </w:r>
    </w:p>
    <w:p w14:paraId="0803E48D" w14:textId="35AF0C1D" w:rsidR="00F7663A" w:rsidRPr="00F7663A" w:rsidRDefault="00F7663A" w:rsidP="00F7663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7663A">
        <w:rPr>
          <w:rFonts w:ascii="Arial" w:hAnsi="Arial" w:cs="Arial"/>
        </w:rPr>
        <w:t xml:space="preserve">Primaquina </w:t>
      </w:r>
    </w:p>
    <w:p w14:paraId="177082C3" w14:textId="5B6C5723" w:rsidR="00F7663A" w:rsidRPr="00F7663A" w:rsidRDefault="00F7663A" w:rsidP="00F7663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7663A">
        <w:rPr>
          <w:rFonts w:ascii="Arial" w:hAnsi="Arial" w:cs="Arial"/>
        </w:rPr>
        <w:t xml:space="preserve">Cloroquina </w:t>
      </w:r>
    </w:p>
    <w:p w14:paraId="7F268120" w14:textId="7311D2CB" w:rsidR="00F7663A" w:rsidRPr="00F7663A" w:rsidRDefault="00514FC5" w:rsidP="00F7663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F7663A">
        <w:rPr>
          <w:rFonts w:ascii="Arial" w:hAnsi="Arial" w:cs="Arial"/>
        </w:rPr>
        <w:t xml:space="preserve">ontrol vectorial </w:t>
      </w:r>
    </w:p>
    <w:p w14:paraId="6657BD11" w14:textId="68BF5B28" w:rsidR="00F7663A" w:rsidRPr="00F7663A" w:rsidRDefault="00F7663A" w:rsidP="00F7663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7663A">
        <w:rPr>
          <w:rFonts w:ascii="Arial" w:hAnsi="Arial" w:cs="Arial"/>
        </w:rPr>
        <w:t xml:space="preserve">Detección de la infección </w:t>
      </w:r>
    </w:p>
    <w:p w14:paraId="1018EFC4" w14:textId="4EBBABC6" w:rsidR="00F7663A" w:rsidRDefault="00F7663A" w:rsidP="00F7663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7663A">
        <w:rPr>
          <w:rFonts w:ascii="Arial" w:hAnsi="Arial" w:cs="Arial"/>
        </w:rPr>
        <w:t xml:space="preserve">Oportuno </w:t>
      </w:r>
    </w:p>
    <w:p w14:paraId="10B99FC0" w14:textId="72054F06" w:rsidR="00F7663A" w:rsidRDefault="00F7663A" w:rsidP="00F7663A">
      <w:pPr>
        <w:spacing w:line="360" w:lineRule="auto"/>
        <w:jc w:val="both"/>
        <w:rPr>
          <w:rFonts w:ascii="Arial" w:hAnsi="Arial" w:cs="Arial"/>
        </w:rPr>
      </w:pPr>
    </w:p>
    <w:p w14:paraId="50B58AEC" w14:textId="5F9F4F62" w:rsidR="00F7663A" w:rsidRDefault="00F7663A" w:rsidP="00F7663A">
      <w:pPr>
        <w:spacing w:line="360" w:lineRule="auto"/>
        <w:jc w:val="both"/>
        <w:rPr>
          <w:rFonts w:ascii="Arial" w:hAnsi="Arial" w:cs="Arial"/>
        </w:rPr>
      </w:pPr>
    </w:p>
    <w:p w14:paraId="7DB53FA9" w14:textId="2D58272A" w:rsidR="00F7663A" w:rsidRDefault="00F7663A" w:rsidP="00F7663A">
      <w:pPr>
        <w:spacing w:line="360" w:lineRule="auto"/>
        <w:jc w:val="both"/>
        <w:rPr>
          <w:rFonts w:ascii="Arial" w:hAnsi="Arial" w:cs="Arial"/>
        </w:rPr>
      </w:pPr>
    </w:p>
    <w:p w14:paraId="29E337F9" w14:textId="0CE70A66" w:rsidR="00F7663A" w:rsidRDefault="00F7663A" w:rsidP="00F7663A">
      <w:pPr>
        <w:spacing w:line="360" w:lineRule="auto"/>
        <w:jc w:val="both"/>
        <w:rPr>
          <w:rFonts w:ascii="Arial" w:hAnsi="Arial" w:cs="Arial"/>
        </w:rPr>
      </w:pPr>
    </w:p>
    <w:p w14:paraId="1686B4B6" w14:textId="48CF72CC" w:rsidR="00F7663A" w:rsidRDefault="00F7663A" w:rsidP="00F7663A">
      <w:pPr>
        <w:spacing w:line="360" w:lineRule="auto"/>
        <w:jc w:val="both"/>
        <w:rPr>
          <w:rFonts w:ascii="Arial" w:hAnsi="Arial" w:cs="Arial"/>
        </w:rPr>
      </w:pPr>
    </w:p>
    <w:p w14:paraId="4C6D313F" w14:textId="140717CE" w:rsidR="00F7663A" w:rsidRDefault="00F7663A" w:rsidP="00F7663A">
      <w:pPr>
        <w:spacing w:line="360" w:lineRule="auto"/>
        <w:jc w:val="both"/>
        <w:rPr>
          <w:rFonts w:ascii="Arial" w:hAnsi="Arial" w:cs="Arial"/>
        </w:rPr>
      </w:pPr>
    </w:p>
    <w:p w14:paraId="6F28EC1C" w14:textId="77777777" w:rsidR="00F7663A" w:rsidRPr="00F7663A" w:rsidRDefault="00F7663A" w:rsidP="00F7663A">
      <w:pPr>
        <w:spacing w:line="360" w:lineRule="auto"/>
        <w:jc w:val="both"/>
        <w:rPr>
          <w:rFonts w:ascii="Arial" w:hAnsi="Arial" w:cs="Arial"/>
        </w:rPr>
      </w:pPr>
    </w:p>
    <w:p w14:paraId="5977768A" w14:textId="570B6AC4" w:rsidR="00514FC5" w:rsidRDefault="00514FC5" w:rsidP="00514FC5">
      <w:pPr>
        <w:tabs>
          <w:tab w:val="left" w:pos="426"/>
        </w:tabs>
        <w:spacing w:after="0" w:line="240" w:lineRule="auto"/>
        <w:ind w:right="512"/>
        <w:jc w:val="both"/>
        <w:rPr>
          <w:rFonts w:ascii="Arial" w:hAnsi="Arial" w:cs="Arial"/>
        </w:rPr>
      </w:pPr>
      <w:r w:rsidRPr="00514FC5">
        <w:rPr>
          <w:rFonts w:ascii="Arial" w:hAnsi="Arial" w:cs="Arial"/>
          <w:b/>
          <w:bCs/>
        </w:rPr>
        <w:t>Actividad 2.</w:t>
      </w:r>
      <w:r w:rsidRPr="00F7663A">
        <w:rPr>
          <w:rFonts w:ascii="Arial" w:hAnsi="Arial" w:cs="Arial"/>
        </w:rPr>
        <w:t xml:space="preserve"> Relacione la columna 1 con la columna 2 según corresponda el concepto indicado. </w:t>
      </w:r>
    </w:p>
    <w:p w14:paraId="6C0BCADA" w14:textId="77777777" w:rsidR="00514FC5" w:rsidRPr="00F7663A" w:rsidRDefault="00514FC5" w:rsidP="00514FC5">
      <w:pPr>
        <w:tabs>
          <w:tab w:val="left" w:pos="426"/>
        </w:tabs>
        <w:spacing w:after="0" w:line="240" w:lineRule="auto"/>
        <w:ind w:right="512"/>
        <w:jc w:val="both"/>
        <w:rPr>
          <w:rFonts w:ascii="Arial" w:hAnsi="Arial" w:cs="Arial"/>
        </w:rPr>
      </w:pPr>
    </w:p>
    <w:p w14:paraId="0E745297" w14:textId="152BCCC6" w:rsidR="00F7663A" w:rsidRDefault="00514FC5" w:rsidP="009200B3">
      <w:pPr>
        <w:spacing w:line="360" w:lineRule="auto"/>
        <w:jc w:val="both"/>
        <w:rPr>
          <w:rFonts w:ascii="Arial" w:hAnsi="Arial" w:cs="Arial"/>
        </w:rPr>
      </w:pPr>
      <w:r w:rsidRPr="00F7663A">
        <w:rPr>
          <w:rFonts w:ascii="Arial" w:hAnsi="Arial" w:cs="Arial"/>
        </w:rPr>
        <w:t xml:space="preserve">Objetivo: </w:t>
      </w:r>
      <w:r>
        <w:rPr>
          <w:rFonts w:ascii="Arial" w:hAnsi="Arial" w:cs="Arial"/>
        </w:rPr>
        <w:t>Relacionar lo conceptos básicos del modulo 1 de tal manera que contribuyan en su proceso de aprendizaje.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1"/>
        <w:gridCol w:w="708"/>
        <w:gridCol w:w="6194"/>
      </w:tblGrid>
      <w:tr w:rsidR="00F7663A" w:rsidRPr="009200B3" w14:paraId="00318728" w14:textId="77777777" w:rsidTr="00C14C3F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D9F8" w14:textId="4A7E05D6" w:rsidR="00F7663A" w:rsidRPr="009200B3" w:rsidRDefault="00047E11" w:rsidP="00D0026C">
            <w:pPr>
              <w:spacing w:after="0" w:line="240" w:lineRule="auto"/>
              <w:ind w:left="-3" w:right="4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B3">
              <w:rPr>
                <w:rFonts w:ascii="Arial" w:hAnsi="Arial" w:cs="Arial"/>
                <w:sz w:val="20"/>
                <w:szCs w:val="20"/>
              </w:rPr>
              <w:t>E</w:t>
            </w:r>
            <w:r w:rsidR="003B4105" w:rsidRPr="009200B3">
              <w:rPr>
                <w:rFonts w:ascii="Arial" w:hAnsi="Arial" w:cs="Arial"/>
                <w:sz w:val="20"/>
                <w:szCs w:val="20"/>
              </w:rPr>
              <w:t>strategia DDTI-R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E153" w14:textId="2092BF3B" w:rsidR="00F7663A" w:rsidRPr="009200B3" w:rsidRDefault="00D0026C" w:rsidP="00C14C3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0B3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0C15" w14:textId="31EC617A" w:rsidR="00F7663A" w:rsidRPr="009200B3" w:rsidRDefault="00D0026C" w:rsidP="00C14C3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right="4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218" w:rsidRPr="009200B3">
              <w:rPr>
                <w:rFonts w:ascii="Arial" w:hAnsi="Arial" w:cs="Arial"/>
                <w:sz w:val="20"/>
                <w:szCs w:val="20"/>
              </w:rPr>
              <w:t>E</w:t>
            </w:r>
            <w:r w:rsidRPr="009200B3">
              <w:rPr>
                <w:rFonts w:ascii="Arial" w:hAnsi="Arial" w:cs="Arial"/>
                <w:sz w:val="20"/>
                <w:szCs w:val="20"/>
              </w:rPr>
              <w:t>staciones climáticas  </w:t>
            </w:r>
            <w:r w:rsidR="00514FC5" w:rsidRPr="009200B3">
              <w:rPr>
                <w:rFonts w:ascii="Arial" w:hAnsi="Arial" w:cs="Arial"/>
                <w:sz w:val="20"/>
                <w:szCs w:val="20"/>
              </w:rPr>
              <w:t>r</w:t>
            </w:r>
            <w:r w:rsidRPr="009200B3">
              <w:rPr>
                <w:rFonts w:ascii="Arial" w:hAnsi="Arial" w:cs="Arial"/>
                <w:sz w:val="20"/>
                <w:szCs w:val="20"/>
              </w:rPr>
              <w:t>íos y quebradas </w:t>
            </w:r>
          </w:p>
        </w:tc>
      </w:tr>
      <w:tr w:rsidR="00F7663A" w:rsidRPr="009200B3" w14:paraId="02F4CA16" w14:textId="77777777" w:rsidTr="00C14C3F">
        <w:trPr>
          <w:trHeight w:val="102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B106" w14:textId="03C84348" w:rsidR="00F7663A" w:rsidRPr="009200B3" w:rsidRDefault="00514FC5" w:rsidP="00D0026C">
            <w:pPr>
              <w:spacing w:after="0" w:line="240" w:lineRule="auto"/>
              <w:ind w:left="-3" w:right="4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B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Toldillos tratados</w:t>
            </w:r>
            <w:r w:rsidR="00D0026C" w:rsidRPr="009200B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con Insecticidas de Larga Duración (TILD)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DC18" w14:textId="793D281C" w:rsidR="00F7663A" w:rsidRPr="009200B3" w:rsidRDefault="00D0026C" w:rsidP="00C14C3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0B3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E765" w14:textId="5FA2E09B" w:rsidR="00F7663A" w:rsidRPr="009200B3" w:rsidRDefault="00D0026C" w:rsidP="00C14C3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B3">
              <w:rPr>
                <w:rFonts w:ascii="Arial" w:hAnsi="Arial" w:cs="Arial"/>
                <w:sz w:val="20"/>
                <w:szCs w:val="20"/>
              </w:rPr>
              <w:t>Hembras adultas pertenecientes al género Anopheles que al alimentarse de la sangre de la persona enferma y después de un tiempo,  transmite el parásito cuando se alimenta de sangre a otro humano a través de la picadura.</w:t>
            </w:r>
          </w:p>
        </w:tc>
      </w:tr>
      <w:tr w:rsidR="00F7663A" w:rsidRPr="009200B3" w14:paraId="5EF48909" w14:textId="77777777" w:rsidTr="00C14C3F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70E8" w14:textId="1DFBEBA7" w:rsidR="00F7663A" w:rsidRPr="009200B3" w:rsidRDefault="00D0026C" w:rsidP="00D0026C">
            <w:pPr>
              <w:spacing w:after="0" w:line="240" w:lineRule="auto"/>
              <w:ind w:right="4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B3">
              <w:rPr>
                <w:rFonts w:ascii="Arial" w:hAnsi="Arial" w:cs="Arial"/>
                <w:sz w:val="20"/>
                <w:szCs w:val="20"/>
              </w:rPr>
              <w:t xml:space="preserve">Criaderos estacionales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2FA1" w14:textId="283E5DD9" w:rsidR="00F7663A" w:rsidRPr="009200B3" w:rsidRDefault="009C2E2D" w:rsidP="00C14C3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0B3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F890" w14:textId="1739C134" w:rsidR="00F7663A" w:rsidRPr="009200B3" w:rsidRDefault="009C2E2D" w:rsidP="00C14C3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B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Enfermedad infecciosa, que se transmite mediante la picadura de la hembra del mosquito Anopheles infectada por el parásito</w:t>
            </w:r>
          </w:p>
        </w:tc>
      </w:tr>
      <w:tr w:rsidR="00F7663A" w:rsidRPr="009200B3" w14:paraId="45D9C125" w14:textId="77777777" w:rsidTr="00C14C3F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1A08" w14:textId="2E5598DC" w:rsidR="009C2E2D" w:rsidRPr="009200B3" w:rsidRDefault="009C2E2D" w:rsidP="009C2E2D">
            <w:pPr>
              <w:spacing w:after="0" w:line="240" w:lineRule="auto"/>
              <w:ind w:left="-3" w:right="4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B3">
              <w:rPr>
                <w:rFonts w:ascii="Arial" w:hAnsi="Arial" w:cs="Arial"/>
                <w:sz w:val="20"/>
                <w:szCs w:val="20"/>
                <w:lang w:val="es-ES_tradnl"/>
              </w:rPr>
              <w:t>Las Pruebas de Diagnóstico Rápido (PDR).</w:t>
            </w:r>
          </w:p>
          <w:p w14:paraId="663A02D2" w14:textId="4977D298" w:rsidR="00F7663A" w:rsidRPr="009200B3" w:rsidRDefault="00F7663A" w:rsidP="00D0026C">
            <w:pPr>
              <w:spacing w:after="0" w:line="240" w:lineRule="auto"/>
              <w:ind w:left="-3" w:right="4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2959" w14:textId="1DAD8372" w:rsidR="00F7663A" w:rsidRPr="009200B3" w:rsidRDefault="009C2E2D" w:rsidP="00C14C3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0B3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2D3A" w14:textId="34CD86BC" w:rsidR="00F7663A" w:rsidRPr="009200B3" w:rsidRDefault="00C14C3F" w:rsidP="00C14C3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B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Tiempo desde  que el zancudo infectado pica a una persona sana hasta el momento en que se manifiesta la enfermedad </w:t>
            </w:r>
          </w:p>
        </w:tc>
      </w:tr>
      <w:tr w:rsidR="00F7663A" w:rsidRPr="009200B3" w14:paraId="6377CB1F" w14:textId="77777777" w:rsidTr="00C14C3F">
        <w:trPr>
          <w:trHeight w:val="767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6F53" w14:textId="64990D69" w:rsidR="00F7663A" w:rsidRPr="009200B3" w:rsidRDefault="00C14C3F" w:rsidP="00D0026C">
            <w:pPr>
              <w:spacing w:after="0" w:line="240" w:lineRule="auto"/>
              <w:ind w:left="-3" w:right="4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B3">
              <w:rPr>
                <w:rFonts w:ascii="Arial" w:hAnsi="Arial" w:cs="Arial"/>
                <w:sz w:val="20"/>
                <w:szCs w:val="20"/>
              </w:rPr>
              <w:t xml:space="preserve">Tiempos claves para el diagnóstico y tratamiento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968C" w14:textId="6B1159B3" w:rsidR="00F7663A" w:rsidRPr="009200B3" w:rsidRDefault="00C14C3F" w:rsidP="00C14C3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0B3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5911" w14:textId="7E015BCD" w:rsidR="00F7663A" w:rsidRPr="009200B3" w:rsidRDefault="00D0026C" w:rsidP="00C14C3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B3">
              <w:rPr>
                <w:rFonts w:ascii="Arial" w:hAnsi="Arial" w:cs="Arial"/>
                <w:sz w:val="20"/>
                <w:szCs w:val="20"/>
              </w:rPr>
              <w:t xml:space="preserve">Confiere protección individual porque protege a los usuarios de la picadura del zancudo y al mismo tiempo se convierte en una medida preventiva porque protege a otros usuarios que no duermen bajo un </w:t>
            </w:r>
            <w:r w:rsidR="009200B3" w:rsidRPr="009200B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toldillos</w:t>
            </w:r>
            <w:r w:rsidR="00514FC5" w:rsidRPr="009200B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 tratados con Insecticidas de Larga Duración</w:t>
            </w:r>
            <w:r w:rsidRPr="009200B3">
              <w:rPr>
                <w:rFonts w:ascii="Arial" w:hAnsi="Arial" w:cs="Arial"/>
                <w:sz w:val="20"/>
                <w:szCs w:val="20"/>
              </w:rPr>
              <w:t xml:space="preserve"> debido al efecto repelente</w:t>
            </w:r>
            <w:r w:rsidR="00514FC5" w:rsidRPr="009200B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03C3B6" w14:textId="77777777" w:rsidR="00F7663A" w:rsidRPr="009200B3" w:rsidRDefault="00F7663A" w:rsidP="00DE02A0">
            <w:pPr>
              <w:pStyle w:val="Prrafodelista"/>
              <w:spacing w:after="0" w:line="240" w:lineRule="auto"/>
              <w:ind w:left="459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63A" w:rsidRPr="009200B3" w14:paraId="453558DB" w14:textId="77777777" w:rsidTr="00C14C3F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5A25" w14:textId="3AD61C70" w:rsidR="00D0026C" w:rsidRPr="009200B3" w:rsidRDefault="00D0026C" w:rsidP="00D0026C">
            <w:pPr>
              <w:spacing w:after="0" w:line="240" w:lineRule="auto"/>
              <w:ind w:left="-3" w:right="4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B3">
              <w:rPr>
                <w:rFonts w:ascii="Arial" w:hAnsi="Arial" w:cs="Arial"/>
                <w:sz w:val="20"/>
                <w:szCs w:val="20"/>
              </w:rPr>
              <w:t>Son consideradas por la OMS como intervenciones básicas para la prevención y control de la malaria.</w:t>
            </w:r>
          </w:p>
          <w:p w14:paraId="05B85256" w14:textId="50D9DBA6" w:rsidR="00F7663A" w:rsidRPr="009200B3" w:rsidRDefault="00F7663A" w:rsidP="00D0026C">
            <w:pPr>
              <w:spacing w:after="0" w:line="240" w:lineRule="auto"/>
              <w:ind w:left="-3" w:right="4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5A34" w14:textId="033C1E8B" w:rsidR="00F7663A" w:rsidRPr="009200B3" w:rsidRDefault="00D0026C" w:rsidP="00C14C3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0B3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2FC3" w14:textId="1AB32EAD" w:rsidR="00F7663A" w:rsidRPr="009200B3" w:rsidRDefault="00514FC5" w:rsidP="00C14C3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B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Prueba que </w:t>
            </w:r>
            <w:r w:rsidR="009C2E2D" w:rsidRPr="009200B3">
              <w:rPr>
                <w:rFonts w:ascii="Arial" w:hAnsi="Arial" w:cs="Arial"/>
                <w:sz w:val="20"/>
                <w:szCs w:val="20"/>
                <w:lang w:val="es-ES_tradnl"/>
              </w:rPr>
              <w:t>permite identificar la presencia del parásito y su especie, pero no su número y estadio.</w:t>
            </w:r>
          </w:p>
        </w:tc>
      </w:tr>
      <w:tr w:rsidR="00F7663A" w:rsidRPr="009200B3" w14:paraId="15584D2F" w14:textId="77777777" w:rsidTr="00C14C3F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9DB4" w14:textId="77777777" w:rsidR="00F7663A" w:rsidRPr="009200B3" w:rsidRDefault="00F7663A" w:rsidP="00D0026C">
            <w:pPr>
              <w:spacing w:after="0" w:line="240" w:lineRule="auto"/>
              <w:ind w:left="-3" w:right="4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B3">
              <w:rPr>
                <w:rFonts w:ascii="Arial" w:hAnsi="Arial" w:cs="Arial"/>
                <w:sz w:val="20"/>
                <w:szCs w:val="20"/>
              </w:rPr>
              <w:t>Calidad del dato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DB8F" w14:textId="3C483508" w:rsidR="00F7663A" w:rsidRPr="009200B3" w:rsidRDefault="00D0026C" w:rsidP="00C14C3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0B3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B646" w14:textId="0686A568" w:rsidR="00F7663A" w:rsidRPr="009200B3" w:rsidRDefault="00C14C3F" w:rsidP="00C14C3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B3">
              <w:rPr>
                <w:rFonts w:ascii="Arial" w:hAnsi="Arial" w:cs="Arial"/>
                <w:sz w:val="20"/>
                <w:szCs w:val="20"/>
              </w:rPr>
              <w:t>Pacientes con malaria confirmada que recibieron tratamiento antimalárico de primera línea de acuerdo a la política nacional dentro de 24 horas después del diagnóstico 2. Casos confirmados a los que se les realizó prueba diagnóstica (incluyendo trabajadores comunitarios) dentro de las 48 horas después de presentar síntomas</w:t>
            </w:r>
          </w:p>
        </w:tc>
      </w:tr>
      <w:tr w:rsidR="00F7663A" w:rsidRPr="009200B3" w14:paraId="5F1C32B8" w14:textId="77777777" w:rsidTr="00C14C3F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CEED" w14:textId="629F10EB" w:rsidR="00F7663A" w:rsidRPr="009200B3" w:rsidRDefault="009C2E2D" w:rsidP="00D0026C">
            <w:pPr>
              <w:spacing w:after="0" w:line="240" w:lineRule="auto"/>
              <w:ind w:left="-3" w:right="4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B3">
              <w:rPr>
                <w:rFonts w:ascii="Arial" w:hAnsi="Arial" w:cs="Arial"/>
                <w:sz w:val="20"/>
                <w:szCs w:val="20"/>
                <w:lang w:val="es-ES"/>
              </w:rPr>
              <w:t>La Gota Gruesa</w:t>
            </w:r>
            <w:r w:rsidRPr="009200B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458B" w14:textId="777A8FFB" w:rsidR="00F7663A" w:rsidRPr="009200B3" w:rsidRDefault="009C2E2D" w:rsidP="00C14C3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0B3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785D" w14:textId="61B16385" w:rsidR="00F7663A" w:rsidRPr="009200B3" w:rsidRDefault="00D0026C" w:rsidP="00C14C3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200B3">
              <w:rPr>
                <w:rFonts w:ascii="Arial" w:hAnsi="Arial" w:cs="Arial"/>
                <w:sz w:val="20"/>
                <w:szCs w:val="20"/>
                <w:lang w:val="es-MX"/>
              </w:rPr>
              <w:t>Detección -Diagnóstico-Tratamiento- investigación y Respuesta</w:t>
            </w:r>
          </w:p>
        </w:tc>
      </w:tr>
      <w:tr w:rsidR="00F7663A" w:rsidRPr="009200B3" w14:paraId="33043AB3" w14:textId="77777777" w:rsidTr="00C14C3F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99C1" w14:textId="37430E12" w:rsidR="00F7663A" w:rsidRPr="009200B3" w:rsidRDefault="00C14C3F" w:rsidP="00D0026C">
            <w:pPr>
              <w:spacing w:after="0" w:line="240" w:lineRule="auto"/>
              <w:ind w:left="-3" w:right="4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B3">
              <w:rPr>
                <w:rFonts w:ascii="Arial" w:hAnsi="Arial" w:cs="Arial"/>
                <w:sz w:val="20"/>
                <w:szCs w:val="20"/>
              </w:rPr>
              <w:t xml:space="preserve">Periodo de incubación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63F2" w14:textId="4BB6B5C9" w:rsidR="00F7663A" w:rsidRPr="009200B3" w:rsidRDefault="00C14C3F" w:rsidP="00C14C3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0B3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BD56" w14:textId="7E21B5F9" w:rsidR="00F7663A" w:rsidRPr="009200B3" w:rsidRDefault="009C2E2D" w:rsidP="00C14C3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00B3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>Plasmodium</w:t>
            </w:r>
            <w:proofErr w:type="spellEnd"/>
            <w:r w:rsidRPr="009200B3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200B3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>falciparum</w:t>
            </w:r>
            <w:proofErr w:type="spellEnd"/>
            <w:r w:rsidRPr="009200B3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9200B3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>Plasmodium</w:t>
            </w:r>
            <w:proofErr w:type="spellEnd"/>
            <w:r w:rsidRPr="009200B3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200B3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>vivax</w:t>
            </w:r>
            <w:proofErr w:type="spellEnd"/>
          </w:p>
        </w:tc>
      </w:tr>
      <w:tr w:rsidR="00F7663A" w:rsidRPr="009200B3" w14:paraId="728E0C79" w14:textId="77777777" w:rsidTr="00C14C3F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B02F" w14:textId="6CC9570C" w:rsidR="00F7663A" w:rsidRPr="009200B3" w:rsidRDefault="00D0026C" w:rsidP="00D0026C">
            <w:pPr>
              <w:spacing w:after="0" w:line="240" w:lineRule="auto"/>
              <w:ind w:right="4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B3">
              <w:rPr>
                <w:rFonts w:ascii="Arial" w:hAnsi="Arial" w:cs="Arial"/>
                <w:sz w:val="20"/>
                <w:szCs w:val="20"/>
              </w:rPr>
              <w:t xml:space="preserve">Criaderos permanentes.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C12B" w14:textId="40A8C6A4" w:rsidR="00F7663A" w:rsidRPr="009200B3" w:rsidRDefault="00D0026C" w:rsidP="00C14C3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0B3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78B8" w14:textId="0E3A8E87" w:rsidR="00F7663A" w:rsidRPr="009200B3" w:rsidRDefault="009C2E2D" w:rsidP="00C14C3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200B3">
              <w:rPr>
                <w:rFonts w:ascii="Arial" w:hAnsi="Arial" w:cs="Arial"/>
                <w:sz w:val="20"/>
                <w:szCs w:val="20"/>
                <w:lang w:val="es-ES_tradnl"/>
              </w:rPr>
              <w:t>Permite identificar la presencia del parásito, determinando su especie, debido a su forma y características, así como su número (o cantidad) y estadio (o fases de desarrollo). </w:t>
            </w:r>
          </w:p>
        </w:tc>
      </w:tr>
      <w:tr w:rsidR="00F7663A" w:rsidRPr="009200B3" w14:paraId="47B124DC" w14:textId="77777777" w:rsidTr="00C14C3F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A19F" w14:textId="06C0B02E" w:rsidR="009C2E2D" w:rsidRPr="009200B3" w:rsidRDefault="00830218" w:rsidP="009C2E2D">
            <w:pPr>
              <w:rPr>
                <w:rFonts w:ascii="Arial" w:hAnsi="Arial" w:cs="Arial"/>
                <w:sz w:val="20"/>
                <w:szCs w:val="20"/>
              </w:rPr>
            </w:pPr>
            <w:r w:rsidRPr="009200B3">
              <w:rPr>
                <w:rFonts w:ascii="Arial" w:hAnsi="Arial" w:cs="Arial"/>
                <w:sz w:val="20"/>
                <w:szCs w:val="20"/>
              </w:rPr>
              <w:t>M</w:t>
            </w:r>
            <w:r w:rsidR="009C2E2D" w:rsidRPr="009200B3">
              <w:rPr>
                <w:rFonts w:ascii="Arial" w:hAnsi="Arial" w:cs="Arial"/>
                <w:sz w:val="20"/>
                <w:szCs w:val="20"/>
              </w:rPr>
              <w:t>alaria</w:t>
            </w:r>
          </w:p>
          <w:p w14:paraId="4E8171DF" w14:textId="096DFB4D" w:rsidR="00F7663A" w:rsidRPr="009200B3" w:rsidRDefault="00F7663A" w:rsidP="009C2E2D">
            <w:pPr>
              <w:spacing w:after="0" w:line="240" w:lineRule="auto"/>
              <w:ind w:left="-3" w:right="4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51DA" w14:textId="624B369B" w:rsidR="00F7663A" w:rsidRPr="009200B3" w:rsidRDefault="009C2E2D" w:rsidP="00C14C3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0B3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C30A" w14:textId="04FB884E" w:rsidR="00F7663A" w:rsidRPr="009200B3" w:rsidRDefault="00D0026C" w:rsidP="00C14C3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200B3">
              <w:rPr>
                <w:rFonts w:ascii="Arial" w:hAnsi="Arial" w:cs="Arial"/>
                <w:sz w:val="20"/>
                <w:szCs w:val="20"/>
              </w:rPr>
              <w:t xml:space="preserve">Lagos, pozos, charcos las minas y las lagunas </w:t>
            </w:r>
          </w:p>
        </w:tc>
      </w:tr>
      <w:tr w:rsidR="00F7663A" w:rsidRPr="009200B3" w14:paraId="0DDF0250" w14:textId="77777777" w:rsidTr="00C14C3F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D7AC" w14:textId="11C96728" w:rsidR="00F7663A" w:rsidRPr="009200B3" w:rsidRDefault="009C2E2D" w:rsidP="009C2E2D">
            <w:pPr>
              <w:spacing w:after="0" w:line="240" w:lineRule="auto"/>
              <w:ind w:right="4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B3">
              <w:rPr>
                <w:rFonts w:ascii="Arial" w:hAnsi="Arial" w:cs="Arial"/>
                <w:sz w:val="20"/>
                <w:szCs w:val="20"/>
              </w:rPr>
              <w:t xml:space="preserve">Los agentes causantes de malaria en humanos </w:t>
            </w:r>
            <w:r w:rsidR="00830218" w:rsidRPr="009200B3">
              <w:rPr>
                <w:rFonts w:ascii="Arial" w:hAnsi="Arial" w:cs="Arial"/>
                <w:sz w:val="20"/>
                <w:szCs w:val="20"/>
              </w:rPr>
              <w:t xml:space="preserve">más frecuentes en </w:t>
            </w:r>
            <w:r w:rsidRPr="009200B3">
              <w:rPr>
                <w:rFonts w:ascii="Arial" w:hAnsi="Arial" w:cs="Arial"/>
                <w:sz w:val="20"/>
                <w:szCs w:val="20"/>
              </w:rPr>
              <w:t>Colombia</w:t>
            </w:r>
            <w:r w:rsidR="00830218" w:rsidRPr="009200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00B3">
              <w:rPr>
                <w:rFonts w:ascii="Arial" w:hAnsi="Arial" w:cs="Arial"/>
                <w:sz w:val="20"/>
                <w:szCs w:val="20"/>
              </w:rPr>
              <w:t xml:space="preserve">en zonas endémicas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D3D3" w14:textId="69A1DAEF" w:rsidR="00F7663A" w:rsidRPr="009200B3" w:rsidRDefault="009C2E2D" w:rsidP="00C14C3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0B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EA08" w14:textId="2226B6F2" w:rsidR="00F7663A" w:rsidRPr="009200B3" w:rsidRDefault="00D0026C" w:rsidP="00C14C3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200B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Los </w:t>
            </w:r>
            <w:r w:rsidR="00830218" w:rsidRPr="009200B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Toldillos</w:t>
            </w:r>
            <w:r w:rsidRPr="009200B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</w:t>
            </w:r>
            <w:r w:rsidR="00830218" w:rsidRPr="009200B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t</w:t>
            </w:r>
            <w:r w:rsidRPr="009200B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ratados con Insecticidas de Larga </w:t>
            </w:r>
            <w:r w:rsidR="00C82DD1" w:rsidRPr="009200B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duración</w:t>
            </w:r>
            <w:r w:rsidRPr="009200B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(TILD) y el Rociamiento Intradomiciliar (RRI).</w:t>
            </w:r>
          </w:p>
        </w:tc>
      </w:tr>
      <w:tr w:rsidR="00F7663A" w:rsidRPr="009200B3" w14:paraId="05728A62" w14:textId="77777777" w:rsidTr="00C14C3F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5C87" w14:textId="14CB9528" w:rsidR="00F7663A" w:rsidRPr="009200B3" w:rsidRDefault="00D0026C" w:rsidP="00D0026C">
            <w:pPr>
              <w:spacing w:after="0" w:line="240" w:lineRule="auto"/>
              <w:ind w:left="-3" w:right="4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B3">
              <w:rPr>
                <w:rFonts w:ascii="Arial" w:hAnsi="Arial" w:cs="Arial"/>
                <w:sz w:val="20"/>
                <w:szCs w:val="20"/>
              </w:rPr>
              <w:t xml:space="preserve">Vector de la malaria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79FE" w14:textId="6125D793" w:rsidR="00F7663A" w:rsidRPr="009200B3" w:rsidRDefault="00D0026C" w:rsidP="00C14C3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0B3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BBAC" w14:textId="49BF9E8D" w:rsidR="00F7663A" w:rsidRPr="009200B3" w:rsidRDefault="00830218" w:rsidP="00C14C3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200B3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F7663A" w:rsidRPr="009200B3">
              <w:rPr>
                <w:rFonts w:ascii="Arial" w:hAnsi="Arial" w:cs="Arial"/>
                <w:bCs/>
                <w:sz w:val="20"/>
                <w:szCs w:val="20"/>
              </w:rPr>
              <w:t xml:space="preserve">atos obtenidos de la ficha de notificación o cualquier otro instrumento de recolección de información cumple con las características de completitud y coherencia que permite analizar de manera veraz la situación epidemiológica de la malaria o cualquier evento de interés en salud pública. </w:t>
            </w:r>
          </w:p>
        </w:tc>
      </w:tr>
    </w:tbl>
    <w:p w14:paraId="1CB89AE4" w14:textId="77777777" w:rsidR="00F7663A" w:rsidRPr="00F7663A" w:rsidRDefault="00F7663A" w:rsidP="00F7663A">
      <w:pPr>
        <w:spacing w:line="360" w:lineRule="auto"/>
        <w:jc w:val="both"/>
        <w:rPr>
          <w:rFonts w:ascii="Arial" w:hAnsi="Arial" w:cs="Arial"/>
        </w:rPr>
      </w:pPr>
    </w:p>
    <w:sectPr w:rsidR="00F7663A" w:rsidRPr="00F766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34A6E"/>
    <w:multiLevelType w:val="hybridMultilevel"/>
    <w:tmpl w:val="3BFCB21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111D3"/>
    <w:multiLevelType w:val="hybridMultilevel"/>
    <w:tmpl w:val="D8B074A2"/>
    <w:lvl w:ilvl="0" w:tplc="E1982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A0D2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181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261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C48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A805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201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C7E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AA7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D7EA0"/>
    <w:multiLevelType w:val="multilevel"/>
    <w:tmpl w:val="1630B21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5A92CEC"/>
    <w:multiLevelType w:val="multilevel"/>
    <w:tmpl w:val="0AE8A372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8B0415B"/>
    <w:multiLevelType w:val="hybridMultilevel"/>
    <w:tmpl w:val="FAC2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7360F"/>
    <w:multiLevelType w:val="hybridMultilevel"/>
    <w:tmpl w:val="5ABC7A1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E41A2"/>
    <w:multiLevelType w:val="hybridMultilevel"/>
    <w:tmpl w:val="28B88A56"/>
    <w:lvl w:ilvl="0" w:tplc="040A0015">
      <w:start w:val="1"/>
      <w:numFmt w:val="upperLetter"/>
      <w:lvlText w:val="%1."/>
      <w:lvlJc w:val="left"/>
      <w:pPr>
        <w:ind w:left="605" w:hanging="360"/>
      </w:pPr>
    </w:lvl>
    <w:lvl w:ilvl="1" w:tplc="040A0019" w:tentative="1">
      <w:start w:val="1"/>
      <w:numFmt w:val="lowerLetter"/>
      <w:lvlText w:val="%2."/>
      <w:lvlJc w:val="left"/>
      <w:pPr>
        <w:ind w:left="1325" w:hanging="360"/>
      </w:pPr>
    </w:lvl>
    <w:lvl w:ilvl="2" w:tplc="040A001B" w:tentative="1">
      <w:start w:val="1"/>
      <w:numFmt w:val="lowerRoman"/>
      <w:lvlText w:val="%3."/>
      <w:lvlJc w:val="right"/>
      <w:pPr>
        <w:ind w:left="2045" w:hanging="180"/>
      </w:pPr>
    </w:lvl>
    <w:lvl w:ilvl="3" w:tplc="040A000F" w:tentative="1">
      <w:start w:val="1"/>
      <w:numFmt w:val="decimal"/>
      <w:lvlText w:val="%4."/>
      <w:lvlJc w:val="left"/>
      <w:pPr>
        <w:ind w:left="2765" w:hanging="360"/>
      </w:pPr>
    </w:lvl>
    <w:lvl w:ilvl="4" w:tplc="040A0019" w:tentative="1">
      <w:start w:val="1"/>
      <w:numFmt w:val="lowerLetter"/>
      <w:lvlText w:val="%5."/>
      <w:lvlJc w:val="left"/>
      <w:pPr>
        <w:ind w:left="3485" w:hanging="360"/>
      </w:pPr>
    </w:lvl>
    <w:lvl w:ilvl="5" w:tplc="040A001B" w:tentative="1">
      <w:start w:val="1"/>
      <w:numFmt w:val="lowerRoman"/>
      <w:lvlText w:val="%6."/>
      <w:lvlJc w:val="right"/>
      <w:pPr>
        <w:ind w:left="4205" w:hanging="180"/>
      </w:pPr>
    </w:lvl>
    <w:lvl w:ilvl="6" w:tplc="040A000F" w:tentative="1">
      <w:start w:val="1"/>
      <w:numFmt w:val="decimal"/>
      <w:lvlText w:val="%7."/>
      <w:lvlJc w:val="left"/>
      <w:pPr>
        <w:ind w:left="4925" w:hanging="360"/>
      </w:pPr>
    </w:lvl>
    <w:lvl w:ilvl="7" w:tplc="040A0019" w:tentative="1">
      <w:start w:val="1"/>
      <w:numFmt w:val="lowerLetter"/>
      <w:lvlText w:val="%8."/>
      <w:lvlJc w:val="left"/>
      <w:pPr>
        <w:ind w:left="5645" w:hanging="360"/>
      </w:pPr>
    </w:lvl>
    <w:lvl w:ilvl="8" w:tplc="040A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7" w15:restartNumberingAfterBreak="0">
    <w:nsid w:val="49657318"/>
    <w:multiLevelType w:val="hybridMultilevel"/>
    <w:tmpl w:val="78B88A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70578"/>
    <w:multiLevelType w:val="hybridMultilevel"/>
    <w:tmpl w:val="E92CC9C6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81800"/>
    <w:multiLevelType w:val="hybridMultilevel"/>
    <w:tmpl w:val="E92CC9C6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E74F0"/>
    <w:multiLevelType w:val="hybridMultilevel"/>
    <w:tmpl w:val="EDE86266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25C30"/>
    <w:multiLevelType w:val="hybridMultilevel"/>
    <w:tmpl w:val="D2A24F0C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34BEE"/>
    <w:multiLevelType w:val="hybridMultilevel"/>
    <w:tmpl w:val="639E2E3C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1"/>
  </w:num>
  <w:num w:numId="8">
    <w:abstractNumId w:val="10"/>
  </w:num>
  <w:num w:numId="9">
    <w:abstractNumId w:val="1"/>
  </w:num>
  <w:num w:numId="10">
    <w:abstractNumId w:val="6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4A"/>
    <w:rsid w:val="00047E11"/>
    <w:rsid w:val="00062D25"/>
    <w:rsid w:val="001D53D2"/>
    <w:rsid w:val="003A72C3"/>
    <w:rsid w:val="003B4105"/>
    <w:rsid w:val="00406D7D"/>
    <w:rsid w:val="004344A0"/>
    <w:rsid w:val="004C094A"/>
    <w:rsid w:val="00514FC5"/>
    <w:rsid w:val="00660651"/>
    <w:rsid w:val="006D3241"/>
    <w:rsid w:val="00830218"/>
    <w:rsid w:val="009200B3"/>
    <w:rsid w:val="009C2E2D"/>
    <w:rsid w:val="00C14C3F"/>
    <w:rsid w:val="00C82DD1"/>
    <w:rsid w:val="00D0026C"/>
    <w:rsid w:val="00E21D8C"/>
    <w:rsid w:val="00E45386"/>
    <w:rsid w:val="00EA21A0"/>
    <w:rsid w:val="00F74095"/>
    <w:rsid w:val="00F7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E372"/>
  <w15:docId w15:val="{24E60F4D-D474-4A5F-B47B-83E96A9B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2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s,titulo 3"/>
    <w:basedOn w:val="Normal"/>
    <w:link w:val="PrrafodelistaCar"/>
    <w:uiPriority w:val="34"/>
    <w:qFormat/>
    <w:rsid w:val="00E45386"/>
    <w:pPr>
      <w:ind w:left="720"/>
      <w:contextualSpacing/>
    </w:pPr>
  </w:style>
  <w:style w:type="character" w:customStyle="1" w:styleId="PrrafodelistaCar">
    <w:name w:val="Párrafo de lista Car"/>
    <w:aliases w:val="Bullets Car,titulo 3 Car"/>
    <w:link w:val="Prrafodelista"/>
    <w:uiPriority w:val="34"/>
    <w:rsid w:val="00D0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7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JUAN DAVID ORTIZ GARZON</cp:lastModifiedBy>
  <cp:revision>3</cp:revision>
  <dcterms:created xsi:type="dcterms:W3CDTF">2021-02-10T21:21:00Z</dcterms:created>
  <dcterms:modified xsi:type="dcterms:W3CDTF">2021-02-10T21:22:00Z</dcterms:modified>
</cp:coreProperties>
</file>