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1405033481"/>
        <w:docPartObj>
          <w:docPartGallery w:val="Cover Pages"/>
          <w:docPartUnique/>
        </w:docPartObj>
      </w:sdtPr>
      <w:sdtEndPr>
        <w:rPr>
          <w:lang w:val="es-ES"/>
        </w:rPr>
      </w:sdtEndPr>
      <w:sdtContent>
        <w:p w14:paraId="62ECE599" w14:textId="53DF429C" w:rsidR="009114B7" w:rsidRPr="00CC2A39" w:rsidRDefault="00300AD7">
          <w:pPr>
            <w:rPr>
              <w:rFonts w:ascii="Arial" w:hAnsi="Arial" w:cs="Arial"/>
              <w:lang w:val="es-ES"/>
            </w:rPr>
          </w:pPr>
          <w:r w:rsidRPr="00CC2A39">
            <w:rPr>
              <w:rFonts w:ascii="Arial" w:hAnsi="Arial" w:cs="Arial"/>
              <w:noProof/>
              <w:lang w:eastAsia="es-CO"/>
            </w:rPr>
            <mc:AlternateContent>
              <mc:Choice Requires="wps">
                <w:drawing>
                  <wp:anchor distT="0" distB="0" distL="114300" distR="114300" simplePos="0" relativeHeight="251656192" behindDoc="0" locked="0" layoutInCell="1" allowOverlap="1" wp14:anchorId="509E7819" wp14:editId="6CFDFB74">
                    <wp:simplePos x="0" y="0"/>
                    <wp:positionH relativeFrom="page">
                      <wp:posOffset>229235</wp:posOffset>
                    </wp:positionH>
                    <wp:positionV relativeFrom="page">
                      <wp:posOffset>6985801</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BAC7E" w14:textId="77777777" w:rsidR="009114B7" w:rsidRPr="00CC2A39" w:rsidRDefault="009114B7">
                                <w:pPr>
                                  <w:pStyle w:val="Sinespaciado"/>
                                  <w:jc w:val="right"/>
                                  <w:rPr>
                                    <w:rFonts w:ascii="Arial" w:hAnsi="Arial" w:cs="Arial"/>
                                    <w:color w:val="595959" w:themeColor="text1" w:themeTint="A6"/>
                                    <w:sz w:val="28"/>
                                    <w:szCs w:val="28"/>
                                  </w:rPr>
                                </w:pPr>
                              </w:p>
                              <w:p w14:paraId="50552807" w14:textId="77777777" w:rsidR="009114B7" w:rsidRPr="00CC2A39" w:rsidRDefault="009114B7">
                                <w:pPr>
                                  <w:pStyle w:val="Sinespaciado"/>
                                  <w:jc w:val="right"/>
                                  <w:rPr>
                                    <w:rFonts w:ascii="Arial" w:hAnsi="Arial" w:cs="Arial"/>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09E7819" id="_x0000_t202" coordsize="21600,21600" o:spt="202" path="m,l,21600r21600,l21600,xe">
                    <v:stroke joinstyle="miter"/>
                    <v:path gradientshapeok="t" o:connecttype="rect"/>
                  </v:shapetype>
                  <v:shape id="Text Box 152" o:spid="_x0000_s1026" type="#_x0000_t202" style="position:absolute;left:0;text-align:left;margin-left:18.05pt;margin-top:550.05pt;width:8in;height:1in;z-index:251656192;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" filled="f" stroked="f" strokeweight=".5pt">
                    <v:textbox inset="126pt,0,54pt,0">
                      <w:txbxContent>
                        <w:p w14:paraId="143BAC7E" w14:textId="77777777" w:rsidR="009114B7" w:rsidRPr="00CC2A39" w:rsidRDefault="009114B7">
                          <w:pPr>
                            <w:pStyle w:val="Sinespaciado"/>
                            <w:jc w:val="right"/>
                            <w:rPr>
                              <w:rFonts w:ascii="Arial" w:hAnsi="Arial" w:cs="Arial"/>
                              <w:color w:val="595959" w:themeColor="text1" w:themeTint="A6"/>
                              <w:sz w:val="28"/>
                              <w:szCs w:val="28"/>
                            </w:rPr>
                          </w:pPr>
                        </w:p>
                        <w:p w14:paraId="50552807" w14:textId="77777777" w:rsidR="009114B7" w:rsidRPr="00CC2A39" w:rsidRDefault="009114B7">
                          <w:pPr>
                            <w:pStyle w:val="Sinespaciado"/>
                            <w:jc w:val="right"/>
                            <w:rPr>
                              <w:rFonts w:ascii="Arial" w:hAnsi="Arial" w:cs="Arial"/>
                              <w:color w:val="595959" w:themeColor="text1" w:themeTint="A6"/>
                              <w:sz w:val="18"/>
                              <w:szCs w:val="18"/>
                            </w:rPr>
                          </w:pPr>
                        </w:p>
                      </w:txbxContent>
                    </v:textbox>
                    <w10:wrap type="square" anchorx="page" anchory="page"/>
                  </v:shape>
                </w:pict>
              </mc:Fallback>
            </mc:AlternateContent>
          </w:r>
          <w:r w:rsidRPr="00CC2A39">
            <w:rPr>
              <w:rFonts w:ascii="Arial" w:hAnsi="Arial" w:cs="Arial"/>
              <w:noProof/>
              <w:lang w:eastAsia="es-CO"/>
            </w:rPr>
            <mc:AlternateContent>
              <mc:Choice Requires="wps">
                <w:drawing>
                  <wp:anchor distT="0" distB="0" distL="114300" distR="114300" simplePos="0" relativeHeight="251663360" behindDoc="0" locked="0" layoutInCell="1" allowOverlap="1" wp14:anchorId="3C2D03FD" wp14:editId="25FEE2FE">
                    <wp:simplePos x="0" y="0"/>
                    <wp:positionH relativeFrom="page">
                      <wp:posOffset>229235</wp:posOffset>
                    </wp:positionH>
                    <wp:positionV relativeFrom="page">
                      <wp:posOffset>6546205</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916E3" w14:textId="77777777" w:rsidR="009114B7" w:rsidRPr="00701E08" w:rsidRDefault="009114B7" w:rsidP="00720650">
                                <w:pPr>
                                  <w:pStyle w:val="Sinespaciado"/>
                                  <w:rPr>
                                    <w:rFonts w:ascii="Arial" w:hAnsi="Arial" w:cs="Arial"/>
                                    <w:color w:val="595959" w:themeColor="text1" w:themeTint="A6"/>
                                    <w:lang w:val="en-US"/>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C2D03FD" id="Text Box 153" o:spid="_x0000_s1027" type="#_x0000_t202" style="position:absolute;left:0;text-align:left;margin-left:18.05pt;margin-top:515.45pt;width:8in;height:79.5pt;z-index:251663360;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" filled="f" stroked="f" strokeweight=".5pt">
                    <v:textbox style="mso-fit-shape-to-text:t" inset="126pt,0,54pt,0">
                      <w:txbxContent>
                        <w:p w14:paraId="48B916E3" w14:textId="77777777" w:rsidR="009114B7" w:rsidRPr="00701E08" w:rsidRDefault="009114B7" w:rsidP="00720650">
                          <w:pPr>
                            <w:pStyle w:val="Sinespaciado"/>
                            <w:rPr>
                              <w:rFonts w:ascii="Arial" w:hAnsi="Arial" w:cs="Arial"/>
                              <w:color w:val="595959" w:themeColor="text1" w:themeTint="A6"/>
                              <w:lang w:val="en-US"/>
                            </w:rPr>
                          </w:pPr>
                        </w:p>
                      </w:txbxContent>
                    </v:textbox>
                    <w10:wrap type="square" anchorx="page" anchory="page"/>
                  </v:shape>
                </w:pict>
              </mc:Fallback>
            </mc:AlternateContent>
          </w:r>
        </w:p>
      </w:sdtContent>
    </w:sdt>
    <w:p w14:paraId="3530F92C" w14:textId="77777777" w:rsidR="009114B7" w:rsidRPr="00CC2A39" w:rsidRDefault="009114B7" w:rsidP="009114B7">
      <w:pPr>
        <w:rPr>
          <w:rFonts w:ascii="Arial" w:hAnsi="Arial" w:cs="Arial"/>
          <w:lang w:val="es-ES"/>
        </w:rPr>
      </w:pPr>
    </w:p>
    <w:p w14:paraId="32D3D79D" w14:textId="77777777" w:rsidR="00E6762C" w:rsidRDefault="00E6762C" w:rsidP="009114B7">
      <w:pPr>
        <w:rPr>
          <w:rFonts w:ascii="Arial" w:hAnsi="Arial" w:cs="Arial"/>
          <w:lang w:val="es-ES"/>
        </w:rPr>
      </w:pPr>
    </w:p>
    <w:p w14:paraId="04037895" w14:textId="77777777" w:rsidR="00701E08" w:rsidRDefault="00701E08" w:rsidP="009114B7">
      <w:pPr>
        <w:rPr>
          <w:rFonts w:ascii="Arial" w:hAnsi="Arial" w:cs="Arial"/>
          <w:lang w:val="es-ES"/>
        </w:rPr>
      </w:pPr>
    </w:p>
    <w:p w14:paraId="143597BD" w14:textId="77777777" w:rsidR="00701E08" w:rsidRDefault="00701E08" w:rsidP="009114B7">
      <w:pPr>
        <w:rPr>
          <w:rFonts w:ascii="Arial" w:hAnsi="Arial" w:cs="Arial"/>
          <w:lang w:val="es-ES"/>
        </w:rPr>
      </w:pPr>
    </w:p>
    <w:p w14:paraId="670AFC8F" w14:textId="77777777" w:rsidR="00701E08" w:rsidRDefault="00701E08" w:rsidP="009114B7">
      <w:pPr>
        <w:rPr>
          <w:rFonts w:ascii="Arial" w:hAnsi="Arial" w:cs="Arial"/>
          <w:lang w:val="es-ES"/>
        </w:rPr>
      </w:pPr>
    </w:p>
    <w:p w14:paraId="2B87DE0E" w14:textId="77777777" w:rsidR="00701E08" w:rsidRDefault="00701E08" w:rsidP="009114B7">
      <w:pPr>
        <w:rPr>
          <w:rFonts w:ascii="Arial" w:hAnsi="Arial" w:cs="Arial"/>
          <w:lang w:val="es-ES"/>
        </w:rPr>
      </w:pPr>
    </w:p>
    <w:p w14:paraId="165E8C57" w14:textId="77777777" w:rsidR="00701E08" w:rsidRDefault="00701E08" w:rsidP="009114B7">
      <w:pPr>
        <w:rPr>
          <w:rFonts w:ascii="Arial" w:hAnsi="Arial" w:cs="Arial"/>
          <w:lang w:val="es-ES"/>
        </w:rPr>
      </w:pPr>
    </w:p>
    <w:p w14:paraId="443AA37F" w14:textId="77777777" w:rsidR="00701E08" w:rsidRPr="00CC2A39" w:rsidRDefault="00701E08" w:rsidP="009114B7">
      <w:pPr>
        <w:rPr>
          <w:rFonts w:ascii="Arial" w:hAnsi="Arial" w:cs="Arial"/>
          <w:lang w:val="es-ES"/>
        </w:rPr>
      </w:pPr>
    </w:p>
    <w:p w14:paraId="189F1A54" w14:textId="77777777" w:rsidR="00E6762C" w:rsidRPr="00CC2A39" w:rsidRDefault="00E6762C" w:rsidP="009114B7">
      <w:pPr>
        <w:rPr>
          <w:rFonts w:ascii="Arial" w:hAnsi="Arial" w:cs="Arial"/>
          <w:lang w:val="es-ES"/>
        </w:rPr>
      </w:pPr>
    </w:p>
    <w:p w14:paraId="2AC1BE2A" w14:textId="77777777" w:rsidR="00E6762C" w:rsidRPr="00CC2A39" w:rsidRDefault="00E6762C" w:rsidP="009114B7">
      <w:pPr>
        <w:rPr>
          <w:rFonts w:ascii="Arial" w:hAnsi="Arial" w:cs="Arial"/>
          <w:lang w:val="es-ES"/>
        </w:rPr>
      </w:pPr>
    </w:p>
    <w:p w14:paraId="65A92D31" w14:textId="77777777" w:rsidR="00E6762C" w:rsidRPr="00CC2A39" w:rsidRDefault="00E6762C" w:rsidP="009114B7">
      <w:pPr>
        <w:rPr>
          <w:rFonts w:ascii="Arial" w:hAnsi="Arial" w:cs="Arial"/>
          <w:lang w:val="es-ES"/>
        </w:rPr>
      </w:pPr>
    </w:p>
    <w:p w14:paraId="2637AC22" w14:textId="77777777" w:rsidR="00E6762C" w:rsidRPr="00CC2A39" w:rsidRDefault="00E6762C" w:rsidP="009114B7">
      <w:pPr>
        <w:rPr>
          <w:rFonts w:ascii="Arial" w:hAnsi="Arial" w:cs="Arial"/>
          <w:lang w:val="es-ES"/>
        </w:rPr>
      </w:pPr>
    </w:p>
    <w:p w14:paraId="40D36D71" w14:textId="77777777" w:rsidR="00E6762C" w:rsidRDefault="00E6762C" w:rsidP="009114B7">
      <w:pPr>
        <w:rPr>
          <w:rFonts w:ascii="Arial" w:hAnsi="Arial" w:cs="Arial"/>
          <w:lang w:val="es-ES"/>
        </w:rPr>
      </w:pPr>
    </w:p>
    <w:p w14:paraId="0A1A60C5" w14:textId="77777777" w:rsidR="00701E08" w:rsidRDefault="00701E08" w:rsidP="009114B7">
      <w:pPr>
        <w:rPr>
          <w:rFonts w:ascii="Arial" w:hAnsi="Arial" w:cs="Arial"/>
          <w:lang w:val="es-ES"/>
        </w:rPr>
      </w:pPr>
    </w:p>
    <w:p w14:paraId="30FF1B71" w14:textId="77777777" w:rsidR="00701E08" w:rsidRDefault="00701E08" w:rsidP="009114B7">
      <w:pPr>
        <w:rPr>
          <w:rFonts w:ascii="Arial" w:hAnsi="Arial" w:cs="Arial"/>
          <w:lang w:val="es-ES"/>
        </w:rPr>
      </w:pPr>
    </w:p>
    <w:p w14:paraId="45CC8888" w14:textId="77777777" w:rsidR="00701E08" w:rsidRDefault="00701E08" w:rsidP="009114B7">
      <w:pPr>
        <w:rPr>
          <w:rFonts w:ascii="Arial" w:hAnsi="Arial" w:cs="Arial"/>
          <w:lang w:val="es-ES"/>
        </w:rPr>
      </w:pPr>
    </w:p>
    <w:p w14:paraId="529E9203" w14:textId="77777777" w:rsidR="00701E08" w:rsidRDefault="00701E08" w:rsidP="009114B7">
      <w:pPr>
        <w:rPr>
          <w:rFonts w:ascii="Arial" w:hAnsi="Arial" w:cs="Arial"/>
          <w:lang w:val="es-ES"/>
        </w:rPr>
      </w:pPr>
    </w:p>
    <w:p w14:paraId="2854574E" w14:textId="77777777" w:rsidR="00701E08" w:rsidRDefault="00701E08" w:rsidP="009114B7">
      <w:pPr>
        <w:rPr>
          <w:rFonts w:ascii="Arial" w:hAnsi="Arial" w:cs="Arial"/>
          <w:lang w:val="es-ES"/>
        </w:rPr>
      </w:pPr>
    </w:p>
    <w:p w14:paraId="46A6197C" w14:textId="77777777" w:rsidR="00701E08" w:rsidRDefault="00701E08" w:rsidP="009114B7">
      <w:pPr>
        <w:rPr>
          <w:rFonts w:ascii="Arial" w:hAnsi="Arial" w:cs="Arial"/>
          <w:lang w:val="es-ES"/>
        </w:rPr>
      </w:pPr>
    </w:p>
    <w:p w14:paraId="6D2C9531" w14:textId="0F5E4063" w:rsidR="00701E08" w:rsidRDefault="00685EF2" w:rsidP="00685EF2">
      <w:pPr>
        <w:tabs>
          <w:tab w:val="left" w:pos="6780"/>
        </w:tabs>
        <w:rPr>
          <w:rFonts w:ascii="Arial" w:hAnsi="Arial" w:cs="Arial"/>
          <w:lang w:val="es-ES"/>
        </w:rPr>
      </w:pPr>
      <w:r>
        <w:rPr>
          <w:rFonts w:ascii="Arial" w:hAnsi="Arial" w:cs="Arial"/>
          <w:lang w:val="es-ES"/>
        </w:rPr>
        <w:tab/>
      </w:r>
    </w:p>
    <w:p w14:paraId="62646F43" w14:textId="77777777" w:rsidR="00701E08" w:rsidRPr="00CC2A39" w:rsidRDefault="00701E08" w:rsidP="009114B7">
      <w:pPr>
        <w:rPr>
          <w:rFonts w:ascii="Arial" w:hAnsi="Arial" w:cs="Arial"/>
          <w:lang w:val="es-ES"/>
        </w:rPr>
      </w:pPr>
    </w:p>
    <w:p w14:paraId="5B55582B" w14:textId="77777777" w:rsidR="00E6762C" w:rsidRPr="00CC2A39" w:rsidRDefault="00E6762C" w:rsidP="009114B7">
      <w:pPr>
        <w:rPr>
          <w:rFonts w:ascii="Arial" w:hAnsi="Arial" w:cs="Arial"/>
          <w:lang w:val="es-ES"/>
        </w:rPr>
      </w:pPr>
    </w:p>
    <w:p w14:paraId="742459A3" w14:textId="77777777" w:rsidR="00E6762C" w:rsidRPr="00CC2A39" w:rsidRDefault="00E6762C" w:rsidP="009114B7">
      <w:pPr>
        <w:rPr>
          <w:rFonts w:ascii="Arial" w:hAnsi="Arial" w:cs="Arial"/>
          <w:lang w:val="es-ES"/>
        </w:rPr>
      </w:pPr>
    </w:p>
    <w:p w14:paraId="318FB143" w14:textId="77777777" w:rsidR="00E6762C" w:rsidRDefault="00E6762C" w:rsidP="009114B7">
      <w:pPr>
        <w:rPr>
          <w:rFonts w:ascii="Arial" w:hAnsi="Arial" w:cs="Arial"/>
          <w:lang w:val="es-ES"/>
        </w:rPr>
      </w:pPr>
    </w:p>
    <w:sdt>
      <w:sdtPr>
        <w:rPr>
          <w:smallCaps w:val="0"/>
          <w:spacing w:val="0"/>
          <w:sz w:val="20"/>
          <w:szCs w:val="20"/>
          <w:lang w:val="es-ES"/>
        </w:rPr>
        <w:id w:val="-473371971"/>
        <w:docPartObj>
          <w:docPartGallery w:val="Table of Contents"/>
          <w:docPartUnique/>
        </w:docPartObj>
      </w:sdtPr>
      <w:sdtEndPr>
        <w:rPr>
          <w:b/>
          <w:bCs/>
        </w:rPr>
      </w:sdtEndPr>
      <w:sdtContent>
        <w:p w14:paraId="70EBBFA4" w14:textId="1A8816F1" w:rsidR="00966AD0" w:rsidRDefault="00966AD0">
          <w:pPr>
            <w:pStyle w:val="TtulodeTDC"/>
          </w:pPr>
          <w:r>
            <w:rPr>
              <w:lang w:val="es-ES"/>
            </w:rPr>
            <w:t>Contenido</w:t>
          </w:r>
        </w:p>
        <w:p w14:paraId="6B1C1AD7" w14:textId="51ED3C07" w:rsidR="007F6956" w:rsidRDefault="00966AD0">
          <w:pPr>
            <w:pStyle w:val="TDC1"/>
            <w:tabs>
              <w:tab w:val="right" w:leader="dot" w:pos="9350"/>
            </w:tabs>
            <w:rPr>
              <w:noProof/>
              <w:sz w:val="22"/>
              <w:szCs w:val="22"/>
              <w:lang w:eastAsia="es-CO"/>
            </w:rPr>
          </w:pPr>
          <w:r>
            <w:fldChar w:fldCharType="begin"/>
          </w:r>
          <w:r>
            <w:instrText xml:space="preserve"> TOC \o "1-3" \h \z \u </w:instrText>
          </w:r>
          <w:r>
            <w:fldChar w:fldCharType="separate"/>
          </w:r>
          <w:hyperlink w:anchor="_Toc60161009" w:history="1">
            <w:r w:rsidR="007F6956" w:rsidRPr="002F24B4">
              <w:rPr>
                <w:rStyle w:val="Hipervnculo"/>
                <w:noProof/>
                <w:lang w:val="es-ES"/>
              </w:rPr>
              <w:t>Introducción</w:t>
            </w:r>
            <w:r w:rsidR="007F6956">
              <w:rPr>
                <w:noProof/>
                <w:webHidden/>
              </w:rPr>
              <w:tab/>
            </w:r>
            <w:r w:rsidR="007F6956">
              <w:rPr>
                <w:noProof/>
                <w:webHidden/>
              </w:rPr>
              <w:fldChar w:fldCharType="begin"/>
            </w:r>
            <w:r w:rsidR="007F6956">
              <w:rPr>
                <w:noProof/>
                <w:webHidden/>
              </w:rPr>
              <w:instrText xml:space="preserve"> PAGEREF _Toc60161009 \h </w:instrText>
            </w:r>
            <w:r w:rsidR="007F6956">
              <w:rPr>
                <w:noProof/>
                <w:webHidden/>
              </w:rPr>
            </w:r>
            <w:r w:rsidR="007F6956">
              <w:rPr>
                <w:noProof/>
                <w:webHidden/>
              </w:rPr>
              <w:fldChar w:fldCharType="separate"/>
            </w:r>
            <w:r w:rsidR="003852DC">
              <w:rPr>
                <w:noProof/>
                <w:webHidden/>
              </w:rPr>
              <w:t>1</w:t>
            </w:r>
            <w:r w:rsidR="007F6956">
              <w:rPr>
                <w:noProof/>
                <w:webHidden/>
              </w:rPr>
              <w:fldChar w:fldCharType="end"/>
            </w:r>
          </w:hyperlink>
        </w:p>
        <w:p w14:paraId="303E8837" w14:textId="7B56C922" w:rsidR="007F6956" w:rsidRDefault="00AF3DA0">
          <w:pPr>
            <w:pStyle w:val="TDC1"/>
            <w:tabs>
              <w:tab w:val="right" w:leader="dot" w:pos="9350"/>
            </w:tabs>
            <w:rPr>
              <w:noProof/>
              <w:sz w:val="22"/>
              <w:szCs w:val="22"/>
              <w:lang w:eastAsia="es-CO"/>
            </w:rPr>
          </w:pPr>
          <w:hyperlink w:anchor="_Toc60161010" w:history="1">
            <w:r w:rsidR="007F6956" w:rsidRPr="002F24B4">
              <w:rPr>
                <w:rStyle w:val="Hipervnculo"/>
                <w:noProof/>
                <w:lang w:val="es-ES"/>
              </w:rPr>
              <w:t>Lineamientos</w:t>
            </w:r>
            <w:r w:rsidR="007F6956">
              <w:rPr>
                <w:noProof/>
                <w:webHidden/>
              </w:rPr>
              <w:tab/>
            </w:r>
            <w:r w:rsidR="007F6956">
              <w:rPr>
                <w:noProof/>
                <w:webHidden/>
              </w:rPr>
              <w:fldChar w:fldCharType="begin"/>
            </w:r>
            <w:r w:rsidR="007F6956">
              <w:rPr>
                <w:noProof/>
                <w:webHidden/>
              </w:rPr>
              <w:instrText xml:space="preserve"> PAGEREF _Toc60161010 \h </w:instrText>
            </w:r>
            <w:r w:rsidR="007F6956">
              <w:rPr>
                <w:noProof/>
                <w:webHidden/>
              </w:rPr>
            </w:r>
            <w:r w:rsidR="007F6956">
              <w:rPr>
                <w:noProof/>
                <w:webHidden/>
              </w:rPr>
              <w:fldChar w:fldCharType="separate"/>
            </w:r>
            <w:r w:rsidR="003852DC">
              <w:rPr>
                <w:noProof/>
                <w:webHidden/>
              </w:rPr>
              <w:t>1</w:t>
            </w:r>
            <w:r w:rsidR="007F6956">
              <w:rPr>
                <w:noProof/>
                <w:webHidden/>
              </w:rPr>
              <w:fldChar w:fldCharType="end"/>
            </w:r>
          </w:hyperlink>
        </w:p>
        <w:p w14:paraId="69FC8536" w14:textId="73D1E156" w:rsidR="007F6956" w:rsidRDefault="00AF3DA0">
          <w:pPr>
            <w:pStyle w:val="TDC2"/>
            <w:tabs>
              <w:tab w:val="right" w:leader="dot" w:pos="9350"/>
            </w:tabs>
            <w:rPr>
              <w:noProof/>
              <w:sz w:val="22"/>
              <w:szCs w:val="22"/>
              <w:lang w:eastAsia="es-CO"/>
            </w:rPr>
          </w:pPr>
          <w:hyperlink w:anchor="_Toc60161011" w:history="1">
            <w:r w:rsidR="007F6956" w:rsidRPr="002F24B4">
              <w:rPr>
                <w:rStyle w:val="Hipervnculo"/>
                <w:noProof/>
                <w:lang w:val="es-ES"/>
              </w:rPr>
              <w:t>Capacitaciones.</w:t>
            </w:r>
            <w:r w:rsidR="007F6956">
              <w:rPr>
                <w:noProof/>
                <w:webHidden/>
              </w:rPr>
              <w:tab/>
            </w:r>
            <w:r w:rsidR="007F6956">
              <w:rPr>
                <w:noProof/>
                <w:webHidden/>
              </w:rPr>
              <w:fldChar w:fldCharType="begin"/>
            </w:r>
            <w:r w:rsidR="007F6956">
              <w:rPr>
                <w:noProof/>
                <w:webHidden/>
              </w:rPr>
              <w:instrText xml:space="preserve"> PAGEREF _Toc60161011 \h </w:instrText>
            </w:r>
            <w:r w:rsidR="007F6956">
              <w:rPr>
                <w:noProof/>
                <w:webHidden/>
              </w:rPr>
            </w:r>
            <w:r w:rsidR="007F6956">
              <w:rPr>
                <w:noProof/>
                <w:webHidden/>
              </w:rPr>
              <w:fldChar w:fldCharType="separate"/>
            </w:r>
            <w:r w:rsidR="003852DC">
              <w:rPr>
                <w:noProof/>
                <w:webHidden/>
              </w:rPr>
              <w:t>2</w:t>
            </w:r>
            <w:r w:rsidR="007F6956">
              <w:rPr>
                <w:noProof/>
                <w:webHidden/>
              </w:rPr>
              <w:fldChar w:fldCharType="end"/>
            </w:r>
          </w:hyperlink>
        </w:p>
        <w:p w14:paraId="178F63A7" w14:textId="0D4253DA" w:rsidR="007F6956" w:rsidRDefault="00AF3DA0">
          <w:pPr>
            <w:pStyle w:val="TDC2"/>
            <w:tabs>
              <w:tab w:val="right" w:leader="dot" w:pos="9350"/>
            </w:tabs>
            <w:rPr>
              <w:noProof/>
              <w:sz w:val="22"/>
              <w:szCs w:val="22"/>
              <w:lang w:eastAsia="es-CO"/>
            </w:rPr>
          </w:pPr>
          <w:hyperlink w:anchor="_Toc60161012" w:history="1">
            <w:r w:rsidR="007F6956" w:rsidRPr="002F24B4">
              <w:rPr>
                <w:rStyle w:val="Hipervnculo"/>
                <w:noProof/>
                <w:lang w:val="es-ES"/>
              </w:rPr>
              <w:t>Programa de Evaluación Externa del Desempeño Directo (PEED)</w:t>
            </w:r>
            <w:r w:rsidR="007F6956">
              <w:rPr>
                <w:noProof/>
                <w:webHidden/>
              </w:rPr>
              <w:tab/>
            </w:r>
            <w:r w:rsidR="007F6956">
              <w:rPr>
                <w:noProof/>
                <w:webHidden/>
              </w:rPr>
              <w:fldChar w:fldCharType="begin"/>
            </w:r>
            <w:r w:rsidR="007F6956">
              <w:rPr>
                <w:noProof/>
                <w:webHidden/>
              </w:rPr>
              <w:instrText xml:space="preserve"> PAGEREF _Toc60161012 \h </w:instrText>
            </w:r>
            <w:r w:rsidR="007F6956">
              <w:rPr>
                <w:noProof/>
                <w:webHidden/>
              </w:rPr>
            </w:r>
            <w:r w:rsidR="007F6956">
              <w:rPr>
                <w:noProof/>
                <w:webHidden/>
              </w:rPr>
              <w:fldChar w:fldCharType="separate"/>
            </w:r>
            <w:r w:rsidR="003852DC">
              <w:rPr>
                <w:noProof/>
                <w:webHidden/>
              </w:rPr>
              <w:t>3</w:t>
            </w:r>
            <w:r w:rsidR="007F6956">
              <w:rPr>
                <w:noProof/>
                <w:webHidden/>
              </w:rPr>
              <w:fldChar w:fldCharType="end"/>
            </w:r>
          </w:hyperlink>
        </w:p>
        <w:p w14:paraId="72EEBAE2" w14:textId="7838F5DF" w:rsidR="007F6956" w:rsidRDefault="00AF3DA0">
          <w:pPr>
            <w:pStyle w:val="TDC2"/>
            <w:tabs>
              <w:tab w:val="right" w:leader="dot" w:pos="9350"/>
            </w:tabs>
            <w:rPr>
              <w:noProof/>
              <w:sz w:val="22"/>
              <w:szCs w:val="22"/>
              <w:lang w:eastAsia="es-CO"/>
            </w:rPr>
          </w:pPr>
          <w:hyperlink w:anchor="_Toc60161013" w:history="1">
            <w:r w:rsidR="007F6956" w:rsidRPr="002F24B4">
              <w:rPr>
                <w:rStyle w:val="Hipervnculo"/>
                <w:noProof/>
                <w:lang w:val="es-ES"/>
              </w:rPr>
              <w:t>Programa de Evaluación Externa del Desempeño Indirecto (PEID)</w:t>
            </w:r>
            <w:r w:rsidR="007F6956">
              <w:rPr>
                <w:noProof/>
                <w:webHidden/>
              </w:rPr>
              <w:tab/>
            </w:r>
            <w:r w:rsidR="007F6956">
              <w:rPr>
                <w:noProof/>
                <w:webHidden/>
              </w:rPr>
              <w:fldChar w:fldCharType="begin"/>
            </w:r>
            <w:r w:rsidR="007F6956">
              <w:rPr>
                <w:noProof/>
                <w:webHidden/>
              </w:rPr>
              <w:instrText xml:space="preserve"> PAGEREF _Toc60161013 \h </w:instrText>
            </w:r>
            <w:r w:rsidR="007F6956">
              <w:rPr>
                <w:noProof/>
                <w:webHidden/>
              </w:rPr>
            </w:r>
            <w:r w:rsidR="007F6956">
              <w:rPr>
                <w:noProof/>
                <w:webHidden/>
              </w:rPr>
              <w:fldChar w:fldCharType="separate"/>
            </w:r>
            <w:r w:rsidR="003852DC">
              <w:rPr>
                <w:noProof/>
                <w:webHidden/>
              </w:rPr>
              <w:t>3</w:t>
            </w:r>
            <w:r w:rsidR="007F6956">
              <w:rPr>
                <w:noProof/>
                <w:webHidden/>
              </w:rPr>
              <w:fldChar w:fldCharType="end"/>
            </w:r>
          </w:hyperlink>
        </w:p>
        <w:p w14:paraId="4B84594D" w14:textId="53EC6517" w:rsidR="007F6956" w:rsidRDefault="00AF3DA0">
          <w:pPr>
            <w:pStyle w:val="TDC2"/>
            <w:tabs>
              <w:tab w:val="right" w:leader="dot" w:pos="9350"/>
            </w:tabs>
            <w:rPr>
              <w:noProof/>
              <w:sz w:val="22"/>
              <w:szCs w:val="22"/>
              <w:lang w:eastAsia="es-CO"/>
            </w:rPr>
          </w:pPr>
          <w:hyperlink w:anchor="_Toc60161014" w:history="1">
            <w:r w:rsidR="007F6956" w:rsidRPr="002F24B4">
              <w:rPr>
                <w:rStyle w:val="Hipervnculo"/>
                <w:noProof/>
                <w:lang w:val="es-ES"/>
              </w:rPr>
              <w:t>Supervisión</w:t>
            </w:r>
            <w:r w:rsidR="007F6956">
              <w:rPr>
                <w:noProof/>
                <w:webHidden/>
              </w:rPr>
              <w:tab/>
            </w:r>
            <w:r w:rsidR="007F6956">
              <w:rPr>
                <w:noProof/>
                <w:webHidden/>
              </w:rPr>
              <w:fldChar w:fldCharType="begin"/>
            </w:r>
            <w:r w:rsidR="007F6956">
              <w:rPr>
                <w:noProof/>
                <w:webHidden/>
              </w:rPr>
              <w:instrText xml:space="preserve"> PAGEREF _Toc60161014 \h </w:instrText>
            </w:r>
            <w:r w:rsidR="007F6956">
              <w:rPr>
                <w:noProof/>
                <w:webHidden/>
              </w:rPr>
            </w:r>
            <w:r w:rsidR="007F6956">
              <w:rPr>
                <w:noProof/>
                <w:webHidden/>
              </w:rPr>
              <w:fldChar w:fldCharType="separate"/>
            </w:r>
            <w:r w:rsidR="003852DC">
              <w:rPr>
                <w:noProof/>
                <w:webHidden/>
              </w:rPr>
              <w:t>4</w:t>
            </w:r>
            <w:r w:rsidR="007F6956">
              <w:rPr>
                <w:noProof/>
                <w:webHidden/>
              </w:rPr>
              <w:fldChar w:fldCharType="end"/>
            </w:r>
          </w:hyperlink>
        </w:p>
        <w:p w14:paraId="2F62B9B6" w14:textId="416A0F11" w:rsidR="007F6956" w:rsidRDefault="00AF3DA0">
          <w:pPr>
            <w:pStyle w:val="TDC2"/>
            <w:tabs>
              <w:tab w:val="right" w:leader="dot" w:pos="9350"/>
            </w:tabs>
            <w:rPr>
              <w:noProof/>
              <w:sz w:val="22"/>
              <w:szCs w:val="22"/>
              <w:lang w:eastAsia="es-CO"/>
            </w:rPr>
          </w:pPr>
          <w:hyperlink w:anchor="_Toc60161015" w:history="1">
            <w:r w:rsidR="007F6956" w:rsidRPr="002F24B4">
              <w:rPr>
                <w:rStyle w:val="Hipervnculo"/>
                <w:noProof/>
                <w:lang w:val="es-ES"/>
              </w:rPr>
              <w:t>Asistencia técnica</w:t>
            </w:r>
            <w:r w:rsidR="007F6956">
              <w:rPr>
                <w:noProof/>
                <w:webHidden/>
              </w:rPr>
              <w:tab/>
            </w:r>
            <w:r w:rsidR="007F6956">
              <w:rPr>
                <w:noProof/>
                <w:webHidden/>
              </w:rPr>
              <w:fldChar w:fldCharType="begin"/>
            </w:r>
            <w:r w:rsidR="007F6956">
              <w:rPr>
                <w:noProof/>
                <w:webHidden/>
              </w:rPr>
              <w:instrText xml:space="preserve"> PAGEREF _Toc60161015 \h </w:instrText>
            </w:r>
            <w:r w:rsidR="007F6956">
              <w:rPr>
                <w:noProof/>
                <w:webHidden/>
              </w:rPr>
            </w:r>
            <w:r w:rsidR="007F6956">
              <w:rPr>
                <w:noProof/>
                <w:webHidden/>
              </w:rPr>
              <w:fldChar w:fldCharType="separate"/>
            </w:r>
            <w:r w:rsidR="003852DC">
              <w:rPr>
                <w:noProof/>
                <w:webHidden/>
              </w:rPr>
              <w:t>4</w:t>
            </w:r>
            <w:r w:rsidR="007F6956">
              <w:rPr>
                <w:noProof/>
                <w:webHidden/>
              </w:rPr>
              <w:fldChar w:fldCharType="end"/>
            </w:r>
          </w:hyperlink>
        </w:p>
        <w:p w14:paraId="797B53AE" w14:textId="5C8B2B27" w:rsidR="007F6956" w:rsidRDefault="00AF3DA0">
          <w:pPr>
            <w:pStyle w:val="TDC2"/>
            <w:tabs>
              <w:tab w:val="right" w:leader="dot" w:pos="9350"/>
            </w:tabs>
            <w:rPr>
              <w:noProof/>
              <w:sz w:val="22"/>
              <w:szCs w:val="22"/>
              <w:lang w:eastAsia="es-CO"/>
            </w:rPr>
          </w:pPr>
          <w:hyperlink w:anchor="_Toc60161016" w:history="1">
            <w:r w:rsidR="007F6956" w:rsidRPr="002F24B4">
              <w:rPr>
                <w:rStyle w:val="Hipervnculo"/>
                <w:noProof/>
                <w:lang w:val="es-ES"/>
              </w:rPr>
              <w:t>Referencia y contra referencia</w:t>
            </w:r>
            <w:r w:rsidR="007F6956">
              <w:rPr>
                <w:noProof/>
                <w:webHidden/>
              </w:rPr>
              <w:tab/>
            </w:r>
            <w:r w:rsidR="007F6956">
              <w:rPr>
                <w:noProof/>
                <w:webHidden/>
              </w:rPr>
              <w:fldChar w:fldCharType="begin"/>
            </w:r>
            <w:r w:rsidR="007F6956">
              <w:rPr>
                <w:noProof/>
                <w:webHidden/>
              </w:rPr>
              <w:instrText xml:space="preserve"> PAGEREF _Toc60161016 \h </w:instrText>
            </w:r>
            <w:r w:rsidR="007F6956">
              <w:rPr>
                <w:noProof/>
                <w:webHidden/>
              </w:rPr>
            </w:r>
            <w:r w:rsidR="007F6956">
              <w:rPr>
                <w:noProof/>
                <w:webHidden/>
              </w:rPr>
              <w:fldChar w:fldCharType="separate"/>
            </w:r>
            <w:r w:rsidR="003852DC">
              <w:rPr>
                <w:noProof/>
                <w:webHidden/>
              </w:rPr>
              <w:t>4</w:t>
            </w:r>
            <w:r w:rsidR="007F6956">
              <w:rPr>
                <w:noProof/>
                <w:webHidden/>
              </w:rPr>
              <w:fldChar w:fldCharType="end"/>
            </w:r>
          </w:hyperlink>
        </w:p>
        <w:p w14:paraId="0B462EE1" w14:textId="3FA51C7E" w:rsidR="007F6956" w:rsidRDefault="00AF3DA0">
          <w:pPr>
            <w:pStyle w:val="TDC2"/>
            <w:tabs>
              <w:tab w:val="right" w:leader="dot" w:pos="9350"/>
            </w:tabs>
            <w:rPr>
              <w:noProof/>
              <w:sz w:val="22"/>
              <w:szCs w:val="22"/>
              <w:lang w:eastAsia="es-CO"/>
            </w:rPr>
          </w:pPr>
          <w:hyperlink w:anchor="_Toc60161017" w:history="1">
            <w:r w:rsidR="007F6956" w:rsidRPr="002F24B4">
              <w:rPr>
                <w:rStyle w:val="Hipervnculo"/>
                <w:noProof/>
                <w:lang w:val="es-ES"/>
              </w:rPr>
              <w:t>Lineamientos Nacionales para el diagnóstico microscópico de malaria:</w:t>
            </w:r>
            <w:r w:rsidR="007F6956">
              <w:rPr>
                <w:noProof/>
                <w:webHidden/>
              </w:rPr>
              <w:tab/>
            </w:r>
            <w:r w:rsidR="007F6956">
              <w:rPr>
                <w:noProof/>
                <w:webHidden/>
              </w:rPr>
              <w:fldChar w:fldCharType="begin"/>
            </w:r>
            <w:r w:rsidR="007F6956">
              <w:rPr>
                <w:noProof/>
                <w:webHidden/>
              </w:rPr>
              <w:instrText xml:space="preserve"> PAGEREF _Toc60161017 \h </w:instrText>
            </w:r>
            <w:r w:rsidR="007F6956">
              <w:rPr>
                <w:noProof/>
                <w:webHidden/>
              </w:rPr>
            </w:r>
            <w:r w:rsidR="007F6956">
              <w:rPr>
                <w:noProof/>
                <w:webHidden/>
              </w:rPr>
              <w:fldChar w:fldCharType="separate"/>
            </w:r>
            <w:r w:rsidR="003852DC">
              <w:rPr>
                <w:noProof/>
                <w:webHidden/>
              </w:rPr>
              <w:t>4</w:t>
            </w:r>
            <w:r w:rsidR="007F6956">
              <w:rPr>
                <w:noProof/>
                <w:webHidden/>
              </w:rPr>
              <w:fldChar w:fldCharType="end"/>
            </w:r>
          </w:hyperlink>
        </w:p>
        <w:p w14:paraId="1E811A2C" w14:textId="390132A8" w:rsidR="007F6956" w:rsidRDefault="00AF3DA0">
          <w:pPr>
            <w:pStyle w:val="TDC1"/>
            <w:tabs>
              <w:tab w:val="right" w:leader="dot" w:pos="9350"/>
            </w:tabs>
            <w:rPr>
              <w:noProof/>
              <w:sz w:val="22"/>
              <w:szCs w:val="22"/>
              <w:lang w:eastAsia="es-CO"/>
            </w:rPr>
          </w:pPr>
          <w:hyperlink w:anchor="_Toc60161018" w:history="1">
            <w:r w:rsidR="007F6956" w:rsidRPr="002F24B4">
              <w:rPr>
                <w:rStyle w:val="Hipervnculo"/>
                <w:noProof/>
                <w:lang w:val="es-ES"/>
              </w:rPr>
              <w:t>Bibliografía</w:t>
            </w:r>
            <w:r w:rsidR="007F6956">
              <w:rPr>
                <w:noProof/>
                <w:webHidden/>
              </w:rPr>
              <w:tab/>
            </w:r>
            <w:r w:rsidR="007F6956">
              <w:rPr>
                <w:noProof/>
                <w:webHidden/>
              </w:rPr>
              <w:fldChar w:fldCharType="begin"/>
            </w:r>
            <w:r w:rsidR="007F6956">
              <w:rPr>
                <w:noProof/>
                <w:webHidden/>
              </w:rPr>
              <w:instrText xml:space="preserve"> PAGEREF _Toc60161018 \h </w:instrText>
            </w:r>
            <w:r w:rsidR="007F6956">
              <w:rPr>
                <w:noProof/>
                <w:webHidden/>
              </w:rPr>
            </w:r>
            <w:r w:rsidR="007F6956">
              <w:rPr>
                <w:noProof/>
                <w:webHidden/>
              </w:rPr>
              <w:fldChar w:fldCharType="separate"/>
            </w:r>
            <w:r w:rsidR="003852DC">
              <w:rPr>
                <w:noProof/>
                <w:webHidden/>
              </w:rPr>
              <w:t>1</w:t>
            </w:r>
            <w:r w:rsidR="007F6956">
              <w:rPr>
                <w:noProof/>
                <w:webHidden/>
              </w:rPr>
              <w:fldChar w:fldCharType="end"/>
            </w:r>
          </w:hyperlink>
        </w:p>
        <w:p w14:paraId="1F23F7FB" w14:textId="59D5D8CF" w:rsidR="00966AD0" w:rsidRDefault="00966AD0">
          <w:r>
            <w:rPr>
              <w:b/>
              <w:bCs/>
              <w:lang w:val="es-ES"/>
            </w:rPr>
            <w:fldChar w:fldCharType="end"/>
          </w:r>
        </w:p>
      </w:sdtContent>
    </w:sdt>
    <w:p w14:paraId="79D51353" w14:textId="77777777" w:rsidR="00966AD0" w:rsidRDefault="00966AD0" w:rsidP="009114B7">
      <w:pPr>
        <w:rPr>
          <w:rFonts w:ascii="Arial" w:hAnsi="Arial" w:cs="Arial"/>
          <w:lang w:val="es-ES"/>
        </w:rPr>
      </w:pPr>
    </w:p>
    <w:p w14:paraId="48482F02" w14:textId="77777777" w:rsidR="009D4C29" w:rsidRDefault="009D4C29" w:rsidP="009114B7">
      <w:pPr>
        <w:rPr>
          <w:rFonts w:ascii="Arial" w:hAnsi="Arial" w:cs="Arial"/>
          <w:lang w:val="es-ES"/>
        </w:rPr>
      </w:pPr>
    </w:p>
    <w:p w14:paraId="1440378C" w14:textId="77777777" w:rsidR="009D4C29" w:rsidRPr="00CC2A39" w:rsidRDefault="009D4C29" w:rsidP="009114B7">
      <w:pPr>
        <w:rPr>
          <w:rFonts w:ascii="Arial" w:hAnsi="Arial" w:cs="Arial"/>
          <w:lang w:val="es-ES"/>
        </w:rPr>
      </w:pPr>
    </w:p>
    <w:p w14:paraId="7E9FA4D6" w14:textId="77777777" w:rsidR="009D4C29" w:rsidRDefault="009D4C29" w:rsidP="009114B7">
      <w:pPr>
        <w:rPr>
          <w:rFonts w:ascii="Arial" w:hAnsi="Arial" w:cs="Arial"/>
          <w:sz w:val="21"/>
          <w:szCs w:val="21"/>
          <w:lang w:val="es-ES"/>
        </w:rPr>
        <w:sectPr w:rsidR="009D4C29" w:rsidSect="00CC2A39">
          <w:headerReference w:type="default" r:id="rId12"/>
          <w:footerReference w:type="first" r:id="rId13"/>
          <w:pgSz w:w="12240" w:h="15840"/>
          <w:pgMar w:top="1440" w:right="1440" w:bottom="1440" w:left="1440" w:header="709" w:footer="709" w:gutter="0"/>
          <w:pgNumType w:start="1"/>
          <w:cols w:space="708"/>
          <w:titlePg/>
          <w:docGrid w:linePitch="360"/>
        </w:sectPr>
      </w:pPr>
    </w:p>
    <w:p w14:paraId="38FEEF9A" w14:textId="77777777" w:rsidR="00685EF2" w:rsidRPr="005A274E" w:rsidRDefault="00685EF2" w:rsidP="00685EF2">
      <w:pPr>
        <w:rPr>
          <w:rFonts w:ascii="Arial" w:hAnsi="Arial" w:cs="Arial"/>
          <w:sz w:val="24"/>
          <w:szCs w:val="22"/>
          <w:lang w:val="es-ES"/>
        </w:rPr>
      </w:pPr>
      <w:r w:rsidRPr="005A274E">
        <w:rPr>
          <w:rFonts w:ascii="Arial" w:hAnsi="Arial" w:cs="Arial"/>
          <w:sz w:val="24"/>
          <w:szCs w:val="22"/>
          <w:lang w:val="es-ES"/>
        </w:rPr>
        <w:lastRenderedPageBreak/>
        <w:t>Curso Conceptos básicos de la estrategia de eliminación de la malaria</w:t>
      </w:r>
    </w:p>
    <w:p w14:paraId="273ABD0A" w14:textId="77777777" w:rsidR="00685EF2" w:rsidRPr="005A274E" w:rsidRDefault="00685EF2" w:rsidP="00685EF2">
      <w:pPr>
        <w:rPr>
          <w:rFonts w:ascii="Arial" w:hAnsi="Arial" w:cs="Arial"/>
          <w:iCs/>
          <w:color w:val="000000" w:themeColor="text1"/>
          <w:sz w:val="22"/>
          <w:szCs w:val="22"/>
        </w:rPr>
      </w:pPr>
      <w:r w:rsidRPr="005A274E">
        <w:rPr>
          <w:rFonts w:ascii="Arial" w:hAnsi="Arial" w:cs="Arial"/>
          <w:iCs/>
          <w:color w:val="000000" w:themeColor="text1"/>
          <w:sz w:val="22"/>
          <w:szCs w:val="22"/>
        </w:rPr>
        <w:t>Módulo 3. Vigilancia parasitológica por laboratorio</w:t>
      </w:r>
    </w:p>
    <w:p w14:paraId="1372F729" w14:textId="77777777" w:rsidR="00685EF2" w:rsidRPr="005A274E" w:rsidRDefault="00685EF2" w:rsidP="00685EF2">
      <w:pPr>
        <w:rPr>
          <w:rFonts w:ascii="Arial" w:hAnsi="Arial" w:cs="Arial"/>
          <w:iCs/>
          <w:color w:val="000000" w:themeColor="text1"/>
          <w:sz w:val="22"/>
          <w:szCs w:val="22"/>
        </w:rPr>
      </w:pPr>
      <w:r w:rsidRPr="005A274E">
        <w:rPr>
          <w:rFonts w:ascii="Arial" w:hAnsi="Arial" w:cs="Arial"/>
          <w:iCs/>
          <w:color w:val="000000" w:themeColor="text1"/>
          <w:sz w:val="22"/>
          <w:szCs w:val="22"/>
        </w:rPr>
        <w:t>Resultado de aprendizaje: Identificar los métodos diagnósticos de malaria, las características morfológicas y estadios parasitarios manejando los lineamientos nacionales en lo concerniente al diagnóstico de malaria y a las actividades de la Red Nacional de Laboratorios</w:t>
      </w:r>
    </w:p>
    <w:p w14:paraId="3C80A128" w14:textId="3B100408" w:rsidR="00685EF2" w:rsidRPr="005A274E" w:rsidRDefault="00685EF2" w:rsidP="00685EF2">
      <w:pPr>
        <w:rPr>
          <w:rFonts w:ascii="Arial" w:hAnsi="Arial" w:cs="Arial"/>
          <w:sz w:val="22"/>
          <w:szCs w:val="22"/>
        </w:rPr>
      </w:pPr>
      <w:r>
        <w:rPr>
          <w:rFonts w:ascii="Arial" w:hAnsi="Arial" w:cs="Arial"/>
          <w:sz w:val="22"/>
          <w:szCs w:val="22"/>
        </w:rPr>
        <w:t>Unidad 3. Lineamientos Red Nacional de Laboratorios</w:t>
      </w:r>
      <w:bookmarkStart w:id="0" w:name="_GoBack"/>
      <w:bookmarkEnd w:id="0"/>
    </w:p>
    <w:p w14:paraId="4D83A1AC" w14:textId="3CB62859" w:rsidR="009D4C29" w:rsidRDefault="002C1928" w:rsidP="002C1928">
      <w:pPr>
        <w:pStyle w:val="Puesto"/>
        <w:rPr>
          <w:lang w:val="es-ES"/>
        </w:rPr>
      </w:pPr>
      <w:r w:rsidRPr="002C1928">
        <w:rPr>
          <w:lang w:val="es-ES"/>
        </w:rPr>
        <w:t>Lineamientos Red Nacional de Laboratorios</w:t>
      </w:r>
    </w:p>
    <w:p w14:paraId="36ED3CA7" w14:textId="717C606C" w:rsidR="002C1928" w:rsidRDefault="002C1928" w:rsidP="002C1928">
      <w:pPr>
        <w:pStyle w:val="Ttulo1"/>
        <w:rPr>
          <w:lang w:val="es-ES"/>
        </w:rPr>
      </w:pPr>
      <w:bookmarkStart w:id="1" w:name="_Toc60161009"/>
      <w:r>
        <w:rPr>
          <w:lang w:val="es-ES"/>
        </w:rPr>
        <w:t>Introducción</w:t>
      </w:r>
      <w:bookmarkEnd w:id="1"/>
    </w:p>
    <w:p w14:paraId="4B8C14AF" w14:textId="1D00848F" w:rsidR="002C1928" w:rsidRDefault="002C1928" w:rsidP="009114B7">
      <w:pPr>
        <w:rPr>
          <w:rFonts w:ascii="Arial" w:hAnsi="Arial" w:cs="Arial"/>
          <w:sz w:val="21"/>
          <w:szCs w:val="21"/>
          <w:lang w:val="es-ES"/>
        </w:rPr>
      </w:pPr>
      <w:r w:rsidRPr="002C1928">
        <w:rPr>
          <w:rFonts w:ascii="Arial" w:hAnsi="Arial" w:cs="Arial"/>
          <w:sz w:val="21"/>
          <w:szCs w:val="21"/>
          <w:lang w:val="es-ES"/>
        </w:rPr>
        <w:t>Esta unidad tiene por objetivo: Manejar los conceptos generales sobre lineamientos nacionales en lo concerniente al diagnóstico de malaria y a las actividades de la Red Nacional de Laboratorios.</w:t>
      </w:r>
    </w:p>
    <w:p w14:paraId="37EA1DF8" w14:textId="2CF9F923" w:rsidR="002C1928" w:rsidRDefault="002C1928" w:rsidP="002C1928">
      <w:pPr>
        <w:pStyle w:val="Ttulo1"/>
        <w:rPr>
          <w:lang w:val="es-ES"/>
        </w:rPr>
      </w:pPr>
      <w:bookmarkStart w:id="2" w:name="_Toc60161010"/>
      <w:r>
        <w:rPr>
          <w:lang w:val="es-ES"/>
        </w:rPr>
        <w:t>Lineamientos</w:t>
      </w:r>
      <w:bookmarkEnd w:id="2"/>
    </w:p>
    <w:p w14:paraId="754A57CE" w14:textId="22259750"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El diagnóstico de malaria  se hace mediante visualización directa de la especie parasitaria infectante presente en sangre (</w:t>
      </w:r>
      <w:r w:rsidRPr="00D45DC6">
        <w:rPr>
          <w:rFonts w:ascii="Arial" w:hAnsi="Arial" w:cs="Arial"/>
          <w:i/>
          <w:sz w:val="21"/>
          <w:szCs w:val="21"/>
          <w:lang w:val="es-ES"/>
        </w:rPr>
        <w:t>Plasmodium vivax, Plasmodium falciparum, Plasmodium malariae, Plasmodium ovale</w:t>
      </w:r>
      <w:r w:rsidRPr="002C1928">
        <w:rPr>
          <w:rFonts w:ascii="Arial" w:hAnsi="Arial" w:cs="Arial"/>
          <w:sz w:val="21"/>
          <w:szCs w:val="21"/>
          <w:lang w:val="es-ES"/>
        </w:rPr>
        <w:t>, infección mixta) por medio de examen directo microscópico de gota gruesa y extendido de sangre periférica como método complementario, la detección de antígenos parasitarios a través de las Pruebas de Diagnóstico Rápido (PDR)</w:t>
      </w:r>
      <w:r w:rsidR="00966AD0">
        <w:rPr>
          <w:rFonts w:ascii="Arial" w:hAnsi="Arial" w:cs="Arial"/>
          <w:sz w:val="21"/>
          <w:szCs w:val="21"/>
          <w:lang w:val="es-ES"/>
        </w:rPr>
        <w:t xml:space="preserve"> </w:t>
      </w:r>
      <w:sdt>
        <w:sdtPr>
          <w:rPr>
            <w:rFonts w:ascii="Arial" w:hAnsi="Arial" w:cs="Arial"/>
            <w:sz w:val="21"/>
            <w:szCs w:val="21"/>
            <w:lang w:val="es-ES"/>
          </w:rPr>
          <w:id w:val="-1238007557"/>
          <w:citation/>
        </w:sdtPr>
        <w:sdtEndPr/>
        <w:sdtContent>
          <w:r w:rsidR="00966AD0">
            <w:rPr>
              <w:rFonts w:ascii="Arial" w:hAnsi="Arial" w:cs="Arial"/>
              <w:sz w:val="21"/>
              <w:szCs w:val="21"/>
              <w:lang w:val="es-ES"/>
            </w:rPr>
            <w:fldChar w:fldCharType="begin"/>
          </w:r>
          <w:r w:rsidR="00966AD0">
            <w:rPr>
              <w:rFonts w:ascii="Arial" w:hAnsi="Arial" w:cs="Arial"/>
              <w:sz w:val="21"/>
              <w:szCs w:val="21"/>
            </w:rPr>
            <w:instrText xml:space="preserve"> CITATION Dav021 \l 9226 </w:instrText>
          </w:r>
          <w:r w:rsidR="00966AD0">
            <w:rPr>
              <w:rFonts w:ascii="Arial" w:hAnsi="Arial" w:cs="Arial"/>
              <w:sz w:val="21"/>
              <w:szCs w:val="21"/>
              <w:lang w:val="es-ES"/>
            </w:rPr>
            <w:fldChar w:fldCharType="separate"/>
          </w:r>
          <w:r w:rsidR="00AA1963" w:rsidRPr="00AA1963">
            <w:rPr>
              <w:rFonts w:ascii="Arial" w:hAnsi="Arial" w:cs="Arial"/>
              <w:noProof/>
              <w:sz w:val="21"/>
              <w:szCs w:val="21"/>
            </w:rPr>
            <w:t>(1)</w:t>
          </w:r>
          <w:r w:rsidR="00966AD0">
            <w:rPr>
              <w:rFonts w:ascii="Arial" w:hAnsi="Arial" w:cs="Arial"/>
              <w:sz w:val="21"/>
              <w:szCs w:val="21"/>
              <w:lang w:val="es-ES"/>
            </w:rPr>
            <w:fldChar w:fldCharType="end"/>
          </w:r>
        </w:sdtContent>
      </w:sdt>
      <w:r w:rsidR="00966AD0">
        <w:rPr>
          <w:rFonts w:ascii="Arial" w:hAnsi="Arial" w:cs="Arial"/>
          <w:sz w:val="21"/>
          <w:szCs w:val="21"/>
          <w:lang w:val="es-ES"/>
        </w:rPr>
        <w:t xml:space="preserve"> </w:t>
      </w:r>
      <w:sdt>
        <w:sdtPr>
          <w:rPr>
            <w:rFonts w:ascii="Arial" w:hAnsi="Arial" w:cs="Arial"/>
            <w:sz w:val="21"/>
            <w:szCs w:val="21"/>
            <w:lang w:val="es-ES"/>
          </w:rPr>
          <w:id w:val="-567575532"/>
          <w:citation/>
        </w:sdtPr>
        <w:sdtEndPr/>
        <w:sdtContent>
          <w:r w:rsidR="00966AD0">
            <w:rPr>
              <w:rFonts w:ascii="Arial" w:hAnsi="Arial" w:cs="Arial"/>
              <w:sz w:val="21"/>
              <w:szCs w:val="21"/>
              <w:lang w:val="es-ES"/>
            </w:rPr>
            <w:fldChar w:fldCharType="begin"/>
          </w:r>
          <w:r w:rsidR="00966AD0">
            <w:rPr>
              <w:rFonts w:ascii="Arial" w:hAnsi="Arial" w:cs="Arial"/>
              <w:sz w:val="21"/>
              <w:szCs w:val="21"/>
            </w:rPr>
            <w:instrText xml:space="preserve"> CITATION Wor911 \l 9226 </w:instrText>
          </w:r>
          <w:r w:rsidR="00966AD0">
            <w:rPr>
              <w:rFonts w:ascii="Arial" w:hAnsi="Arial" w:cs="Arial"/>
              <w:sz w:val="21"/>
              <w:szCs w:val="21"/>
              <w:lang w:val="es-ES"/>
            </w:rPr>
            <w:fldChar w:fldCharType="separate"/>
          </w:r>
          <w:r w:rsidR="00AA1963" w:rsidRPr="00AA1963">
            <w:rPr>
              <w:rFonts w:ascii="Arial" w:hAnsi="Arial" w:cs="Arial"/>
              <w:noProof/>
              <w:sz w:val="21"/>
              <w:szCs w:val="21"/>
            </w:rPr>
            <w:t>(2)</w:t>
          </w:r>
          <w:r w:rsidR="00966AD0">
            <w:rPr>
              <w:rFonts w:ascii="Arial" w:hAnsi="Arial" w:cs="Arial"/>
              <w:sz w:val="21"/>
              <w:szCs w:val="21"/>
              <w:lang w:val="es-ES"/>
            </w:rPr>
            <w:fldChar w:fldCharType="end"/>
          </w:r>
        </w:sdtContent>
      </w:sdt>
      <w:r w:rsidRPr="002C1928">
        <w:rPr>
          <w:rFonts w:ascii="Arial" w:hAnsi="Arial" w:cs="Arial"/>
          <w:sz w:val="21"/>
          <w:szCs w:val="21"/>
          <w:lang w:val="es-ES"/>
        </w:rPr>
        <w:t xml:space="preserve"> y mediante métodos parasitológicos directos que permiten la detección de ácidos nucleicos del parásito como la técnica de Reacción en Cadena de la Polimerasa (PCR).</w:t>
      </w:r>
    </w:p>
    <w:p w14:paraId="401766B5" w14:textId="33A52E10"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En este contexto se debe garantizar el acceso universal al diagnóstico de malaria </w:t>
      </w:r>
      <w:r w:rsidR="00966AD0" w:rsidRPr="002C1928">
        <w:rPr>
          <w:rFonts w:ascii="Arial" w:hAnsi="Arial" w:cs="Arial"/>
          <w:sz w:val="21"/>
          <w:szCs w:val="21"/>
          <w:lang w:val="es-ES"/>
        </w:rPr>
        <w:t>que,</w:t>
      </w:r>
      <w:r w:rsidRPr="002C1928">
        <w:rPr>
          <w:rFonts w:ascii="Arial" w:hAnsi="Arial" w:cs="Arial"/>
          <w:sz w:val="21"/>
          <w:szCs w:val="21"/>
          <w:lang w:val="es-ES"/>
        </w:rPr>
        <w:t xml:space="preserve"> acompañado de un tratamiento oportuno, el reporte y análisis de los casos, así como el seguimiento microscópico al tercer día luego de iniciado el tratamiento, posibilita la toma de decisiones que impactan la morbilidad y la mortalidad de la enfermedad</w:t>
      </w:r>
      <w:r w:rsidR="00966AD0">
        <w:rPr>
          <w:rFonts w:ascii="Arial" w:hAnsi="Arial" w:cs="Arial"/>
          <w:sz w:val="21"/>
          <w:szCs w:val="21"/>
          <w:lang w:val="es-ES"/>
        </w:rPr>
        <w:t xml:space="preserve"> </w:t>
      </w:r>
      <w:sdt>
        <w:sdtPr>
          <w:rPr>
            <w:rFonts w:ascii="Arial" w:hAnsi="Arial" w:cs="Arial"/>
            <w:sz w:val="21"/>
            <w:szCs w:val="21"/>
            <w:lang w:val="es-ES"/>
          </w:rPr>
          <w:id w:val="1079638638"/>
          <w:citation/>
        </w:sdtPr>
        <w:sdtEndPr/>
        <w:sdtContent>
          <w:r w:rsidR="00966AD0">
            <w:rPr>
              <w:rFonts w:ascii="Arial" w:hAnsi="Arial" w:cs="Arial"/>
              <w:sz w:val="21"/>
              <w:szCs w:val="21"/>
              <w:lang w:val="es-ES"/>
            </w:rPr>
            <w:fldChar w:fldCharType="begin"/>
          </w:r>
          <w:r w:rsidR="00966AD0">
            <w:rPr>
              <w:rFonts w:ascii="Arial" w:hAnsi="Arial" w:cs="Arial"/>
              <w:sz w:val="21"/>
              <w:szCs w:val="21"/>
            </w:rPr>
            <w:instrText xml:space="preserve"> CITATION Org15 \l 9226 </w:instrText>
          </w:r>
          <w:r w:rsidR="00966AD0">
            <w:rPr>
              <w:rFonts w:ascii="Arial" w:hAnsi="Arial" w:cs="Arial"/>
              <w:sz w:val="21"/>
              <w:szCs w:val="21"/>
              <w:lang w:val="es-ES"/>
            </w:rPr>
            <w:fldChar w:fldCharType="separate"/>
          </w:r>
          <w:r w:rsidR="00AA1963" w:rsidRPr="00AA1963">
            <w:rPr>
              <w:rFonts w:ascii="Arial" w:hAnsi="Arial" w:cs="Arial"/>
              <w:noProof/>
              <w:sz w:val="21"/>
              <w:szCs w:val="21"/>
            </w:rPr>
            <w:t>(3)</w:t>
          </w:r>
          <w:r w:rsidR="00966AD0">
            <w:rPr>
              <w:rFonts w:ascii="Arial" w:hAnsi="Arial" w:cs="Arial"/>
              <w:sz w:val="21"/>
              <w:szCs w:val="21"/>
              <w:lang w:val="es-ES"/>
            </w:rPr>
            <w:fldChar w:fldCharType="end"/>
          </w:r>
        </w:sdtContent>
      </w:sdt>
      <w:r w:rsidR="00966AD0">
        <w:rPr>
          <w:rFonts w:ascii="Arial" w:hAnsi="Arial" w:cs="Arial"/>
          <w:sz w:val="21"/>
          <w:szCs w:val="21"/>
          <w:lang w:val="es-ES"/>
        </w:rPr>
        <w:t xml:space="preserve"> </w:t>
      </w:r>
      <w:sdt>
        <w:sdtPr>
          <w:rPr>
            <w:rFonts w:ascii="Arial" w:hAnsi="Arial" w:cs="Arial"/>
            <w:sz w:val="21"/>
            <w:szCs w:val="21"/>
            <w:lang w:val="es-ES"/>
          </w:rPr>
          <w:id w:val="1137070608"/>
          <w:citation/>
        </w:sdtPr>
        <w:sdtEndPr/>
        <w:sdtContent>
          <w:r w:rsidR="00966AD0">
            <w:rPr>
              <w:rFonts w:ascii="Arial" w:hAnsi="Arial" w:cs="Arial"/>
              <w:sz w:val="21"/>
              <w:szCs w:val="21"/>
              <w:lang w:val="es-ES"/>
            </w:rPr>
            <w:fldChar w:fldCharType="begin"/>
          </w:r>
          <w:r w:rsidR="00966AD0">
            <w:rPr>
              <w:rFonts w:ascii="Arial" w:hAnsi="Arial" w:cs="Arial"/>
              <w:sz w:val="21"/>
              <w:szCs w:val="21"/>
            </w:rPr>
            <w:instrText xml:space="preserve">CITATION Min00 \l 9226 </w:instrText>
          </w:r>
          <w:r w:rsidR="00966AD0">
            <w:rPr>
              <w:rFonts w:ascii="Arial" w:hAnsi="Arial" w:cs="Arial"/>
              <w:sz w:val="21"/>
              <w:szCs w:val="21"/>
              <w:lang w:val="es-ES"/>
            </w:rPr>
            <w:fldChar w:fldCharType="separate"/>
          </w:r>
          <w:r w:rsidR="00AA1963" w:rsidRPr="00AA1963">
            <w:rPr>
              <w:rFonts w:ascii="Arial" w:hAnsi="Arial" w:cs="Arial"/>
              <w:noProof/>
              <w:sz w:val="21"/>
              <w:szCs w:val="21"/>
            </w:rPr>
            <w:t>(4)</w:t>
          </w:r>
          <w:r w:rsidR="00966AD0">
            <w:rPr>
              <w:rFonts w:ascii="Arial" w:hAnsi="Arial" w:cs="Arial"/>
              <w:sz w:val="21"/>
              <w:szCs w:val="21"/>
              <w:lang w:val="es-ES"/>
            </w:rPr>
            <w:fldChar w:fldCharType="end"/>
          </w:r>
        </w:sdtContent>
      </w:sdt>
      <w:r w:rsidRPr="002C1928">
        <w:rPr>
          <w:rFonts w:ascii="Arial" w:hAnsi="Arial" w:cs="Arial"/>
          <w:sz w:val="21"/>
          <w:szCs w:val="21"/>
          <w:lang w:val="es-ES"/>
        </w:rPr>
        <w:t>.</w:t>
      </w:r>
    </w:p>
    <w:p w14:paraId="5CCC04BF" w14:textId="4CBDEFEA"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La microscopia se constituye en el estándar de oro para el diagnóstico de la malaria, teniendo en cuenta que se debe contar con metodología estandarizada de elaboración y coloración, colorantes con características técnicas y de calidad adecuados, personal bien entrenado y Programas de Garantía de Calidad continuos, es una metodología que tiene ventajas por ser económica, sensible y específica y que permite realizar actividades de control de calidad</w:t>
      </w:r>
      <w:r w:rsidR="00966AD0">
        <w:rPr>
          <w:rFonts w:ascii="Arial" w:hAnsi="Arial" w:cs="Arial"/>
          <w:sz w:val="21"/>
          <w:szCs w:val="21"/>
          <w:lang w:val="es-ES"/>
        </w:rPr>
        <w:t xml:space="preserve"> </w:t>
      </w:r>
      <w:sdt>
        <w:sdtPr>
          <w:rPr>
            <w:rFonts w:ascii="Arial" w:hAnsi="Arial" w:cs="Arial"/>
            <w:sz w:val="21"/>
            <w:szCs w:val="21"/>
            <w:lang w:val="es-ES"/>
          </w:rPr>
          <w:id w:val="714477351"/>
          <w:citation/>
        </w:sdtPr>
        <w:sdtEndPr/>
        <w:sdtContent>
          <w:r w:rsidR="00966AD0">
            <w:rPr>
              <w:rFonts w:ascii="Arial" w:hAnsi="Arial" w:cs="Arial"/>
              <w:sz w:val="21"/>
              <w:szCs w:val="21"/>
              <w:lang w:val="es-ES"/>
            </w:rPr>
            <w:fldChar w:fldCharType="begin"/>
          </w:r>
          <w:r w:rsidR="00966AD0">
            <w:rPr>
              <w:rFonts w:ascii="Arial" w:hAnsi="Arial" w:cs="Arial"/>
              <w:sz w:val="21"/>
              <w:szCs w:val="21"/>
            </w:rPr>
            <w:instrText xml:space="preserve"> CITATION Wor05 \l 9226 </w:instrText>
          </w:r>
          <w:r w:rsidR="00966AD0">
            <w:rPr>
              <w:rFonts w:ascii="Arial" w:hAnsi="Arial" w:cs="Arial"/>
              <w:sz w:val="21"/>
              <w:szCs w:val="21"/>
              <w:lang w:val="es-ES"/>
            </w:rPr>
            <w:fldChar w:fldCharType="separate"/>
          </w:r>
          <w:r w:rsidR="00AA1963" w:rsidRPr="00AA1963">
            <w:rPr>
              <w:rFonts w:ascii="Arial" w:hAnsi="Arial" w:cs="Arial"/>
              <w:noProof/>
              <w:sz w:val="21"/>
              <w:szCs w:val="21"/>
            </w:rPr>
            <w:t>(5)</w:t>
          </w:r>
          <w:r w:rsidR="00966AD0">
            <w:rPr>
              <w:rFonts w:ascii="Arial" w:hAnsi="Arial" w:cs="Arial"/>
              <w:sz w:val="21"/>
              <w:szCs w:val="21"/>
              <w:lang w:val="es-ES"/>
            </w:rPr>
            <w:fldChar w:fldCharType="end"/>
          </w:r>
        </w:sdtContent>
      </w:sdt>
      <w:r w:rsidRPr="002C1928">
        <w:rPr>
          <w:rFonts w:ascii="Arial" w:hAnsi="Arial" w:cs="Arial"/>
          <w:sz w:val="21"/>
          <w:szCs w:val="21"/>
          <w:lang w:val="es-ES"/>
        </w:rPr>
        <w:t xml:space="preserve">. </w:t>
      </w:r>
    </w:p>
    <w:p w14:paraId="19DEE8CF" w14:textId="714BFF92"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Las PDR son dispositivos de fácil uso e interpretación sencilla que permiten ampliar la cobertura del diagnóstico de malaria en zonas rurales dispersas y en donde la población que se encuentra en riesgo de tener la enfermedad no tiene acceso al diagnóstico ni a un tratamiento antimalárico oportuno. Sin embargo, es importante tener presente que el diagnóstico microscópico es la prueba de referencia para el diagnóstico de malaria y debe ser el método por excelencia siempre que existan las condiciones para su aplicación </w:t>
      </w:r>
      <w:sdt>
        <w:sdtPr>
          <w:rPr>
            <w:rFonts w:ascii="Arial" w:hAnsi="Arial" w:cs="Arial"/>
            <w:sz w:val="21"/>
            <w:szCs w:val="21"/>
            <w:lang w:val="es-ES"/>
          </w:rPr>
          <w:id w:val="-1677805401"/>
          <w:citation/>
        </w:sdtPr>
        <w:sdtEndPr/>
        <w:sdtContent>
          <w:r w:rsidR="00966AD0">
            <w:rPr>
              <w:rFonts w:ascii="Arial" w:hAnsi="Arial" w:cs="Arial"/>
              <w:sz w:val="21"/>
              <w:szCs w:val="21"/>
              <w:lang w:val="es-ES"/>
            </w:rPr>
            <w:fldChar w:fldCharType="begin"/>
          </w:r>
          <w:r w:rsidR="00966AD0">
            <w:rPr>
              <w:rFonts w:ascii="Arial" w:hAnsi="Arial" w:cs="Arial"/>
              <w:sz w:val="21"/>
              <w:szCs w:val="21"/>
            </w:rPr>
            <w:instrText xml:space="preserve"> CITATION Wor094 \l 9226 </w:instrText>
          </w:r>
          <w:r w:rsidR="00966AD0">
            <w:rPr>
              <w:rFonts w:ascii="Arial" w:hAnsi="Arial" w:cs="Arial"/>
              <w:sz w:val="21"/>
              <w:szCs w:val="21"/>
              <w:lang w:val="es-ES"/>
            </w:rPr>
            <w:fldChar w:fldCharType="separate"/>
          </w:r>
          <w:r w:rsidR="00AA1963" w:rsidRPr="00AA1963">
            <w:rPr>
              <w:rFonts w:ascii="Arial" w:hAnsi="Arial" w:cs="Arial"/>
              <w:noProof/>
              <w:sz w:val="21"/>
              <w:szCs w:val="21"/>
            </w:rPr>
            <w:t>(6)</w:t>
          </w:r>
          <w:r w:rsidR="00966AD0">
            <w:rPr>
              <w:rFonts w:ascii="Arial" w:hAnsi="Arial" w:cs="Arial"/>
              <w:sz w:val="21"/>
              <w:szCs w:val="21"/>
              <w:lang w:val="es-ES"/>
            </w:rPr>
            <w:fldChar w:fldCharType="end"/>
          </w:r>
        </w:sdtContent>
      </w:sdt>
      <w:r w:rsidRPr="002C1928">
        <w:rPr>
          <w:rFonts w:ascii="Arial" w:hAnsi="Arial" w:cs="Arial"/>
          <w:sz w:val="21"/>
          <w:szCs w:val="21"/>
          <w:lang w:val="es-ES"/>
        </w:rPr>
        <w:t>.</w:t>
      </w:r>
    </w:p>
    <w:p w14:paraId="17960360" w14:textId="1CF28858"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A pesar de las numerosas ventajas de las 2 técnicas mencionadas previamente, éstas no logran estimar acertadamente la prevalencia de las infecciones que cursan con parasitemias muy bajas </w:t>
      </w:r>
      <w:r w:rsidRPr="002C1928">
        <w:rPr>
          <w:rFonts w:ascii="Arial" w:hAnsi="Arial" w:cs="Arial"/>
          <w:sz w:val="21"/>
          <w:szCs w:val="21"/>
          <w:lang w:val="es-ES"/>
        </w:rPr>
        <w:lastRenderedPageBreak/>
        <w:t xml:space="preserve">(&lt;100 parásitos/µl) en escenarios de baja transmisión.  Así, la necesidad de contar con métodos de detección más sensibles ha llevado a la utilización de herramientas diagnósticas basadas en la amplificación del ácido nucleico (NAA por sus siglas en inglés), particularmente la reacción en cadena de la polimerasa (PCR por sus siglas en inglés). Este tipo de metodología se viene utilizando ampliamente en estudios epidemiológicos o de investigación y actualmente se encuentran disponibles en el mercado varias pruebas con desempeño diagnóstico superior a la microscopía y las PDR </w:t>
      </w:r>
      <w:sdt>
        <w:sdtPr>
          <w:rPr>
            <w:rFonts w:ascii="Arial" w:hAnsi="Arial" w:cs="Arial"/>
            <w:sz w:val="21"/>
            <w:szCs w:val="21"/>
            <w:lang w:val="es-ES"/>
          </w:rPr>
          <w:id w:val="1082029616"/>
          <w:citation/>
        </w:sdtPr>
        <w:sdtEndPr/>
        <w:sdtContent>
          <w:r w:rsidR="0094685F">
            <w:rPr>
              <w:rFonts w:ascii="Arial" w:hAnsi="Arial" w:cs="Arial"/>
              <w:sz w:val="21"/>
              <w:szCs w:val="21"/>
              <w:lang w:val="es-ES"/>
            </w:rPr>
            <w:fldChar w:fldCharType="begin"/>
          </w:r>
          <w:r w:rsidR="0094685F">
            <w:rPr>
              <w:rFonts w:ascii="Arial" w:hAnsi="Arial" w:cs="Arial"/>
              <w:sz w:val="21"/>
              <w:szCs w:val="21"/>
            </w:rPr>
            <w:instrText xml:space="preserve"> CITATION Ins151 \l 9226 </w:instrText>
          </w:r>
          <w:r w:rsidR="0094685F">
            <w:rPr>
              <w:rFonts w:ascii="Arial" w:hAnsi="Arial" w:cs="Arial"/>
              <w:sz w:val="21"/>
              <w:szCs w:val="21"/>
              <w:lang w:val="es-ES"/>
            </w:rPr>
            <w:fldChar w:fldCharType="separate"/>
          </w:r>
          <w:r w:rsidR="00AA1963" w:rsidRPr="00AA1963">
            <w:rPr>
              <w:rFonts w:ascii="Arial" w:hAnsi="Arial" w:cs="Arial"/>
              <w:noProof/>
              <w:sz w:val="21"/>
              <w:szCs w:val="21"/>
            </w:rPr>
            <w:t>(7)</w:t>
          </w:r>
          <w:r w:rsidR="0094685F">
            <w:rPr>
              <w:rFonts w:ascii="Arial" w:hAnsi="Arial" w:cs="Arial"/>
              <w:sz w:val="21"/>
              <w:szCs w:val="21"/>
              <w:lang w:val="es-ES"/>
            </w:rPr>
            <w:fldChar w:fldCharType="end"/>
          </w:r>
        </w:sdtContent>
      </w:sdt>
      <w:r w:rsidRPr="002C1928">
        <w:rPr>
          <w:rFonts w:ascii="Arial" w:hAnsi="Arial" w:cs="Arial"/>
          <w:sz w:val="21"/>
          <w:szCs w:val="21"/>
          <w:lang w:val="es-ES"/>
        </w:rPr>
        <w:t>.</w:t>
      </w:r>
    </w:p>
    <w:p w14:paraId="710C39DC" w14:textId="0309F580"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Los recientes avances en el control de la malaria y el incremento en los fondos para combatir esta enfermedad han llevado a considerar la eliminación de la malaria como una meta alcanzable para un considerable número de regiones endémicas. El paso del control a eliminación prioriza las intervenciones dirigidas a erradicar las infecciones que contribuyen a la transmisión de la malaria, sin considerar el estatus sintomático o la parasitemia.  Colombia participa en esta iniciativa y ya algunos municipios vienen preparándose para adoptar las estrategias de eliminación.  Teniendo en cuenta que las pruebas moleculares tienen una mayor sensibilidad y especificidad y que dentro de las estrategias de eliminación la interrupción de la transmisión es un factor preponderante, las herramientas de detección molecular deben ser consideradas para el diagnóstico de casos con infección sub-microscópica y así contribuir al avance del programa de eliminación de la malaria. </w:t>
      </w:r>
    </w:p>
    <w:p w14:paraId="7D14B1C4"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Por otra parte, la eficacia del tratamiento antimalárico debe ser vigilada mediante seguimiento microscópico al tercer día luego de iniciado el tratamiento con gota gruesa, lo que permite monitorear la completa eliminación de formas parasitarias asexuales en el paciente con lo cual se asegura la respuesta adecuada al tratamiento.  </w:t>
      </w:r>
    </w:p>
    <w:p w14:paraId="1DF4AE5B"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Considerando esta situación y con el fin de unificar conceptos sobre estas metodologías de diagnóstico y seguimiento, el Laboratorio Nacional de Referencia (LNR) de la Dirección de Redes en Salud Pública (DRSP) del INS elabora esta recomendación técnica en el marco de sus competencias.</w:t>
      </w:r>
    </w:p>
    <w:p w14:paraId="0CD78B46" w14:textId="4ED1A02A" w:rsidR="002C1928" w:rsidRDefault="002C1928" w:rsidP="002C1928">
      <w:pPr>
        <w:rPr>
          <w:rFonts w:ascii="Arial" w:hAnsi="Arial" w:cs="Arial"/>
          <w:sz w:val="21"/>
          <w:szCs w:val="21"/>
          <w:lang w:val="es-ES"/>
        </w:rPr>
      </w:pPr>
      <w:r w:rsidRPr="002C1928">
        <w:rPr>
          <w:rFonts w:ascii="Arial" w:hAnsi="Arial" w:cs="Arial"/>
          <w:sz w:val="21"/>
          <w:szCs w:val="21"/>
          <w:lang w:val="es-ES"/>
        </w:rPr>
        <w:t>Las actividades de la red de diagnóstico de malaria son:</w:t>
      </w:r>
    </w:p>
    <w:p w14:paraId="69D96B27" w14:textId="4FD8C51E" w:rsidR="002C1928" w:rsidRPr="002C1928" w:rsidRDefault="002C1928" w:rsidP="002C1928">
      <w:pPr>
        <w:pStyle w:val="Ttulo2"/>
        <w:rPr>
          <w:lang w:val="es-ES"/>
        </w:rPr>
      </w:pPr>
      <w:bookmarkStart w:id="3" w:name="_Toc60161011"/>
      <w:r w:rsidRPr="002C1928">
        <w:rPr>
          <w:lang w:val="es-ES"/>
        </w:rPr>
        <w:t>Capacitaciones.</w:t>
      </w:r>
      <w:bookmarkEnd w:id="3"/>
      <w:r w:rsidRPr="002C1928">
        <w:rPr>
          <w:lang w:val="es-ES"/>
        </w:rPr>
        <w:t xml:space="preserve"> </w:t>
      </w:r>
    </w:p>
    <w:p w14:paraId="54F0AF80"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El entrenamiento en malaria incluye la capacitación, reentrenamiento y las actualizaciones.</w:t>
      </w:r>
    </w:p>
    <w:p w14:paraId="3089B6C4"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Estas actividades tienen como objetivo desarrollar y fortalecer las destrezas para diagnosticar la malaria en los entrenamientos que realiza el laboratorio de referencia al interior de su red de laboratorios. En el diagnóstico microscópico es de especial importancia la diferenciación de especies. Para lograr este propósito, en los contenidos de las capacitaciones se deben incluir temas como toma de muestra, requerimientos de un buen portaobjeto, preparación de gota gruesa y extendido, almacenamiento y transporte de láminas, formulación de colorantes, estandarización de la coloración, uso del microscopio, limpieza básica del microscopio, uso del microscopio, reconocimiento de formas parasitarias y células sanguíneas, con especial énfasis en la diversidad morfológica que puede tener una misma especie, claves morfológicas, diagnóstico de infecciones mixtas y la detección de bajas parasitemias, lo cual implica poder contar en las capacitaciones con muestras de diferentes grados de complejidad. Adicionalmente, se debe incluir el recuento parasitario y reconocimiento de otros hemoparásitos.</w:t>
      </w:r>
    </w:p>
    <w:p w14:paraId="2E353AF2"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lastRenderedPageBreak/>
        <w:t>Por otra parte, el entrenamiento del diagnóstico con PDR se hace especial énfasis en el montaje adecuado de la muestra (cantidad de muestra de sangre), ejercicios de interpretación y práctica en campo de búsqueda activa en donde se realice el engranaje completo del diagnóstico, tratamiento y notificación para hacer la retroalimentación de estos aspectos a los participantes.</w:t>
      </w:r>
    </w:p>
    <w:p w14:paraId="4B23232A"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Como temas comunes tanto en los puestos de microscopía como de PDR se debe capacitar en informe de los resultados, tratamiento de malaria no complicada, recopilación periódica de los datos de muestras de sangre, bioseguridad, manejo de kardex y actividades del ACDM.</w:t>
      </w:r>
    </w:p>
    <w:p w14:paraId="1E08E684"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Todo integrante de la red de diagnóstico de malaria debe ser capacitado una vez al año.</w:t>
      </w:r>
    </w:p>
    <w:p w14:paraId="56800AC7" w14:textId="52281A2C"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El reentrenamiento es una actividad de mejora que se debe realizar cuando la asistencia técnica no ha surgido efecto en cuanto a la mejora de los indicadores</w:t>
      </w:r>
      <w:r w:rsidR="0094685F">
        <w:rPr>
          <w:rFonts w:ascii="Arial" w:hAnsi="Arial" w:cs="Arial"/>
          <w:sz w:val="21"/>
          <w:szCs w:val="21"/>
          <w:lang w:val="es-ES"/>
        </w:rPr>
        <w:t xml:space="preserve"> </w:t>
      </w:r>
      <w:sdt>
        <w:sdtPr>
          <w:rPr>
            <w:rFonts w:ascii="Arial" w:hAnsi="Arial" w:cs="Arial"/>
            <w:sz w:val="21"/>
            <w:szCs w:val="21"/>
            <w:lang w:val="es-ES"/>
          </w:rPr>
          <w:id w:val="1550879430"/>
          <w:citation/>
        </w:sdtPr>
        <w:sdtEndPr/>
        <w:sdtContent>
          <w:r w:rsidR="0094685F">
            <w:rPr>
              <w:rFonts w:ascii="Arial" w:hAnsi="Arial" w:cs="Arial"/>
              <w:sz w:val="21"/>
              <w:szCs w:val="21"/>
              <w:lang w:val="es-ES"/>
            </w:rPr>
            <w:fldChar w:fldCharType="begin"/>
          </w:r>
          <w:r w:rsidR="0094685F">
            <w:rPr>
              <w:rFonts w:ascii="Arial" w:hAnsi="Arial" w:cs="Arial"/>
              <w:sz w:val="21"/>
              <w:szCs w:val="21"/>
            </w:rPr>
            <w:instrText xml:space="preserve"> CITATION Ins151 \l 9226 </w:instrText>
          </w:r>
          <w:r w:rsidR="0094685F">
            <w:rPr>
              <w:rFonts w:ascii="Arial" w:hAnsi="Arial" w:cs="Arial"/>
              <w:sz w:val="21"/>
              <w:szCs w:val="21"/>
              <w:lang w:val="es-ES"/>
            </w:rPr>
            <w:fldChar w:fldCharType="separate"/>
          </w:r>
          <w:r w:rsidR="00AA1963" w:rsidRPr="00AA1963">
            <w:rPr>
              <w:rFonts w:ascii="Arial" w:hAnsi="Arial" w:cs="Arial"/>
              <w:noProof/>
              <w:sz w:val="21"/>
              <w:szCs w:val="21"/>
            </w:rPr>
            <w:t>(7)</w:t>
          </w:r>
          <w:r w:rsidR="0094685F">
            <w:rPr>
              <w:rFonts w:ascii="Arial" w:hAnsi="Arial" w:cs="Arial"/>
              <w:sz w:val="21"/>
              <w:szCs w:val="21"/>
              <w:lang w:val="es-ES"/>
            </w:rPr>
            <w:fldChar w:fldCharType="end"/>
          </w:r>
        </w:sdtContent>
      </w:sdt>
      <w:r w:rsidRPr="002C1928">
        <w:rPr>
          <w:rFonts w:ascii="Arial" w:hAnsi="Arial" w:cs="Arial"/>
          <w:sz w:val="21"/>
          <w:szCs w:val="21"/>
          <w:lang w:val="es-ES"/>
        </w:rPr>
        <w:t>.</w:t>
      </w:r>
    </w:p>
    <w:p w14:paraId="092A504F" w14:textId="77777777" w:rsidR="002C1928" w:rsidRPr="002C1928" w:rsidRDefault="002C1928" w:rsidP="002C1928">
      <w:pPr>
        <w:rPr>
          <w:rFonts w:ascii="Arial" w:hAnsi="Arial" w:cs="Arial"/>
          <w:sz w:val="21"/>
          <w:szCs w:val="21"/>
          <w:lang w:val="es-ES"/>
        </w:rPr>
      </w:pPr>
    </w:p>
    <w:p w14:paraId="37579C46" w14:textId="77777777" w:rsidR="002C1928" w:rsidRPr="002C1928" w:rsidRDefault="002C1928" w:rsidP="002C1928">
      <w:pPr>
        <w:pStyle w:val="Ttulo2"/>
        <w:rPr>
          <w:lang w:val="es-ES"/>
        </w:rPr>
      </w:pPr>
      <w:bookmarkStart w:id="4" w:name="_Toc60161012"/>
      <w:r w:rsidRPr="002C1928">
        <w:rPr>
          <w:lang w:val="es-ES"/>
        </w:rPr>
        <w:t>Programa de Evaluación Externa del Desempeño Directo (PEED)</w:t>
      </w:r>
      <w:bookmarkEnd w:id="4"/>
    </w:p>
    <w:p w14:paraId="66C62C28" w14:textId="089E85D2"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El PEED para el diagnóstico de parásitos del género </w:t>
      </w:r>
      <w:r w:rsidRPr="00D45DC6">
        <w:rPr>
          <w:rFonts w:ascii="Arial" w:hAnsi="Arial" w:cs="Arial"/>
          <w:i/>
          <w:sz w:val="21"/>
          <w:szCs w:val="21"/>
          <w:lang w:val="es-ES"/>
        </w:rPr>
        <w:t>Plasmodium spp</w:t>
      </w:r>
      <w:r w:rsidRPr="002C1928">
        <w:rPr>
          <w:rFonts w:ascii="Arial" w:hAnsi="Arial" w:cs="Arial"/>
          <w:sz w:val="21"/>
          <w:szCs w:val="21"/>
          <w:lang w:val="es-ES"/>
        </w:rPr>
        <w:t>, es un ensayo de aptitud de comparación interlaboratorio de tipo simultáneo, cualitativo/cuantitativo y continuo. El PEED corresponde a la evaluación a partir de un panel de diez</w:t>
      </w:r>
      <w:r w:rsidR="0094685F">
        <w:rPr>
          <w:rFonts w:ascii="Arial" w:hAnsi="Arial" w:cs="Arial"/>
          <w:sz w:val="21"/>
          <w:szCs w:val="21"/>
          <w:lang w:val="es-ES"/>
        </w:rPr>
        <w:t xml:space="preserve"> </w:t>
      </w:r>
      <w:sdt>
        <w:sdtPr>
          <w:rPr>
            <w:rFonts w:ascii="Arial" w:hAnsi="Arial" w:cs="Arial"/>
            <w:sz w:val="21"/>
            <w:szCs w:val="21"/>
            <w:lang w:val="es-ES"/>
          </w:rPr>
          <w:id w:val="-122853428"/>
          <w:citation/>
        </w:sdtPr>
        <w:sdtEndPr/>
        <w:sdtContent>
          <w:r w:rsidR="0094685F">
            <w:rPr>
              <w:rFonts w:ascii="Arial" w:hAnsi="Arial" w:cs="Arial"/>
              <w:sz w:val="21"/>
              <w:szCs w:val="21"/>
              <w:lang w:val="es-ES"/>
            </w:rPr>
            <w:fldChar w:fldCharType="begin"/>
          </w:r>
          <w:r w:rsidR="0094685F">
            <w:rPr>
              <w:rFonts w:ascii="Arial" w:hAnsi="Arial" w:cs="Arial"/>
              <w:sz w:val="21"/>
              <w:szCs w:val="21"/>
            </w:rPr>
            <w:instrText xml:space="preserve"> CITATION Org16 \l 9226 </w:instrText>
          </w:r>
          <w:r w:rsidR="0094685F">
            <w:rPr>
              <w:rFonts w:ascii="Arial" w:hAnsi="Arial" w:cs="Arial"/>
              <w:sz w:val="21"/>
              <w:szCs w:val="21"/>
              <w:lang w:val="es-ES"/>
            </w:rPr>
            <w:fldChar w:fldCharType="separate"/>
          </w:r>
          <w:r w:rsidR="00AA1963" w:rsidRPr="00AA1963">
            <w:rPr>
              <w:rFonts w:ascii="Arial" w:hAnsi="Arial" w:cs="Arial"/>
              <w:noProof/>
              <w:sz w:val="21"/>
              <w:szCs w:val="21"/>
            </w:rPr>
            <w:t>(8)</w:t>
          </w:r>
          <w:r w:rsidR="0094685F">
            <w:rPr>
              <w:rFonts w:ascii="Arial" w:hAnsi="Arial" w:cs="Arial"/>
              <w:sz w:val="21"/>
              <w:szCs w:val="21"/>
              <w:lang w:val="es-ES"/>
            </w:rPr>
            <w:fldChar w:fldCharType="end"/>
          </w:r>
        </w:sdtContent>
      </w:sdt>
      <w:r w:rsidRPr="002C1928">
        <w:rPr>
          <w:rFonts w:ascii="Arial" w:hAnsi="Arial" w:cs="Arial"/>
          <w:sz w:val="21"/>
          <w:szCs w:val="21"/>
          <w:lang w:val="es-ES"/>
        </w:rPr>
        <w:t xml:space="preserve"> láminas de gotas gruesas y extendidos de óptima calidad de las especies presentes en la región con infecciones mixtas de </w:t>
      </w:r>
      <w:r w:rsidRPr="00D45DC6">
        <w:rPr>
          <w:rFonts w:ascii="Arial" w:hAnsi="Arial" w:cs="Arial"/>
          <w:i/>
          <w:sz w:val="21"/>
          <w:szCs w:val="21"/>
          <w:lang w:val="es-ES"/>
        </w:rPr>
        <w:t>P. falciparum</w:t>
      </w:r>
      <w:r w:rsidRPr="002C1928">
        <w:rPr>
          <w:rFonts w:ascii="Arial" w:hAnsi="Arial" w:cs="Arial"/>
          <w:sz w:val="21"/>
          <w:szCs w:val="21"/>
          <w:lang w:val="es-ES"/>
        </w:rPr>
        <w:t xml:space="preserve"> y </w:t>
      </w:r>
      <w:r w:rsidRPr="00D45DC6">
        <w:rPr>
          <w:rFonts w:ascii="Arial" w:hAnsi="Arial" w:cs="Arial"/>
          <w:i/>
          <w:sz w:val="21"/>
          <w:szCs w:val="21"/>
          <w:lang w:val="es-ES"/>
        </w:rPr>
        <w:t>P. vivax</w:t>
      </w:r>
      <w:r w:rsidRPr="002C1928">
        <w:rPr>
          <w:rFonts w:ascii="Arial" w:hAnsi="Arial" w:cs="Arial"/>
          <w:sz w:val="21"/>
          <w:szCs w:val="21"/>
          <w:lang w:val="es-ES"/>
        </w:rPr>
        <w:t xml:space="preserve"> y de otros hemoparásitos denominadas “Láminas problema”, homogéneas y estables, identificadas individualmente con códigos irrepetibles; se incluyen láminas con diferentes grados de complejidad (densidad parasitaria, morfología, artefactos) y láminas negativas. </w:t>
      </w:r>
      <w:r w:rsidR="0094685F" w:rsidRPr="002C1928">
        <w:rPr>
          <w:rFonts w:ascii="Arial" w:hAnsi="Arial" w:cs="Arial"/>
          <w:sz w:val="21"/>
          <w:szCs w:val="21"/>
          <w:lang w:val="es-ES"/>
        </w:rPr>
        <w:t>Los parámetros para determinar</w:t>
      </w:r>
      <w:r w:rsidRPr="002C1928">
        <w:rPr>
          <w:rFonts w:ascii="Arial" w:hAnsi="Arial" w:cs="Arial"/>
          <w:sz w:val="21"/>
          <w:szCs w:val="21"/>
          <w:lang w:val="es-ES"/>
        </w:rPr>
        <w:t xml:space="preserve"> en los ítems de ensayo son: la positividad o negatividad de las muestras, la especie o especies presentes en la muestra, la identificación morfológica de las formas sexuadas y asexuadas y la densidad parasitaria en los ítems de ensayo positivos. Los paquetes son enviados por el Laboratorio Nacional de Referencia a los LSP (sin costo) y privados participantes en forma anual, para que estos últimos hagan la lectura y posteriormente, poder evaluar su desempeño. Las láminas son revisadas por un experto antes de su remisión, de tal forma que la complejidad sea similar y que la evaluación sea comparable para todos los participantes </w:t>
      </w:r>
      <w:sdt>
        <w:sdtPr>
          <w:rPr>
            <w:rFonts w:ascii="Arial" w:hAnsi="Arial" w:cs="Arial"/>
            <w:sz w:val="21"/>
            <w:szCs w:val="21"/>
            <w:lang w:val="es-ES"/>
          </w:rPr>
          <w:id w:val="1598829516"/>
          <w:citation/>
        </w:sdtPr>
        <w:sdtEndPr/>
        <w:sdtContent>
          <w:r w:rsidR="0094685F">
            <w:rPr>
              <w:rFonts w:ascii="Arial" w:hAnsi="Arial" w:cs="Arial"/>
              <w:sz w:val="21"/>
              <w:szCs w:val="21"/>
              <w:lang w:val="es-ES"/>
            </w:rPr>
            <w:fldChar w:fldCharType="begin"/>
          </w:r>
          <w:r w:rsidR="0094685F">
            <w:rPr>
              <w:rFonts w:ascii="Arial" w:hAnsi="Arial" w:cs="Arial"/>
              <w:sz w:val="21"/>
              <w:szCs w:val="21"/>
            </w:rPr>
            <w:instrText xml:space="preserve"> CITATION Ins19 \l 9226 </w:instrText>
          </w:r>
          <w:r w:rsidR="0094685F">
            <w:rPr>
              <w:rFonts w:ascii="Arial" w:hAnsi="Arial" w:cs="Arial"/>
              <w:sz w:val="21"/>
              <w:szCs w:val="21"/>
              <w:lang w:val="es-ES"/>
            </w:rPr>
            <w:fldChar w:fldCharType="separate"/>
          </w:r>
          <w:r w:rsidR="00AA1963" w:rsidRPr="00AA1963">
            <w:rPr>
              <w:rFonts w:ascii="Arial" w:hAnsi="Arial" w:cs="Arial"/>
              <w:noProof/>
              <w:sz w:val="21"/>
              <w:szCs w:val="21"/>
            </w:rPr>
            <w:t>(9)</w:t>
          </w:r>
          <w:r w:rsidR="0094685F">
            <w:rPr>
              <w:rFonts w:ascii="Arial" w:hAnsi="Arial" w:cs="Arial"/>
              <w:sz w:val="21"/>
              <w:szCs w:val="21"/>
              <w:lang w:val="es-ES"/>
            </w:rPr>
            <w:fldChar w:fldCharType="end"/>
          </w:r>
        </w:sdtContent>
      </w:sdt>
      <w:r w:rsidRPr="002C1928">
        <w:rPr>
          <w:rFonts w:ascii="Arial" w:hAnsi="Arial" w:cs="Arial"/>
          <w:sz w:val="21"/>
          <w:szCs w:val="21"/>
          <w:lang w:val="es-ES"/>
        </w:rPr>
        <w:t xml:space="preserve">. </w:t>
      </w:r>
    </w:p>
    <w:p w14:paraId="11740E0C" w14:textId="1B6C94D9"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La participación en Programas de Evaluación Externa del Desempeño es una función de los LSP, Artículo 16, numeral 7 (Decreto 2323 de 2006); además su participación contribuye en los procesos de acreditación, al fortalecer los esquemas de aseguramiento de la calidad y el mejoramiento del desempeño analítico del laboratorio. Se evalúan los parámetros de positividad y negatividad, especie y recuento parasitarios.</w:t>
      </w:r>
    </w:p>
    <w:p w14:paraId="2C4BAAF7" w14:textId="77777777" w:rsidR="002C1928" w:rsidRPr="002C1928" w:rsidRDefault="002C1928" w:rsidP="002C1928">
      <w:pPr>
        <w:pStyle w:val="Ttulo2"/>
        <w:rPr>
          <w:lang w:val="es-ES"/>
        </w:rPr>
      </w:pPr>
      <w:bookmarkStart w:id="5" w:name="_Toc60161013"/>
      <w:r w:rsidRPr="002C1928">
        <w:rPr>
          <w:lang w:val="es-ES"/>
        </w:rPr>
        <w:t>Programa de Evaluación Externa del Desempeño Indirecto (PEID)</w:t>
      </w:r>
      <w:bookmarkEnd w:id="5"/>
    </w:p>
    <w:p w14:paraId="6DEA9FF1" w14:textId="1166C221"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La Evaluación Externa Indirecta del desempeño es una actividad que contribuye a la calidad del diagnóstico en los Laboratorios de Salud Pública, razón por la que se constituye en un apoyo en la vigilancia epidemiológica de malaria. Esta evaluación aplica para los 33 Laboratorios Departamentales y el Laboratorio Distrital de Bogotá, de acuerdo </w:t>
      </w:r>
      <w:r>
        <w:rPr>
          <w:rFonts w:ascii="Arial" w:hAnsi="Arial" w:cs="Arial"/>
          <w:sz w:val="21"/>
          <w:szCs w:val="21"/>
          <w:lang w:val="es-ES"/>
        </w:rPr>
        <w:t>con</w:t>
      </w:r>
      <w:r w:rsidRPr="002C1928">
        <w:rPr>
          <w:rFonts w:ascii="Arial" w:hAnsi="Arial" w:cs="Arial"/>
          <w:sz w:val="21"/>
          <w:szCs w:val="21"/>
          <w:lang w:val="es-ES"/>
        </w:rPr>
        <w:t xml:space="preserve"> la endemicidad de estos eventos.</w:t>
      </w:r>
    </w:p>
    <w:p w14:paraId="5D06D510" w14:textId="77777777" w:rsidR="002C1928" w:rsidRPr="002C1928" w:rsidRDefault="002C1928" w:rsidP="002C1928">
      <w:pPr>
        <w:rPr>
          <w:rFonts w:ascii="Arial" w:hAnsi="Arial" w:cs="Arial"/>
          <w:sz w:val="21"/>
          <w:szCs w:val="21"/>
          <w:lang w:val="es-ES"/>
        </w:rPr>
      </w:pPr>
    </w:p>
    <w:p w14:paraId="6A28B208"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lastRenderedPageBreak/>
        <w:t>Los LSP deberán remitir al INS:</w:t>
      </w:r>
    </w:p>
    <w:p w14:paraId="68BA2AB6" w14:textId="7EAF4284" w:rsidR="002C1928" w:rsidRPr="00D45DC6" w:rsidRDefault="002C1928" w:rsidP="002C1928">
      <w:pPr>
        <w:pStyle w:val="Prrafodelista"/>
        <w:numPr>
          <w:ilvl w:val="0"/>
          <w:numId w:val="1"/>
        </w:numPr>
        <w:rPr>
          <w:rFonts w:ascii="Arial" w:hAnsi="Arial" w:cs="Arial"/>
          <w:i/>
          <w:sz w:val="21"/>
          <w:szCs w:val="21"/>
          <w:lang w:val="es-ES"/>
        </w:rPr>
      </w:pPr>
      <w:r w:rsidRPr="002C1928">
        <w:rPr>
          <w:rFonts w:ascii="Arial" w:hAnsi="Arial" w:cs="Arial"/>
          <w:sz w:val="21"/>
          <w:szCs w:val="21"/>
          <w:lang w:val="es-ES"/>
        </w:rPr>
        <w:t>Todas las láminas positivas para otras especies parasitarias (</w:t>
      </w:r>
      <w:r w:rsidRPr="00D45DC6">
        <w:rPr>
          <w:rFonts w:ascii="Arial" w:hAnsi="Arial" w:cs="Arial"/>
          <w:i/>
          <w:sz w:val="21"/>
          <w:szCs w:val="21"/>
          <w:lang w:val="es-ES"/>
        </w:rPr>
        <w:t xml:space="preserve">P. malariae, P. ovale y </w:t>
      </w:r>
      <w:r w:rsidR="00D45DC6" w:rsidRPr="00D45DC6">
        <w:rPr>
          <w:rFonts w:ascii="Arial" w:hAnsi="Arial" w:cs="Arial"/>
          <w:i/>
          <w:sz w:val="21"/>
          <w:szCs w:val="21"/>
          <w:lang w:val="es-ES"/>
        </w:rPr>
        <w:t xml:space="preserve">                 </w:t>
      </w:r>
      <w:r w:rsidRPr="00D45DC6">
        <w:rPr>
          <w:rFonts w:ascii="Arial" w:hAnsi="Arial" w:cs="Arial"/>
          <w:i/>
          <w:sz w:val="21"/>
          <w:szCs w:val="21"/>
          <w:lang w:val="es-ES"/>
        </w:rPr>
        <w:t xml:space="preserve">P. knowlesi </w:t>
      </w:r>
      <w:r w:rsidR="00D45DC6">
        <w:rPr>
          <w:rFonts w:ascii="Arial" w:hAnsi="Arial" w:cs="Arial"/>
          <w:sz w:val="21"/>
          <w:szCs w:val="21"/>
          <w:lang w:val="es-ES"/>
        </w:rPr>
        <w:t>)</w:t>
      </w:r>
    </w:p>
    <w:p w14:paraId="49057B0F" w14:textId="77777777" w:rsidR="002C1928" w:rsidRPr="002C1928" w:rsidRDefault="002C1928" w:rsidP="002C1928">
      <w:pPr>
        <w:pStyle w:val="Prrafodelista"/>
        <w:numPr>
          <w:ilvl w:val="0"/>
          <w:numId w:val="1"/>
        </w:numPr>
        <w:rPr>
          <w:rFonts w:ascii="Arial" w:hAnsi="Arial" w:cs="Arial"/>
          <w:sz w:val="21"/>
          <w:szCs w:val="21"/>
          <w:lang w:val="es-ES"/>
        </w:rPr>
      </w:pPr>
      <w:r w:rsidRPr="002C1928">
        <w:rPr>
          <w:rFonts w:ascii="Arial" w:hAnsi="Arial" w:cs="Arial"/>
          <w:sz w:val="21"/>
          <w:szCs w:val="21"/>
          <w:lang w:val="es-ES"/>
        </w:rPr>
        <w:t>Todas las láminas de infecciones mixtas</w:t>
      </w:r>
    </w:p>
    <w:p w14:paraId="724EBA59" w14:textId="77777777" w:rsidR="002C1928" w:rsidRPr="002C1928" w:rsidRDefault="002C1928" w:rsidP="002C1928">
      <w:pPr>
        <w:pStyle w:val="Prrafodelista"/>
        <w:numPr>
          <w:ilvl w:val="0"/>
          <w:numId w:val="1"/>
        </w:numPr>
        <w:rPr>
          <w:rFonts w:ascii="Arial" w:hAnsi="Arial" w:cs="Arial"/>
          <w:sz w:val="21"/>
          <w:szCs w:val="21"/>
          <w:lang w:val="es-ES"/>
        </w:rPr>
      </w:pPr>
      <w:r w:rsidRPr="002C1928">
        <w:rPr>
          <w:rFonts w:ascii="Arial" w:hAnsi="Arial" w:cs="Arial"/>
          <w:sz w:val="21"/>
          <w:szCs w:val="21"/>
          <w:lang w:val="es-ES"/>
        </w:rPr>
        <w:t xml:space="preserve">Todas las láminas con recuento ≥ 25.000 parásitos/µL </w:t>
      </w:r>
    </w:p>
    <w:p w14:paraId="3645D5A5" w14:textId="4E0221CF" w:rsidR="002C1928" w:rsidRPr="002C1928" w:rsidRDefault="002C1928" w:rsidP="002C1928">
      <w:pPr>
        <w:pStyle w:val="Prrafodelista"/>
        <w:numPr>
          <w:ilvl w:val="0"/>
          <w:numId w:val="1"/>
        </w:numPr>
        <w:rPr>
          <w:rFonts w:ascii="Arial" w:hAnsi="Arial" w:cs="Arial"/>
          <w:sz w:val="21"/>
          <w:szCs w:val="21"/>
          <w:lang w:val="es-ES"/>
        </w:rPr>
      </w:pPr>
      <w:r w:rsidRPr="002C1928">
        <w:rPr>
          <w:rFonts w:ascii="Arial" w:hAnsi="Arial" w:cs="Arial"/>
          <w:sz w:val="21"/>
          <w:szCs w:val="21"/>
          <w:lang w:val="es-ES"/>
        </w:rPr>
        <w:t xml:space="preserve">Todas las láminas de pacientes que hayan fallecido con diagnóstico probable de malaria </w:t>
      </w:r>
      <w:sdt>
        <w:sdtPr>
          <w:rPr>
            <w:rFonts w:ascii="Arial" w:hAnsi="Arial" w:cs="Arial"/>
            <w:sz w:val="21"/>
            <w:szCs w:val="21"/>
            <w:lang w:val="es-ES"/>
          </w:rPr>
          <w:id w:val="1847895542"/>
          <w:citation/>
        </w:sdtPr>
        <w:sdtEndPr/>
        <w:sdtContent>
          <w:r w:rsidR="007F6956">
            <w:rPr>
              <w:rFonts w:ascii="Arial" w:hAnsi="Arial" w:cs="Arial"/>
              <w:sz w:val="21"/>
              <w:szCs w:val="21"/>
              <w:lang w:val="es-ES"/>
            </w:rPr>
            <w:fldChar w:fldCharType="begin"/>
          </w:r>
          <w:r w:rsidR="007F6956">
            <w:rPr>
              <w:rFonts w:ascii="Arial" w:hAnsi="Arial" w:cs="Arial"/>
              <w:sz w:val="21"/>
              <w:szCs w:val="21"/>
            </w:rPr>
            <w:instrText xml:space="preserve"> CITATION Wor095 \l 9226 </w:instrText>
          </w:r>
          <w:r w:rsidR="007F6956">
            <w:rPr>
              <w:rFonts w:ascii="Arial" w:hAnsi="Arial" w:cs="Arial"/>
              <w:sz w:val="21"/>
              <w:szCs w:val="21"/>
              <w:lang w:val="es-ES"/>
            </w:rPr>
            <w:fldChar w:fldCharType="separate"/>
          </w:r>
          <w:r w:rsidR="00AA1963" w:rsidRPr="00AA1963">
            <w:rPr>
              <w:rFonts w:ascii="Arial" w:hAnsi="Arial" w:cs="Arial"/>
              <w:noProof/>
              <w:sz w:val="21"/>
              <w:szCs w:val="21"/>
            </w:rPr>
            <w:t>(10)</w:t>
          </w:r>
          <w:r w:rsidR="007F6956">
            <w:rPr>
              <w:rFonts w:ascii="Arial" w:hAnsi="Arial" w:cs="Arial"/>
              <w:sz w:val="21"/>
              <w:szCs w:val="21"/>
              <w:lang w:val="es-ES"/>
            </w:rPr>
            <w:fldChar w:fldCharType="end"/>
          </w:r>
        </w:sdtContent>
      </w:sdt>
      <w:r w:rsidRPr="002C1928">
        <w:rPr>
          <w:rFonts w:ascii="Arial" w:hAnsi="Arial" w:cs="Arial"/>
          <w:sz w:val="21"/>
          <w:szCs w:val="21"/>
          <w:lang w:val="es-ES"/>
        </w:rPr>
        <w:t>.</w:t>
      </w:r>
    </w:p>
    <w:p w14:paraId="2497CE85" w14:textId="77777777" w:rsidR="00D45DC6" w:rsidRDefault="00D45DC6" w:rsidP="002C1928">
      <w:pPr>
        <w:rPr>
          <w:rFonts w:ascii="Arial" w:hAnsi="Arial" w:cs="Arial"/>
          <w:sz w:val="21"/>
          <w:szCs w:val="21"/>
          <w:lang w:val="es-ES"/>
        </w:rPr>
      </w:pPr>
    </w:p>
    <w:p w14:paraId="21E38C64"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Los municipios deberán remitir al LSP: </w:t>
      </w:r>
    </w:p>
    <w:p w14:paraId="496A7A9A" w14:textId="77777777" w:rsidR="002C1928" w:rsidRPr="002C1928" w:rsidRDefault="002C1928" w:rsidP="002C1928">
      <w:pPr>
        <w:pStyle w:val="Prrafodelista"/>
        <w:numPr>
          <w:ilvl w:val="0"/>
          <w:numId w:val="2"/>
        </w:numPr>
        <w:rPr>
          <w:rFonts w:ascii="Arial" w:hAnsi="Arial" w:cs="Arial"/>
          <w:sz w:val="21"/>
          <w:szCs w:val="21"/>
          <w:lang w:val="es-ES"/>
        </w:rPr>
      </w:pPr>
      <w:r w:rsidRPr="002C1928">
        <w:rPr>
          <w:rFonts w:ascii="Arial" w:hAnsi="Arial" w:cs="Arial"/>
          <w:sz w:val="21"/>
          <w:szCs w:val="21"/>
          <w:lang w:val="es-ES"/>
        </w:rPr>
        <w:t>Selección aleatoria mensual de 10 láminas (cinco positivas y cinco negativas)</w:t>
      </w:r>
    </w:p>
    <w:p w14:paraId="14EE452F" w14:textId="77777777" w:rsidR="002C1928" w:rsidRPr="002C1928" w:rsidRDefault="002C1928" w:rsidP="002C1928">
      <w:pPr>
        <w:pStyle w:val="Prrafodelista"/>
        <w:numPr>
          <w:ilvl w:val="0"/>
          <w:numId w:val="2"/>
        </w:numPr>
        <w:rPr>
          <w:rFonts w:ascii="Arial" w:hAnsi="Arial" w:cs="Arial"/>
          <w:sz w:val="21"/>
          <w:szCs w:val="21"/>
          <w:lang w:val="es-ES"/>
        </w:rPr>
      </w:pPr>
      <w:r w:rsidRPr="002C1928">
        <w:rPr>
          <w:rFonts w:ascii="Arial" w:hAnsi="Arial" w:cs="Arial"/>
          <w:sz w:val="21"/>
          <w:szCs w:val="21"/>
          <w:lang w:val="es-ES"/>
        </w:rPr>
        <w:t xml:space="preserve">Los parámetros valorados son: </w:t>
      </w:r>
    </w:p>
    <w:p w14:paraId="13E0CA62" w14:textId="77777777" w:rsidR="002C1928" w:rsidRPr="002C1928" w:rsidRDefault="002C1928" w:rsidP="002C1928">
      <w:pPr>
        <w:pStyle w:val="Prrafodelista"/>
        <w:numPr>
          <w:ilvl w:val="0"/>
          <w:numId w:val="2"/>
        </w:numPr>
        <w:rPr>
          <w:rFonts w:ascii="Arial" w:hAnsi="Arial" w:cs="Arial"/>
          <w:sz w:val="21"/>
          <w:szCs w:val="21"/>
          <w:lang w:val="es-ES"/>
        </w:rPr>
      </w:pPr>
      <w:r w:rsidRPr="002C1928">
        <w:rPr>
          <w:rFonts w:ascii="Arial" w:hAnsi="Arial" w:cs="Arial"/>
          <w:sz w:val="21"/>
          <w:szCs w:val="21"/>
          <w:lang w:val="es-ES"/>
        </w:rPr>
        <w:t>Concordancia de resultados positivos y negativos (aceptable, mayor del 75 %)</w:t>
      </w:r>
    </w:p>
    <w:p w14:paraId="31C0CED2" w14:textId="77777777" w:rsidR="002C1928" w:rsidRPr="002C1928" w:rsidRDefault="002C1928" w:rsidP="002C1928">
      <w:pPr>
        <w:pStyle w:val="Prrafodelista"/>
        <w:numPr>
          <w:ilvl w:val="0"/>
          <w:numId w:val="2"/>
        </w:numPr>
        <w:rPr>
          <w:rFonts w:ascii="Arial" w:hAnsi="Arial" w:cs="Arial"/>
          <w:sz w:val="21"/>
          <w:szCs w:val="21"/>
          <w:lang w:val="es-ES"/>
        </w:rPr>
      </w:pPr>
      <w:r w:rsidRPr="002C1928">
        <w:rPr>
          <w:rFonts w:ascii="Arial" w:hAnsi="Arial" w:cs="Arial"/>
          <w:sz w:val="21"/>
          <w:szCs w:val="21"/>
          <w:lang w:val="es-ES"/>
        </w:rPr>
        <w:t>Índice kappa general y de especie (aceptable, mayor de 0,8)</w:t>
      </w:r>
    </w:p>
    <w:p w14:paraId="4CCB1120" w14:textId="77777777" w:rsidR="002C1928" w:rsidRPr="002C1928" w:rsidRDefault="002C1928" w:rsidP="002C1928">
      <w:pPr>
        <w:pStyle w:val="Prrafodelista"/>
        <w:numPr>
          <w:ilvl w:val="0"/>
          <w:numId w:val="2"/>
        </w:numPr>
        <w:rPr>
          <w:rFonts w:ascii="Arial" w:hAnsi="Arial" w:cs="Arial"/>
          <w:sz w:val="21"/>
          <w:szCs w:val="21"/>
          <w:lang w:val="es-ES"/>
        </w:rPr>
      </w:pPr>
      <w:r w:rsidRPr="002C1928">
        <w:rPr>
          <w:rFonts w:ascii="Arial" w:hAnsi="Arial" w:cs="Arial"/>
          <w:sz w:val="21"/>
          <w:szCs w:val="21"/>
          <w:lang w:val="es-ES"/>
        </w:rPr>
        <w:t xml:space="preserve">Concordancia del recuento parasitario (aceptable, mayor del 75 %) </w:t>
      </w:r>
    </w:p>
    <w:p w14:paraId="18E7ED2D" w14:textId="255CD35D" w:rsidR="002C1928" w:rsidRPr="002C1928" w:rsidRDefault="002C1928" w:rsidP="002C1928">
      <w:pPr>
        <w:pStyle w:val="Prrafodelista"/>
        <w:numPr>
          <w:ilvl w:val="0"/>
          <w:numId w:val="2"/>
        </w:numPr>
        <w:rPr>
          <w:rFonts w:ascii="Arial" w:hAnsi="Arial" w:cs="Arial"/>
          <w:sz w:val="21"/>
          <w:szCs w:val="21"/>
          <w:lang w:val="es-ES"/>
        </w:rPr>
      </w:pPr>
      <w:r w:rsidRPr="002C1928">
        <w:rPr>
          <w:rFonts w:ascii="Arial" w:hAnsi="Arial" w:cs="Arial"/>
          <w:sz w:val="21"/>
          <w:szCs w:val="21"/>
          <w:lang w:val="es-ES"/>
        </w:rPr>
        <w:t>Error general que corresponde al porcentaje de errores técnicos.</w:t>
      </w:r>
    </w:p>
    <w:p w14:paraId="70ACBFF5" w14:textId="0A06EEC4"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Los resultados deben enviarse de manera oportuna de tal forma que permitan la implementación de acciones correctivas cuando sea necesario </w:t>
      </w:r>
      <w:sdt>
        <w:sdtPr>
          <w:rPr>
            <w:rFonts w:ascii="Arial" w:hAnsi="Arial" w:cs="Arial"/>
            <w:sz w:val="21"/>
            <w:szCs w:val="21"/>
            <w:lang w:val="es-ES"/>
          </w:rPr>
          <w:id w:val="-726150363"/>
          <w:citation/>
        </w:sdtPr>
        <w:sdtEndPr/>
        <w:sdtContent>
          <w:r w:rsidR="007F6956">
            <w:rPr>
              <w:rFonts w:ascii="Arial" w:hAnsi="Arial" w:cs="Arial"/>
              <w:sz w:val="21"/>
              <w:szCs w:val="21"/>
              <w:lang w:val="es-ES"/>
            </w:rPr>
            <w:fldChar w:fldCharType="begin"/>
          </w:r>
          <w:r w:rsidR="007F6956">
            <w:rPr>
              <w:rFonts w:ascii="Arial" w:hAnsi="Arial" w:cs="Arial"/>
              <w:sz w:val="21"/>
              <w:szCs w:val="21"/>
            </w:rPr>
            <w:instrText xml:space="preserve"> CITATION Cor201 \l 9226 </w:instrText>
          </w:r>
          <w:r w:rsidR="007F6956">
            <w:rPr>
              <w:rFonts w:ascii="Arial" w:hAnsi="Arial" w:cs="Arial"/>
              <w:sz w:val="21"/>
              <w:szCs w:val="21"/>
              <w:lang w:val="es-ES"/>
            </w:rPr>
            <w:fldChar w:fldCharType="separate"/>
          </w:r>
          <w:r w:rsidR="00AA1963" w:rsidRPr="00AA1963">
            <w:rPr>
              <w:rFonts w:ascii="Arial" w:hAnsi="Arial" w:cs="Arial"/>
              <w:noProof/>
              <w:sz w:val="21"/>
              <w:szCs w:val="21"/>
            </w:rPr>
            <w:t>(11)</w:t>
          </w:r>
          <w:r w:rsidR="007F6956">
            <w:rPr>
              <w:rFonts w:ascii="Arial" w:hAnsi="Arial" w:cs="Arial"/>
              <w:sz w:val="21"/>
              <w:szCs w:val="21"/>
              <w:lang w:val="es-ES"/>
            </w:rPr>
            <w:fldChar w:fldCharType="end"/>
          </w:r>
        </w:sdtContent>
      </w:sdt>
      <w:r w:rsidRPr="002C1928">
        <w:rPr>
          <w:rFonts w:ascii="Arial" w:hAnsi="Arial" w:cs="Arial"/>
          <w:sz w:val="21"/>
          <w:szCs w:val="21"/>
          <w:lang w:val="es-ES"/>
        </w:rPr>
        <w:t>.</w:t>
      </w:r>
    </w:p>
    <w:p w14:paraId="2E4D1004" w14:textId="77777777" w:rsidR="002C1928" w:rsidRPr="002C1928" w:rsidRDefault="002C1928" w:rsidP="002C1928">
      <w:pPr>
        <w:pStyle w:val="Ttulo2"/>
        <w:rPr>
          <w:lang w:val="es-ES"/>
        </w:rPr>
      </w:pPr>
      <w:bookmarkStart w:id="6" w:name="_Toc60161014"/>
      <w:r w:rsidRPr="002C1928">
        <w:rPr>
          <w:lang w:val="es-ES"/>
        </w:rPr>
        <w:t>Supervisión</w:t>
      </w:r>
      <w:bookmarkEnd w:id="6"/>
    </w:p>
    <w:p w14:paraId="5D6C4696" w14:textId="77777777"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La supervisión es una actividad de acompañamiento que permite evaluar y verificar el cumplimiento de las condiciones mínimas del puesto de diagnóstico para la prestación del servicio; consiste en realizar visitas de rutina a los puestos de diagnóstico y tratamiento de malaria, las cuales están orientadas por un formato y un instructivo estandarizado que vigila que las actividades de diagnóstico, tratamiento y notificación de los casos de malaria se realicen de acuerdo a los lineamientos nacionales. Estas visitas se realizan como mínimo una vez al semestre a todas las instituciones y puestos que realizan el diagnóstico por microscopía y por PDR.</w:t>
      </w:r>
    </w:p>
    <w:p w14:paraId="3D92F4F3" w14:textId="0991F5BA"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En la visita es importante llevar el Instructivo para el diligenciamiento de la ficha de supervisión a puestos de microscopía y la lista de chequeo de la dotación mínima</w:t>
      </w:r>
      <w:r w:rsidR="007F6956">
        <w:rPr>
          <w:rFonts w:ascii="Arial" w:hAnsi="Arial" w:cs="Arial"/>
          <w:sz w:val="21"/>
          <w:szCs w:val="21"/>
          <w:lang w:val="es-ES"/>
        </w:rPr>
        <w:t xml:space="preserve"> </w:t>
      </w:r>
      <w:sdt>
        <w:sdtPr>
          <w:rPr>
            <w:rFonts w:ascii="Arial" w:hAnsi="Arial" w:cs="Arial"/>
            <w:sz w:val="21"/>
            <w:szCs w:val="21"/>
            <w:lang w:val="es-ES"/>
          </w:rPr>
          <w:id w:val="-1713334526"/>
          <w:citation/>
        </w:sdtPr>
        <w:sdtEndPr/>
        <w:sdtContent>
          <w:r w:rsidR="007F6956">
            <w:rPr>
              <w:rFonts w:ascii="Arial" w:hAnsi="Arial" w:cs="Arial"/>
              <w:sz w:val="21"/>
              <w:szCs w:val="21"/>
              <w:lang w:val="es-ES"/>
            </w:rPr>
            <w:fldChar w:fldCharType="begin"/>
          </w:r>
          <w:r w:rsidR="007F6956">
            <w:rPr>
              <w:rFonts w:ascii="Arial" w:hAnsi="Arial" w:cs="Arial"/>
              <w:sz w:val="21"/>
              <w:szCs w:val="21"/>
            </w:rPr>
            <w:instrText xml:space="preserve"> CITATION Ins151 \l 9226 </w:instrText>
          </w:r>
          <w:r w:rsidR="007F6956">
            <w:rPr>
              <w:rFonts w:ascii="Arial" w:hAnsi="Arial" w:cs="Arial"/>
              <w:sz w:val="21"/>
              <w:szCs w:val="21"/>
              <w:lang w:val="es-ES"/>
            </w:rPr>
            <w:fldChar w:fldCharType="separate"/>
          </w:r>
          <w:r w:rsidR="00AA1963" w:rsidRPr="00AA1963">
            <w:rPr>
              <w:rFonts w:ascii="Arial" w:hAnsi="Arial" w:cs="Arial"/>
              <w:noProof/>
              <w:sz w:val="21"/>
              <w:szCs w:val="21"/>
            </w:rPr>
            <w:t>(7)</w:t>
          </w:r>
          <w:r w:rsidR="007F6956">
            <w:rPr>
              <w:rFonts w:ascii="Arial" w:hAnsi="Arial" w:cs="Arial"/>
              <w:sz w:val="21"/>
              <w:szCs w:val="21"/>
              <w:lang w:val="es-ES"/>
            </w:rPr>
            <w:fldChar w:fldCharType="end"/>
          </w:r>
        </w:sdtContent>
      </w:sdt>
      <w:r w:rsidR="007F6956">
        <w:rPr>
          <w:rFonts w:ascii="Arial" w:hAnsi="Arial" w:cs="Arial"/>
          <w:sz w:val="21"/>
          <w:szCs w:val="21"/>
          <w:lang w:val="es-ES"/>
        </w:rPr>
        <w:t xml:space="preserve"> .</w:t>
      </w:r>
    </w:p>
    <w:p w14:paraId="49CBECFD" w14:textId="77777777" w:rsidR="002C1928" w:rsidRPr="002C1928" w:rsidRDefault="002C1928" w:rsidP="002C1928">
      <w:pPr>
        <w:pStyle w:val="Ttulo2"/>
        <w:rPr>
          <w:lang w:val="es-ES"/>
        </w:rPr>
      </w:pPr>
      <w:bookmarkStart w:id="7" w:name="_Toc60161015"/>
      <w:r w:rsidRPr="002C1928">
        <w:rPr>
          <w:lang w:val="es-ES"/>
        </w:rPr>
        <w:t>Asistencia técnica</w:t>
      </w:r>
      <w:bookmarkEnd w:id="7"/>
    </w:p>
    <w:p w14:paraId="158ED553" w14:textId="1E74C264"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Actividad que permite transmitir información y conocimiento, así como formar aptitudes y desarrollar habilidades técnicas relacionadas con el diagnóstico parasitario de malaria y su calidad. La asistencia técnica puede realizarse de manera presencial o virtual.</w:t>
      </w:r>
    </w:p>
    <w:p w14:paraId="239A915E" w14:textId="77777777" w:rsidR="002C1928" w:rsidRPr="002C1928" w:rsidRDefault="002C1928" w:rsidP="002C1928">
      <w:pPr>
        <w:pStyle w:val="Ttulo2"/>
        <w:rPr>
          <w:lang w:val="es-ES"/>
        </w:rPr>
      </w:pPr>
      <w:bookmarkStart w:id="8" w:name="_Toc60161016"/>
      <w:r w:rsidRPr="002C1928">
        <w:rPr>
          <w:lang w:val="es-ES"/>
        </w:rPr>
        <w:t>Referencia y contra referencia</w:t>
      </w:r>
      <w:bookmarkEnd w:id="8"/>
    </w:p>
    <w:p w14:paraId="31F2DDB3" w14:textId="23838008" w:rsidR="002C1928" w:rsidRPr="002C1928" w:rsidRDefault="002C1928" w:rsidP="002C1928">
      <w:pPr>
        <w:rPr>
          <w:rFonts w:ascii="Arial" w:hAnsi="Arial" w:cs="Arial"/>
          <w:sz w:val="21"/>
          <w:szCs w:val="21"/>
          <w:lang w:val="es-ES"/>
        </w:rPr>
      </w:pPr>
      <w:r w:rsidRPr="002C1928">
        <w:rPr>
          <w:rFonts w:ascii="Arial" w:hAnsi="Arial" w:cs="Arial"/>
          <w:sz w:val="21"/>
          <w:szCs w:val="21"/>
          <w:lang w:val="es-ES"/>
        </w:rPr>
        <w:t xml:space="preserve">Actividad mediante la cual los laboratorios públicos y privados u otras instituciones remiten muestras para la confirmación diagnóstica de malaria al nivel jerárquico inmediatamente superior para su revisión y claridad en el diagnóstico. Para tal efecto, se deben enviar las muestras con el resultado del laboratorio o puesto de diagnóstico remitente </w:t>
      </w:r>
      <w:sdt>
        <w:sdtPr>
          <w:rPr>
            <w:rFonts w:ascii="Arial" w:hAnsi="Arial" w:cs="Arial"/>
            <w:sz w:val="21"/>
            <w:szCs w:val="21"/>
            <w:lang w:val="es-ES"/>
          </w:rPr>
          <w:id w:val="1433315260"/>
          <w:citation/>
        </w:sdtPr>
        <w:sdtEndPr/>
        <w:sdtContent>
          <w:r w:rsidR="007F6956">
            <w:rPr>
              <w:rFonts w:ascii="Arial" w:hAnsi="Arial" w:cs="Arial"/>
              <w:sz w:val="21"/>
              <w:szCs w:val="21"/>
              <w:lang w:val="es-ES"/>
            </w:rPr>
            <w:fldChar w:fldCharType="begin"/>
          </w:r>
          <w:r w:rsidR="007F6956">
            <w:rPr>
              <w:rFonts w:ascii="Arial" w:hAnsi="Arial" w:cs="Arial"/>
              <w:sz w:val="21"/>
              <w:szCs w:val="21"/>
            </w:rPr>
            <w:instrText xml:space="preserve"> CITATION Ins151 \l 9226 </w:instrText>
          </w:r>
          <w:r w:rsidR="007F6956">
            <w:rPr>
              <w:rFonts w:ascii="Arial" w:hAnsi="Arial" w:cs="Arial"/>
              <w:sz w:val="21"/>
              <w:szCs w:val="21"/>
              <w:lang w:val="es-ES"/>
            </w:rPr>
            <w:fldChar w:fldCharType="separate"/>
          </w:r>
          <w:r w:rsidR="00AA1963" w:rsidRPr="00AA1963">
            <w:rPr>
              <w:rFonts w:ascii="Arial" w:hAnsi="Arial" w:cs="Arial"/>
              <w:noProof/>
              <w:sz w:val="21"/>
              <w:szCs w:val="21"/>
            </w:rPr>
            <w:t>(7)</w:t>
          </w:r>
          <w:r w:rsidR="007F6956">
            <w:rPr>
              <w:rFonts w:ascii="Arial" w:hAnsi="Arial" w:cs="Arial"/>
              <w:sz w:val="21"/>
              <w:szCs w:val="21"/>
              <w:lang w:val="es-ES"/>
            </w:rPr>
            <w:fldChar w:fldCharType="end"/>
          </w:r>
        </w:sdtContent>
      </w:sdt>
      <w:r w:rsidRPr="002C1928">
        <w:rPr>
          <w:rFonts w:ascii="Arial" w:hAnsi="Arial" w:cs="Arial"/>
          <w:sz w:val="21"/>
          <w:szCs w:val="21"/>
          <w:lang w:val="es-ES"/>
        </w:rPr>
        <w:t>.</w:t>
      </w:r>
    </w:p>
    <w:p w14:paraId="4D2FDD4A" w14:textId="77777777" w:rsidR="002C1928" w:rsidRPr="002C1928" w:rsidRDefault="002C1928" w:rsidP="002C1928">
      <w:pPr>
        <w:pStyle w:val="Ttulo2"/>
        <w:rPr>
          <w:lang w:val="es-ES"/>
        </w:rPr>
      </w:pPr>
      <w:bookmarkStart w:id="9" w:name="_Toc60161017"/>
      <w:r w:rsidRPr="002C1928">
        <w:rPr>
          <w:lang w:val="es-ES"/>
        </w:rPr>
        <w:lastRenderedPageBreak/>
        <w:t>Lineamientos Nacionales para el diagnóstico microscópico de malaria:</w:t>
      </w:r>
      <w:bookmarkEnd w:id="9"/>
      <w:r w:rsidRPr="002C1928">
        <w:rPr>
          <w:lang w:val="es-ES"/>
        </w:rPr>
        <w:t xml:space="preserve"> </w:t>
      </w:r>
    </w:p>
    <w:p w14:paraId="0A9A05CC"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Confirmar la positividad o negatividad empleando la gota gruesa. </w:t>
      </w:r>
    </w:p>
    <w:p w14:paraId="51DD1024"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Negatividad: una lámina es negativa cuando se evidencia la ausencia de parásitos después al observar por lo menos 500 campos microscópicos con objetivo 100x. </w:t>
      </w:r>
    </w:p>
    <w:p w14:paraId="28C1154A"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Si se confirma la positividad se debe confirmar especie parasitaria; descartando una posible Infección mixta. </w:t>
      </w:r>
    </w:p>
    <w:p w14:paraId="125A740E"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Si persisten dudas en la especie se debe usar el extendido de sangre periférica. </w:t>
      </w:r>
    </w:p>
    <w:p w14:paraId="3322EB18"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Recuento:  La fórmula general es Número de parásitos X 8000 /número de Leucocitos </w:t>
      </w:r>
    </w:p>
    <w:p w14:paraId="5DA1BF6C"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Consideraciones especiales:</w:t>
      </w:r>
    </w:p>
    <w:p w14:paraId="21398BEC"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Si al contar 200 leucocitos, se observan 10 o más parásitos, aplicar la fórmula con base en 200 leucocitos. </w:t>
      </w:r>
    </w:p>
    <w:p w14:paraId="37B98F9D"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Si al contar 200 leucocitos, se observan 9 o menos parásitos, se continúa el recuento hasta llegar a 500 leucocitos y aplicar la fórmula con base en los 500 leucocitos. </w:t>
      </w:r>
    </w:p>
    <w:p w14:paraId="64C73A52"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Si se cuentan 500 parásitos sin llegar a contar los 200 leucocitos, el recuento se dará por terminado al finalizar la lectura del último campo.</w:t>
      </w:r>
    </w:p>
    <w:p w14:paraId="4A155626"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Informe de resultados: </w:t>
      </w:r>
    </w:p>
    <w:p w14:paraId="2F96BB09"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Resultados negativos: “Gota gruesa negativa para hemoparásitos, No se observan parásitos en la muestra examinada” </w:t>
      </w:r>
    </w:p>
    <w:p w14:paraId="449209D5"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Resultados positivos: “Gota gruesa positiva para la especie o especies de </w:t>
      </w:r>
      <w:r w:rsidRPr="00D45DC6">
        <w:rPr>
          <w:rFonts w:ascii="Arial" w:hAnsi="Arial" w:cs="Arial"/>
          <w:i/>
          <w:sz w:val="21"/>
          <w:szCs w:val="21"/>
          <w:lang w:val="es-ES"/>
        </w:rPr>
        <w:t>Plasmodium sp</w:t>
      </w:r>
      <w:r w:rsidRPr="002C1928">
        <w:rPr>
          <w:rFonts w:ascii="Arial" w:hAnsi="Arial" w:cs="Arial"/>
          <w:sz w:val="21"/>
          <w:szCs w:val="21"/>
          <w:lang w:val="es-ES"/>
        </w:rPr>
        <w:t xml:space="preserve">. identificadas” En el caso de </w:t>
      </w:r>
      <w:r w:rsidRPr="00D45DC6">
        <w:rPr>
          <w:rFonts w:ascii="Arial" w:hAnsi="Arial" w:cs="Arial"/>
          <w:i/>
          <w:sz w:val="21"/>
          <w:szCs w:val="21"/>
          <w:lang w:val="es-ES"/>
        </w:rPr>
        <w:t>P. falciparum</w:t>
      </w:r>
      <w:r w:rsidRPr="002C1928">
        <w:rPr>
          <w:rFonts w:ascii="Arial" w:hAnsi="Arial" w:cs="Arial"/>
          <w:sz w:val="21"/>
          <w:szCs w:val="21"/>
          <w:lang w:val="es-ES"/>
        </w:rPr>
        <w:t xml:space="preserve"> reportar la presencia de formas sexuadas. </w:t>
      </w:r>
    </w:p>
    <w:p w14:paraId="319007BF"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Si se diagnostica una infección mixta reportar primero la especie predominante y el recuento diferenciado por especie. </w:t>
      </w:r>
    </w:p>
    <w:p w14:paraId="7D85FC48"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Uso de pruebas rápidas</w:t>
      </w:r>
    </w:p>
    <w:p w14:paraId="182C4474"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Como herramienta de diagnóstico complementaria en brotes y epidemias. </w:t>
      </w:r>
    </w:p>
    <w:p w14:paraId="754AD800"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En centros de salud o instituciones de salud, por otro personal de salud y agentes comunitarios, previamente capacitados, para ampliar cobertura y oportunidad en el diagnóstico. </w:t>
      </w:r>
    </w:p>
    <w:p w14:paraId="534D6B3D"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En laboratorios de salud pública (LSP) como complemento del diagnóstico microscópico y ante la duda de una de las especies de </w:t>
      </w:r>
      <w:r w:rsidRPr="00D45DC6">
        <w:rPr>
          <w:rFonts w:ascii="Arial" w:hAnsi="Arial" w:cs="Arial"/>
          <w:i/>
          <w:sz w:val="21"/>
          <w:szCs w:val="21"/>
          <w:lang w:val="es-ES"/>
        </w:rPr>
        <w:t>Plasmodium spp</w:t>
      </w:r>
      <w:r w:rsidRPr="002C1928">
        <w:rPr>
          <w:rFonts w:ascii="Arial" w:hAnsi="Arial" w:cs="Arial"/>
          <w:sz w:val="21"/>
          <w:szCs w:val="21"/>
          <w:lang w:val="es-ES"/>
        </w:rPr>
        <w:t>.  observadas al microscopio.</w:t>
      </w:r>
    </w:p>
    <w:p w14:paraId="5C17EB16"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En regiones con población dispersa con problemas de malaria y en donde no se cuente con el diagnóstico microscópico, pero que cuente con las condiciones necesarias para mantener las características ambientales sugeridas por el fabricante de las pruebas rápidas.</w:t>
      </w:r>
    </w:p>
    <w:p w14:paraId="5A5772B8" w14:textId="77777777" w:rsidR="002C1928" w:rsidRPr="002C1928" w:rsidRDefault="002C1928" w:rsidP="002C1928">
      <w:pPr>
        <w:pStyle w:val="Prrafodelista"/>
        <w:numPr>
          <w:ilvl w:val="0"/>
          <w:numId w:val="3"/>
        </w:numPr>
        <w:rPr>
          <w:rFonts w:ascii="Arial" w:hAnsi="Arial" w:cs="Arial"/>
          <w:sz w:val="21"/>
          <w:szCs w:val="21"/>
          <w:lang w:val="es-ES"/>
        </w:rPr>
      </w:pPr>
      <w:r w:rsidRPr="002C1928">
        <w:rPr>
          <w:rFonts w:ascii="Arial" w:hAnsi="Arial" w:cs="Arial"/>
          <w:sz w:val="21"/>
          <w:szCs w:val="21"/>
          <w:lang w:val="es-ES"/>
        </w:rPr>
        <w:t xml:space="preserve">Sistema de archivo de la documentación asociada a los Programas de Evaluación del Desempeño, tanto la que se genera desde el Laboratorio Nacional de Referencia hacia el nivel departamental, como la que se genera del nivel departamental al municipal. </w:t>
      </w:r>
    </w:p>
    <w:p w14:paraId="1E150709" w14:textId="2FE4D067" w:rsidR="002C1928" w:rsidRDefault="002C1928" w:rsidP="002C1928">
      <w:pPr>
        <w:rPr>
          <w:rFonts w:ascii="Arial" w:hAnsi="Arial" w:cs="Arial"/>
          <w:sz w:val="21"/>
          <w:szCs w:val="21"/>
          <w:lang w:val="es-ES"/>
        </w:rPr>
      </w:pPr>
      <w:r w:rsidRPr="002C1928">
        <w:rPr>
          <w:rFonts w:ascii="Arial" w:hAnsi="Arial" w:cs="Arial"/>
          <w:sz w:val="21"/>
          <w:szCs w:val="21"/>
          <w:lang w:val="es-ES"/>
        </w:rPr>
        <w:t xml:space="preserve">También de la información recibida por los niveles departamental y municipal producto de los resultados obtenidos en el control de calidad, de tal manera que permita hacer seguimiento, a través del tiempo, del desempeño y calidad del diagnóstico, así como generar estrategias de mejora de acuerdo </w:t>
      </w:r>
      <w:r>
        <w:rPr>
          <w:rFonts w:ascii="Arial" w:hAnsi="Arial" w:cs="Arial"/>
          <w:sz w:val="21"/>
          <w:szCs w:val="21"/>
          <w:lang w:val="es-ES"/>
        </w:rPr>
        <w:t>con</w:t>
      </w:r>
      <w:r w:rsidRPr="002C1928">
        <w:rPr>
          <w:rFonts w:ascii="Arial" w:hAnsi="Arial" w:cs="Arial"/>
          <w:sz w:val="21"/>
          <w:szCs w:val="21"/>
          <w:lang w:val="es-ES"/>
        </w:rPr>
        <w:t xml:space="preserve"> los resultados obtenidos </w:t>
      </w:r>
      <w:sdt>
        <w:sdtPr>
          <w:rPr>
            <w:rFonts w:ascii="Arial" w:hAnsi="Arial" w:cs="Arial"/>
            <w:sz w:val="21"/>
            <w:szCs w:val="21"/>
            <w:lang w:val="es-ES"/>
          </w:rPr>
          <w:id w:val="-2144877544"/>
          <w:citation/>
        </w:sdtPr>
        <w:sdtEndPr/>
        <w:sdtContent>
          <w:r w:rsidR="007F6956">
            <w:rPr>
              <w:rFonts w:ascii="Arial" w:hAnsi="Arial" w:cs="Arial"/>
              <w:sz w:val="21"/>
              <w:szCs w:val="21"/>
              <w:lang w:val="es-ES"/>
            </w:rPr>
            <w:fldChar w:fldCharType="begin"/>
          </w:r>
          <w:r w:rsidR="007F6956">
            <w:rPr>
              <w:rFonts w:ascii="Arial" w:hAnsi="Arial" w:cs="Arial"/>
              <w:sz w:val="21"/>
              <w:szCs w:val="21"/>
            </w:rPr>
            <w:instrText xml:space="preserve"> CITATION Cor201 \l 9226 </w:instrText>
          </w:r>
          <w:r w:rsidR="007F6956">
            <w:rPr>
              <w:rFonts w:ascii="Arial" w:hAnsi="Arial" w:cs="Arial"/>
              <w:sz w:val="21"/>
              <w:szCs w:val="21"/>
              <w:lang w:val="es-ES"/>
            </w:rPr>
            <w:fldChar w:fldCharType="separate"/>
          </w:r>
          <w:r w:rsidR="00AA1963" w:rsidRPr="00AA1963">
            <w:rPr>
              <w:rFonts w:ascii="Arial" w:hAnsi="Arial" w:cs="Arial"/>
              <w:noProof/>
              <w:sz w:val="21"/>
              <w:szCs w:val="21"/>
            </w:rPr>
            <w:t>(11)</w:t>
          </w:r>
          <w:r w:rsidR="007F6956">
            <w:rPr>
              <w:rFonts w:ascii="Arial" w:hAnsi="Arial" w:cs="Arial"/>
              <w:sz w:val="21"/>
              <w:szCs w:val="21"/>
              <w:lang w:val="es-ES"/>
            </w:rPr>
            <w:fldChar w:fldCharType="end"/>
          </w:r>
        </w:sdtContent>
      </w:sdt>
      <w:r w:rsidR="007F6956">
        <w:rPr>
          <w:rFonts w:ascii="Arial" w:hAnsi="Arial" w:cs="Arial"/>
          <w:sz w:val="21"/>
          <w:szCs w:val="21"/>
          <w:lang w:val="es-ES"/>
        </w:rPr>
        <w:t>.</w:t>
      </w:r>
    </w:p>
    <w:p w14:paraId="2F5F7CDA" w14:textId="7D4579F4" w:rsidR="007F6956" w:rsidRDefault="007F6956" w:rsidP="002C1928">
      <w:pPr>
        <w:rPr>
          <w:rFonts w:ascii="Arial" w:hAnsi="Arial" w:cs="Arial"/>
          <w:sz w:val="21"/>
          <w:szCs w:val="21"/>
          <w:lang w:val="es-ES"/>
        </w:rPr>
      </w:pPr>
    </w:p>
    <w:p w14:paraId="6D647FC5" w14:textId="4386ABC4" w:rsidR="007F6956" w:rsidRDefault="007F6956" w:rsidP="002C1928">
      <w:pPr>
        <w:rPr>
          <w:rFonts w:ascii="Arial" w:hAnsi="Arial" w:cs="Arial"/>
          <w:sz w:val="21"/>
          <w:szCs w:val="21"/>
          <w:lang w:val="es-ES"/>
        </w:rPr>
      </w:pPr>
    </w:p>
    <w:p w14:paraId="0A2E3C71" w14:textId="77777777" w:rsidR="007F6956" w:rsidRDefault="007F6956" w:rsidP="002C1928">
      <w:pPr>
        <w:rPr>
          <w:rFonts w:ascii="Arial" w:hAnsi="Arial" w:cs="Arial"/>
          <w:sz w:val="21"/>
          <w:szCs w:val="21"/>
          <w:lang w:val="es-ES"/>
        </w:rPr>
        <w:sectPr w:rsidR="007F6956" w:rsidSect="00CC2A39">
          <w:footerReference w:type="default" r:id="rId14"/>
          <w:footerReference w:type="first" r:id="rId15"/>
          <w:pgSz w:w="12240" w:h="15840"/>
          <w:pgMar w:top="1440" w:right="1440" w:bottom="1440" w:left="1440" w:header="709" w:footer="709" w:gutter="0"/>
          <w:pgNumType w:start="1"/>
          <w:cols w:space="708"/>
          <w:titlePg/>
          <w:docGrid w:linePitch="360"/>
        </w:sectPr>
      </w:pPr>
    </w:p>
    <w:bookmarkStart w:id="10" w:name="_Toc60161018" w:displacedByCustomXml="next"/>
    <w:sdt>
      <w:sdtPr>
        <w:rPr>
          <w:smallCaps w:val="0"/>
          <w:spacing w:val="0"/>
          <w:sz w:val="20"/>
          <w:szCs w:val="20"/>
          <w:lang w:val="es-ES"/>
        </w:rPr>
        <w:id w:val="-1885018032"/>
        <w:docPartObj>
          <w:docPartGallery w:val="Bibliographies"/>
          <w:docPartUnique/>
        </w:docPartObj>
      </w:sdtPr>
      <w:sdtEndPr>
        <w:rPr>
          <w:lang w:val="es-CO"/>
        </w:rPr>
      </w:sdtEndPr>
      <w:sdtContent>
        <w:p w14:paraId="548778D2" w14:textId="2000553C" w:rsidR="007F6956" w:rsidRDefault="007F6956">
          <w:pPr>
            <w:pStyle w:val="Ttulo1"/>
          </w:pPr>
          <w:r>
            <w:rPr>
              <w:lang w:val="es-ES"/>
            </w:rPr>
            <w:t>Bibliografía</w:t>
          </w:r>
          <w:bookmarkEnd w:id="10"/>
        </w:p>
        <w:sdt>
          <w:sdtPr>
            <w:id w:val="111145805"/>
            <w:bibliography/>
          </w:sdtPr>
          <w:sdtEndPr/>
          <w:sdtContent>
            <w:p w14:paraId="58F30A40" w14:textId="77777777" w:rsidR="00AA1963" w:rsidRDefault="007F6956" w:rsidP="00AA1963">
              <w:pPr>
                <w:pStyle w:val="Bibliografa"/>
                <w:rPr>
                  <w:noProof/>
                  <w:vanish/>
                  <w:sz w:val="24"/>
                  <w:szCs w:val="24"/>
                </w:rPr>
              </w:pPr>
              <w:r>
                <w:fldChar w:fldCharType="begin"/>
              </w:r>
              <w:r>
                <w:instrText>BIBLIOGRAPHY</w:instrText>
              </w:r>
              <w:r>
                <w:fldChar w:fldCharType="separate"/>
              </w:r>
              <w:r w:rsidR="00AA1963">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1"/>
                <w:gridCol w:w="9139"/>
              </w:tblGrid>
              <w:tr w:rsidR="00AA1963" w14:paraId="392C5CA9" w14:textId="77777777" w:rsidTr="00AA1963">
                <w:trPr>
                  <w:tblCellSpacing w:w="15" w:type="dxa"/>
                </w:trPr>
                <w:tc>
                  <w:tcPr>
                    <w:tcW w:w="0" w:type="auto"/>
                    <w:hideMark/>
                  </w:tcPr>
                  <w:p w14:paraId="7EDD26B8" w14:textId="77777777" w:rsidR="00AA1963" w:rsidRDefault="00AA1963">
                    <w:pPr>
                      <w:pStyle w:val="Bibliografa"/>
                      <w:jc w:val="right"/>
                      <w:rPr>
                        <w:noProof/>
                      </w:rPr>
                    </w:pPr>
                    <w:r>
                      <w:rPr>
                        <w:noProof/>
                      </w:rPr>
                      <w:t>1.</w:t>
                    </w:r>
                  </w:p>
                </w:tc>
                <w:tc>
                  <w:tcPr>
                    <w:tcW w:w="0" w:type="auto"/>
                    <w:hideMark/>
                  </w:tcPr>
                  <w:p w14:paraId="05236027" w14:textId="77777777" w:rsidR="00AA1963" w:rsidRDefault="00AA1963">
                    <w:pPr>
                      <w:pStyle w:val="Bibliografa"/>
                      <w:rPr>
                        <w:noProof/>
                      </w:rPr>
                    </w:pPr>
                    <w:r w:rsidRPr="00D45DC6">
                      <w:rPr>
                        <w:noProof/>
                        <w:lang w:val="en-US"/>
                      </w:rPr>
                      <w:t xml:space="preserve">David A. Warrell HMG. Essential Malariology Londres: Ed. </w:t>
                    </w:r>
                    <w:r>
                      <w:rPr>
                        <w:noProof/>
                      </w:rPr>
                      <w:t>Arnold; 2002.</w:t>
                    </w:r>
                  </w:p>
                </w:tc>
              </w:tr>
              <w:tr w:rsidR="00AA1963" w:rsidRPr="00D45DC6" w14:paraId="09849559" w14:textId="77777777" w:rsidTr="00AA1963">
                <w:trPr>
                  <w:tblCellSpacing w:w="15" w:type="dxa"/>
                </w:trPr>
                <w:tc>
                  <w:tcPr>
                    <w:tcW w:w="0" w:type="auto"/>
                    <w:hideMark/>
                  </w:tcPr>
                  <w:p w14:paraId="75EB847A" w14:textId="77777777" w:rsidR="00AA1963" w:rsidRDefault="00AA1963">
                    <w:pPr>
                      <w:pStyle w:val="Bibliografa"/>
                      <w:jc w:val="right"/>
                      <w:rPr>
                        <w:noProof/>
                      </w:rPr>
                    </w:pPr>
                    <w:r>
                      <w:rPr>
                        <w:noProof/>
                      </w:rPr>
                      <w:t>2.</w:t>
                    </w:r>
                  </w:p>
                </w:tc>
                <w:tc>
                  <w:tcPr>
                    <w:tcW w:w="0" w:type="auto"/>
                    <w:hideMark/>
                  </w:tcPr>
                  <w:p w14:paraId="6746284A" w14:textId="77777777" w:rsidR="00AA1963" w:rsidRPr="00D45DC6" w:rsidRDefault="00AA1963">
                    <w:pPr>
                      <w:pStyle w:val="Bibliografa"/>
                      <w:rPr>
                        <w:noProof/>
                        <w:lang w:val="en-US"/>
                      </w:rPr>
                    </w:pPr>
                    <w:r w:rsidRPr="00D45DC6">
                      <w:rPr>
                        <w:noProof/>
                        <w:lang w:val="en-US"/>
                      </w:rPr>
                      <w:t>World Health Organization. Basic malaria microscopy Part. I. Learner`s Guide Geneva: World Health Organization; 1991.</w:t>
                    </w:r>
                  </w:p>
                </w:tc>
              </w:tr>
              <w:tr w:rsidR="00AA1963" w14:paraId="1C6ECCAC" w14:textId="77777777" w:rsidTr="00AA1963">
                <w:trPr>
                  <w:tblCellSpacing w:w="15" w:type="dxa"/>
                </w:trPr>
                <w:tc>
                  <w:tcPr>
                    <w:tcW w:w="0" w:type="auto"/>
                    <w:hideMark/>
                  </w:tcPr>
                  <w:p w14:paraId="3E62317A" w14:textId="77777777" w:rsidR="00AA1963" w:rsidRDefault="00AA1963">
                    <w:pPr>
                      <w:pStyle w:val="Bibliografa"/>
                      <w:jc w:val="right"/>
                      <w:rPr>
                        <w:noProof/>
                      </w:rPr>
                    </w:pPr>
                    <w:r>
                      <w:rPr>
                        <w:noProof/>
                      </w:rPr>
                      <w:t>3.</w:t>
                    </w:r>
                  </w:p>
                </w:tc>
                <w:tc>
                  <w:tcPr>
                    <w:tcW w:w="0" w:type="auto"/>
                    <w:hideMark/>
                  </w:tcPr>
                  <w:p w14:paraId="5810ED5C" w14:textId="27A3E2C6" w:rsidR="00AA1963" w:rsidRDefault="00AA1963">
                    <w:pPr>
                      <w:pStyle w:val="Bibliografa"/>
                      <w:rPr>
                        <w:noProof/>
                      </w:rPr>
                    </w:pPr>
                    <w:r>
                      <w:rPr>
                        <w:noProof/>
                      </w:rPr>
                      <w:t xml:space="preserve">Organización Mundial de la Salud. La iniciativa T3: Test. Treat. Track contra el paludismo. [Online].; 2015. Available from: </w:t>
                    </w:r>
                    <w:hyperlink r:id="rId16" w:history="1">
                      <w:r>
                        <w:rPr>
                          <w:rStyle w:val="Hipervnculo"/>
                          <w:noProof/>
                        </w:rPr>
                        <w:t>http://www.who.int/malaria/areas/test_treat_track/es/</w:t>
                      </w:r>
                    </w:hyperlink>
                    <w:r>
                      <w:rPr>
                        <w:noProof/>
                      </w:rPr>
                      <w:t>.</w:t>
                    </w:r>
                  </w:p>
                </w:tc>
              </w:tr>
              <w:tr w:rsidR="00AA1963" w14:paraId="08ECDD51" w14:textId="77777777" w:rsidTr="00AA1963">
                <w:trPr>
                  <w:tblCellSpacing w:w="15" w:type="dxa"/>
                </w:trPr>
                <w:tc>
                  <w:tcPr>
                    <w:tcW w:w="0" w:type="auto"/>
                    <w:hideMark/>
                  </w:tcPr>
                  <w:p w14:paraId="61AEABB0" w14:textId="77777777" w:rsidR="00AA1963" w:rsidRDefault="00AA1963">
                    <w:pPr>
                      <w:pStyle w:val="Bibliografa"/>
                      <w:jc w:val="right"/>
                      <w:rPr>
                        <w:noProof/>
                      </w:rPr>
                    </w:pPr>
                    <w:r>
                      <w:rPr>
                        <w:noProof/>
                      </w:rPr>
                      <w:t>4.</w:t>
                    </w:r>
                  </w:p>
                </w:tc>
                <w:tc>
                  <w:tcPr>
                    <w:tcW w:w="0" w:type="auto"/>
                    <w:hideMark/>
                  </w:tcPr>
                  <w:p w14:paraId="04FD6A8A" w14:textId="553F9919" w:rsidR="00AA1963" w:rsidRDefault="00AA1963">
                    <w:pPr>
                      <w:pStyle w:val="Bibliografa"/>
                      <w:rPr>
                        <w:noProof/>
                      </w:rPr>
                    </w:pPr>
                    <w:r>
                      <w:rPr>
                        <w:noProof/>
                      </w:rPr>
                      <w:t xml:space="preserve">Ministerio de Salud de Colombia. Resolución 412 de 2000: Guía de atención clínica malaria. [Online].; 2000. Available from: </w:t>
                    </w:r>
                    <w:hyperlink r:id="rId17" w:history="1">
                      <w:r>
                        <w:rPr>
                          <w:rStyle w:val="Hipervnculo"/>
                          <w:noProof/>
                        </w:rPr>
                        <w:t>http://www.acin.org/acin/new/Portals/0/Templates/guia%20de%20atencion%20clinica%20de%20malaria%202010.pdf</w:t>
                      </w:r>
                    </w:hyperlink>
                    <w:r>
                      <w:rPr>
                        <w:noProof/>
                      </w:rPr>
                      <w:t>.</w:t>
                    </w:r>
                  </w:p>
                </w:tc>
              </w:tr>
              <w:tr w:rsidR="00AA1963" w:rsidRPr="00D45DC6" w14:paraId="69293C9D" w14:textId="77777777" w:rsidTr="00AA1963">
                <w:trPr>
                  <w:tblCellSpacing w:w="15" w:type="dxa"/>
                </w:trPr>
                <w:tc>
                  <w:tcPr>
                    <w:tcW w:w="0" w:type="auto"/>
                    <w:hideMark/>
                  </w:tcPr>
                  <w:p w14:paraId="01F33436" w14:textId="77777777" w:rsidR="00AA1963" w:rsidRDefault="00AA1963">
                    <w:pPr>
                      <w:pStyle w:val="Bibliografa"/>
                      <w:jc w:val="right"/>
                      <w:rPr>
                        <w:noProof/>
                      </w:rPr>
                    </w:pPr>
                    <w:r>
                      <w:rPr>
                        <w:noProof/>
                      </w:rPr>
                      <w:t>5.</w:t>
                    </w:r>
                  </w:p>
                </w:tc>
                <w:tc>
                  <w:tcPr>
                    <w:tcW w:w="0" w:type="auto"/>
                    <w:hideMark/>
                  </w:tcPr>
                  <w:p w14:paraId="6A26AF8A" w14:textId="77777777" w:rsidR="00AA1963" w:rsidRPr="00D45DC6" w:rsidRDefault="00AA1963">
                    <w:pPr>
                      <w:pStyle w:val="Bibliografa"/>
                      <w:rPr>
                        <w:noProof/>
                        <w:lang w:val="en-US"/>
                      </w:rPr>
                    </w:pPr>
                    <w:r w:rsidRPr="00D45DC6">
                      <w:rPr>
                        <w:noProof/>
                        <w:lang w:val="en-US"/>
                      </w:rPr>
                      <w:t>World Health Organization. Malaria light microscopy creating a culture of quality Geneve: World Health Organization; 2005.</w:t>
                    </w:r>
                  </w:p>
                </w:tc>
              </w:tr>
              <w:tr w:rsidR="00AA1963" w14:paraId="6F91F203" w14:textId="77777777" w:rsidTr="00AA1963">
                <w:trPr>
                  <w:tblCellSpacing w:w="15" w:type="dxa"/>
                </w:trPr>
                <w:tc>
                  <w:tcPr>
                    <w:tcW w:w="0" w:type="auto"/>
                    <w:hideMark/>
                  </w:tcPr>
                  <w:p w14:paraId="6E075110" w14:textId="77777777" w:rsidR="00AA1963" w:rsidRDefault="00AA1963">
                    <w:pPr>
                      <w:pStyle w:val="Bibliografa"/>
                      <w:jc w:val="right"/>
                      <w:rPr>
                        <w:noProof/>
                      </w:rPr>
                    </w:pPr>
                    <w:r>
                      <w:rPr>
                        <w:noProof/>
                      </w:rPr>
                      <w:t>6.</w:t>
                    </w:r>
                  </w:p>
                </w:tc>
                <w:tc>
                  <w:tcPr>
                    <w:tcW w:w="0" w:type="auto"/>
                    <w:hideMark/>
                  </w:tcPr>
                  <w:p w14:paraId="29BDC096" w14:textId="77777777" w:rsidR="00AA1963" w:rsidRDefault="00AA1963">
                    <w:pPr>
                      <w:pStyle w:val="Bibliografa"/>
                      <w:rPr>
                        <w:noProof/>
                      </w:rPr>
                    </w:pPr>
                    <w:r w:rsidRPr="00D45DC6">
                      <w:rPr>
                        <w:noProof/>
                        <w:lang w:val="en-US"/>
                      </w:rPr>
                      <w:t xml:space="preserve">World Health Organization. Malaria microscopy quality assurance manual. </w:t>
                    </w:r>
                    <w:r>
                      <w:rPr>
                        <w:noProof/>
                      </w:rPr>
                      <w:t>Geneva Geneva: World Health Organization; 2009.</w:t>
                    </w:r>
                  </w:p>
                </w:tc>
              </w:tr>
              <w:tr w:rsidR="00AA1963" w14:paraId="7B718C64" w14:textId="77777777" w:rsidTr="00AA1963">
                <w:trPr>
                  <w:tblCellSpacing w:w="15" w:type="dxa"/>
                </w:trPr>
                <w:tc>
                  <w:tcPr>
                    <w:tcW w:w="0" w:type="auto"/>
                    <w:hideMark/>
                  </w:tcPr>
                  <w:p w14:paraId="4CFE4DC8" w14:textId="77777777" w:rsidR="00AA1963" w:rsidRDefault="00AA1963">
                    <w:pPr>
                      <w:pStyle w:val="Bibliografa"/>
                      <w:jc w:val="right"/>
                      <w:rPr>
                        <w:noProof/>
                      </w:rPr>
                    </w:pPr>
                    <w:r>
                      <w:rPr>
                        <w:noProof/>
                      </w:rPr>
                      <w:t>7.</w:t>
                    </w:r>
                  </w:p>
                </w:tc>
                <w:tc>
                  <w:tcPr>
                    <w:tcW w:w="0" w:type="auto"/>
                    <w:hideMark/>
                  </w:tcPr>
                  <w:p w14:paraId="52FAD2B0" w14:textId="77777777" w:rsidR="00AA1963" w:rsidRDefault="00AA1963">
                    <w:pPr>
                      <w:pStyle w:val="Bibliografa"/>
                      <w:rPr>
                        <w:noProof/>
                      </w:rPr>
                    </w:pPr>
                    <w:r>
                      <w:rPr>
                        <w:noProof/>
                      </w:rPr>
                      <w:t>Instituto Nacional de Salud, Fondo Mundial. Manual para el diagnóstico de malaria no complicada en puestos de diagnóstico y tratamiento. Bogotá:; 2015.</w:t>
                    </w:r>
                  </w:p>
                </w:tc>
              </w:tr>
              <w:tr w:rsidR="00AA1963" w14:paraId="5AA82DAD" w14:textId="77777777" w:rsidTr="00AA1963">
                <w:trPr>
                  <w:tblCellSpacing w:w="15" w:type="dxa"/>
                </w:trPr>
                <w:tc>
                  <w:tcPr>
                    <w:tcW w:w="0" w:type="auto"/>
                    <w:hideMark/>
                  </w:tcPr>
                  <w:p w14:paraId="4E23CC18" w14:textId="77777777" w:rsidR="00AA1963" w:rsidRDefault="00AA1963">
                    <w:pPr>
                      <w:pStyle w:val="Bibliografa"/>
                      <w:jc w:val="right"/>
                      <w:rPr>
                        <w:noProof/>
                      </w:rPr>
                    </w:pPr>
                    <w:r>
                      <w:rPr>
                        <w:noProof/>
                      </w:rPr>
                      <w:t>8.</w:t>
                    </w:r>
                  </w:p>
                </w:tc>
                <w:tc>
                  <w:tcPr>
                    <w:tcW w:w="0" w:type="auto"/>
                    <w:hideMark/>
                  </w:tcPr>
                  <w:p w14:paraId="4E59809F" w14:textId="77777777" w:rsidR="00AA1963" w:rsidRDefault="00AA1963">
                    <w:pPr>
                      <w:pStyle w:val="Bibliografa"/>
                      <w:rPr>
                        <w:noProof/>
                      </w:rPr>
                    </w:pPr>
                    <w:r>
                      <w:rPr>
                        <w:noProof/>
                      </w:rPr>
                      <w:t>Organización Panamericana de la Salud. Memorias Taller de Capacitación y Certificación de microscopistas para países de la región de las Américas. In Memorias Taller de Capacitación y Certificación de microscopistas para países de la región de las Américas; 2016; México, D.F: Organización Panamericana de la Salud.</w:t>
                    </w:r>
                  </w:p>
                </w:tc>
              </w:tr>
              <w:tr w:rsidR="00AA1963" w14:paraId="5050BFD0" w14:textId="77777777" w:rsidTr="00AA1963">
                <w:trPr>
                  <w:tblCellSpacing w:w="15" w:type="dxa"/>
                </w:trPr>
                <w:tc>
                  <w:tcPr>
                    <w:tcW w:w="0" w:type="auto"/>
                    <w:hideMark/>
                  </w:tcPr>
                  <w:p w14:paraId="00ED1E7E" w14:textId="77777777" w:rsidR="00AA1963" w:rsidRDefault="00AA1963">
                    <w:pPr>
                      <w:pStyle w:val="Bibliografa"/>
                      <w:jc w:val="right"/>
                      <w:rPr>
                        <w:noProof/>
                      </w:rPr>
                    </w:pPr>
                    <w:r>
                      <w:rPr>
                        <w:noProof/>
                      </w:rPr>
                      <w:t>9.</w:t>
                    </w:r>
                  </w:p>
                </w:tc>
                <w:tc>
                  <w:tcPr>
                    <w:tcW w:w="0" w:type="auto"/>
                    <w:hideMark/>
                  </w:tcPr>
                  <w:p w14:paraId="23B776AE" w14:textId="03E145C1" w:rsidR="00AA1963" w:rsidRDefault="00AA1963">
                    <w:pPr>
                      <w:pStyle w:val="Bibliografa"/>
                      <w:rPr>
                        <w:noProof/>
                      </w:rPr>
                    </w:pPr>
                    <w:r>
                      <w:rPr>
                        <w:noProof/>
                      </w:rPr>
                      <w:t xml:space="preserve">Instituto Nacional de Salud. Protocolo Programas Evaluación del Desempeño. [Online].; 2019. Available from: </w:t>
                    </w:r>
                    <w:hyperlink r:id="rId18" w:history="1">
                      <w:r>
                        <w:rPr>
                          <w:rStyle w:val="Hipervnculo"/>
                          <w:noProof/>
                        </w:rPr>
                        <w:t>https://www.ins.gov.co/TyS/programas-de-calidad/SiteAssets/programas-directos/parasitolog%c3%ada/PROTOCOLO%20PEED%20Malaria%202019.pdf</w:t>
                      </w:r>
                    </w:hyperlink>
                    <w:r>
                      <w:rPr>
                        <w:noProof/>
                      </w:rPr>
                      <w:t>.</w:t>
                    </w:r>
                  </w:p>
                </w:tc>
              </w:tr>
              <w:tr w:rsidR="00AA1963" w14:paraId="2E9A6AB9" w14:textId="77777777" w:rsidTr="00AA1963">
                <w:trPr>
                  <w:tblCellSpacing w:w="15" w:type="dxa"/>
                </w:trPr>
                <w:tc>
                  <w:tcPr>
                    <w:tcW w:w="0" w:type="auto"/>
                    <w:hideMark/>
                  </w:tcPr>
                  <w:p w14:paraId="44DB624B" w14:textId="77777777" w:rsidR="00AA1963" w:rsidRDefault="00AA1963">
                    <w:pPr>
                      <w:pStyle w:val="Bibliografa"/>
                      <w:jc w:val="right"/>
                      <w:rPr>
                        <w:noProof/>
                      </w:rPr>
                    </w:pPr>
                    <w:r>
                      <w:rPr>
                        <w:noProof/>
                      </w:rPr>
                      <w:t>10.</w:t>
                    </w:r>
                  </w:p>
                </w:tc>
                <w:tc>
                  <w:tcPr>
                    <w:tcW w:w="0" w:type="auto"/>
                    <w:hideMark/>
                  </w:tcPr>
                  <w:p w14:paraId="2F56C398" w14:textId="6BB1523D" w:rsidR="00AA1963" w:rsidRDefault="00AA1963">
                    <w:pPr>
                      <w:pStyle w:val="Bibliografa"/>
                      <w:rPr>
                        <w:noProof/>
                      </w:rPr>
                    </w:pPr>
                    <w:r w:rsidRPr="00D45DC6">
                      <w:rPr>
                        <w:noProof/>
                        <w:lang w:val="en-US"/>
                      </w:rPr>
                      <w:t xml:space="preserve">World Health Organization. Malaria microscopy quality assurance manual. </w:t>
                    </w:r>
                    <w:r>
                      <w:rPr>
                        <w:noProof/>
                      </w:rPr>
                      <w:t xml:space="preserve">[Online].; 2009. Available from: </w:t>
                    </w:r>
                    <w:hyperlink r:id="rId19" w:history="1">
                      <w:r>
                        <w:rPr>
                          <w:rStyle w:val="Hipervnculo"/>
                          <w:noProof/>
                        </w:rPr>
                        <w:t>WHO. Malaria microscopy quality assurance manual. Manila: Geneva: World Health Organization; 2009. Disponible en: http://apps.who.int/iris/bitstream/10665/204266/1/9789241549394_eng.pdf</w:t>
                      </w:r>
                    </w:hyperlink>
                    <w:r>
                      <w:rPr>
                        <w:noProof/>
                      </w:rPr>
                      <w:t>.</w:t>
                    </w:r>
                  </w:p>
                </w:tc>
              </w:tr>
              <w:tr w:rsidR="00AA1963" w14:paraId="4A4A87E0" w14:textId="77777777" w:rsidTr="00AA1963">
                <w:trPr>
                  <w:tblCellSpacing w:w="15" w:type="dxa"/>
                </w:trPr>
                <w:tc>
                  <w:tcPr>
                    <w:tcW w:w="0" w:type="auto"/>
                    <w:hideMark/>
                  </w:tcPr>
                  <w:p w14:paraId="74FD0023" w14:textId="77777777" w:rsidR="00AA1963" w:rsidRDefault="00AA1963">
                    <w:pPr>
                      <w:pStyle w:val="Bibliografa"/>
                      <w:jc w:val="right"/>
                      <w:rPr>
                        <w:noProof/>
                      </w:rPr>
                    </w:pPr>
                    <w:r>
                      <w:rPr>
                        <w:noProof/>
                      </w:rPr>
                      <w:t>11.</w:t>
                    </w:r>
                  </w:p>
                </w:tc>
                <w:tc>
                  <w:tcPr>
                    <w:tcW w:w="0" w:type="auto"/>
                    <w:hideMark/>
                  </w:tcPr>
                  <w:p w14:paraId="28FB431D" w14:textId="3C1C776E" w:rsidR="00AA1963" w:rsidRDefault="00AA1963">
                    <w:pPr>
                      <w:pStyle w:val="Bibliografa"/>
                      <w:rPr>
                        <w:noProof/>
                      </w:rPr>
                    </w:pPr>
                    <w:r>
                      <w:rPr>
                        <w:noProof/>
                      </w:rPr>
                      <w:t xml:space="preserve">Cortés LJ GA. Guía para la vigilancia por laboratorio de parásitos del género Plasmodium. [Online].; 2020. Available from: </w:t>
                    </w:r>
                    <w:hyperlink r:id="rId20" w:history="1">
                      <w:r>
                        <w:rPr>
                          <w:rStyle w:val="Hipervnculo"/>
                          <w:noProof/>
                        </w:rPr>
                        <w:t>Cortés LJ, Guerra AP, Guía para la vigilancia por laboratorio de parásitos del género Plasmodium s.p.p. Instituto Nacional de Salud. 2020. https://www.ins.gov.co/buscador-eventos/Informacin%20de%20laboratorio/Gu%C3%ADa%20para%20la%20vigilancia%20por%20lab</w:t>
                      </w:r>
                    </w:hyperlink>
                    <w:r>
                      <w:rPr>
                        <w:noProof/>
                      </w:rPr>
                      <w:t>.</w:t>
                    </w:r>
                  </w:p>
                </w:tc>
              </w:tr>
            </w:tbl>
            <w:p w14:paraId="284B7C23" w14:textId="77777777" w:rsidR="00AA1963" w:rsidRDefault="00AA1963" w:rsidP="00AA1963">
              <w:pPr>
                <w:pStyle w:val="Bibliografa"/>
                <w:rPr>
                  <w:noProof/>
                  <w:vanish/>
                </w:rPr>
              </w:pPr>
              <w:r>
                <w:rPr>
                  <w:noProof/>
                  <w:vanish/>
                </w:rPr>
                <w:t>x</w:t>
              </w:r>
            </w:p>
            <w:p w14:paraId="6C33034D" w14:textId="09D0880F" w:rsidR="007F6956" w:rsidRDefault="007F6956" w:rsidP="00AA1963">
              <w:r>
                <w:rPr>
                  <w:b/>
                  <w:bCs/>
                </w:rPr>
                <w:fldChar w:fldCharType="end"/>
              </w:r>
            </w:p>
          </w:sdtContent>
        </w:sdt>
      </w:sdtContent>
    </w:sdt>
    <w:p w14:paraId="68EF7C0B" w14:textId="77777777" w:rsidR="007F6956" w:rsidRDefault="007F6956" w:rsidP="002C1928">
      <w:pPr>
        <w:rPr>
          <w:rFonts w:ascii="Arial" w:hAnsi="Arial" w:cs="Arial"/>
          <w:sz w:val="21"/>
          <w:szCs w:val="21"/>
          <w:lang w:val="es-ES"/>
        </w:rPr>
      </w:pPr>
    </w:p>
    <w:p w14:paraId="7CDB5D9C" w14:textId="77777777" w:rsidR="002C1928" w:rsidRDefault="002C1928" w:rsidP="002C1928">
      <w:pPr>
        <w:rPr>
          <w:rFonts w:ascii="Arial" w:hAnsi="Arial" w:cs="Arial"/>
          <w:sz w:val="21"/>
          <w:szCs w:val="21"/>
          <w:lang w:val="es-ES"/>
        </w:rPr>
      </w:pPr>
    </w:p>
    <w:sectPr w:rsidR="002C1928" w:rsidSect="00CC2A39">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FBBF5" w14:textId="77777777" w:rsidR="00AF3DA0" w:rsidRDefault="00AF3DA0" w:rsidP="009114B7">
      <w:pPr>
        <w:spacing w:after="0" w:line="240" w:lineRule="auto"/>
      </w:pPr>
      <w:r>
        <w:separator/>
      </w:r>
    </w:p>
  </w:endnote>
  <w:endnote w:type="continuationSeparator" w:id="0">
    <w:p w14:paraId="47847DAC" w14:textId="77777777" w:rsidR="00AF3DA0" w:rsidRDefault="00AF3DA0" w:rsidP="009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5215E" w14:textId="77777777" w:rsidR="00CC2A39" w:rsidRPr="00CC2A39" w:rsidRDefault="00CC2A39">
    <w:pPr>
      <w:pStyle w:val="Piedepgina"/>
      <w:tabs>
        <w:tab w:val="clear" w:pos="4680"/>
        <w:tab w:val="clear" w:pos="9360"/>
      </w:tabs>
      <w:jc w:val="center"/>
      <w:rPr>
        <w:rFonts w:ascii="Arial" w:hAnsi="Arial" w:cs="Arial"/>
        <w:caps/>
        <w:noProof/>
        <w:color w:val="4472C4" w:themeColor="accent1"/>
      </w:rPr>
    </w:pPr>
    <w:r w:rsidRPr="00CC2A39">
      <w:rPr>
        <w:rFonts w:ascii="Arial" w:hAnsi="Arial" w:cs="Arial"/>
        <w:noProof/>
        <w:lang w:eastAsia="es-CO"/>
      </w:rPr>
      <w:drawing>
        <wp:anchor distT="0" distB="0" distL="114300" distR="114300" simplePos="0" relativeHeight="251659264" behindDoc="1" locked="0" layoutInCell="1" allowOverlap="1" wp14:anchorId="72EFC2BC" wp14:editId="730EA778">
          <wp:simplePos x="0" y="0"/>
          <wp:positionH relativeFrom="column">
            <wp:posOffset>-468085</wp:posOffset>
          </wp:positionH>
          <wp:positionV relativeFrom="paragraph">
            <wp:posOffset>13340</wp:posOffset>
          </wp:positionV>
          <wp:extent cx="6876000" cy="148590"/>
          <wp:effectExtent l="0" t="0" r="0" b="3810"/>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r w:rsidRPr="00CC2A39">
      <w:rPr>
        <w:rFonts w:ascii="Arial" w:hAnsi="Arial" w:cs="Arial"/>
        <w:caps/>
        <w:color w:val="4472C4" w:themeColor="accent1"/>
      </w:rPr>
      <w:fldChar w:fldCharType="begin"/>
    </w:r>
    <w:r w:rsidRPr="00CC2A39">
      <w:rPr>
        <w:rFonts w:ascii="Arial" w:hAnsi="Arial" w:cs="Arial"/>
        <w:caps/>
        <w:color w:val="4472C4" w:themeColor="accent1"/>
      </w:rPr>
      <w:instrText xml:space="preserve"> PAGE   \* MERGEFORMAT </w:instrText>
    </w:r>
    <w:r w:rsidRPr="00CC2A39">
      <w:rPr>
        <w:rFonts w:ascii="Arial" w:hAnsi="Arial" w:cs="Arial"/>
        <w:caps/>
        <w:color w:val="4472C4" w:themeColor="accent1"/>
      </w:rPr>
      <w:fldChar w:fldCharType="separate"/>
    </w:r>
    <w:r w:rsidR="00685EF2">
      <w:rPr>
        <w:rFonts w:ascii="Arial" w:hAnsi="Arial" w:cs="Arial"/>
        <w:caps/>
        <w:noProof/>
        <w:color w:val="4472C4" w:themeColor="accent1"/>
      </w:rPr>
      <w:t>1</w:t>
    </w:r>
    <w:r w:rsidRPr="00CC2A39">
      <w:rPr>
        <w:rFonts w:ascii="Arial" w:hAnsi="Arial" w:cs="Arial"/>
        <w:caps/>
        <w:noProof/>
        <w:color w:val="4472C4" w:themeColor="accent1"/>
      </w:rPr>
      <w:fldChar w:fldCharType="end"/>
    </w:r>
  </w:p>
  <w:p w14:paraId="47DDCAD2" w14:textId="77777777" w:rsidR="00CC2A39" w:rsidRDefault="00CC2A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5717" w14:textId="77777777" w:rsidR="00966AD0" w:rsidRPr="00CC2A39" w:rsidRDefault="00966AD0" w:rsidP="00966AD0">
    <w:pPr>
      <w:pStyle w:val="Piedepgina"/>
      <w:tabs>
        <w:tab w:val="clear" w:pos="4680"/>
        <w:tab w:val="clear" w:pos="9360"/>
      </w:tabs>
      <w:jc w:val="center"/>
      <w:rPr>
        <w:rFonts w:ascii="Arial" w:hAnsi="Arial" w:cs="Arial"/>
        <w:caps/>
        <w:noProof/>
        <w:color w:val="4472C4" w:themeColor="accent1"/>
      </w:rPr>
    </w:pPr>
    <w:r w:rsidRPr="00CC2A39">
      <w:rPr>
        <w:rFonts w:ascii="Arial" w:hAnsi="Arial" w:cs="Arial"/>
        <w:noProof/>
        <w:lang w:eastAsia="es-CO"/>
      </w:rPr>
      <w:drawing>
        <wp:anchor distT="0" distB="0" distL="114300" distR="114300" simplePos="0" relativeHeight="251667456" behindDoc="1" locked="0" layoutInCell="1" allowOverlap="1" wp14:anchorId="25F3E553" wp14:editId="18B15E12">
          <wp:simplePos x="0" y="0"/>
          <wp:positionH relativeFrom="column">
            <wp:posOffset>-468085</wp:posOffset>
          </wp:positionH>
          <wp:positionV relativeFrom="paragraph">
            <wp:posOffset>13340</wp:posOffset>
          </wp:positionV>
          <wp:extent cx="6876000" cy="148590"/>
          <wp:effectExtent l="0" t="0" r="0" b="3810"/>
          <wp:wrapNone/>
          <wp:docPr id="5"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r w:rsidRPr="00CC2A39">
      <w:rPr>
        <w:rFonts w:ascii="Arial" w:hAnsi="Arial" w:cs="Arial"/>
        <w:caps/>
        <w:color w:val="4472C4" w:themeColor="accent1"/>
      </w:rPr>
      <w:fldChar w:fldCharType="begin"/>
    </w:r>
    <w:r w:rsidRPr="00CC2A39">
      <w:rPr>
        <w:rFonts w:ascii="Arial" w:hAnsi="Arial" w:cs="Arial"/>
        <w:caps/>
        <w:color w:val="4472C4" w:themeColor="accent1"/>
      </w:rPr>
      <w:instrText xml:space="preserve"> PAGE   \* MERGEFORMAT </w:instrText>
    </w:r>
    <w:r w:rsidRPr="00CC2A39">
      <w:rPr>
        <w:rFonts w:ascii="Arial" w:hAnsi="Arial" w:cs="Arial"/>
        <w:caps/>
        <w:color w:val="4472C4" w:themeColor="accent1"/>
      </w:rPr>
      <w:fldChar w:fldCharType="separate"/>
    </w:r>
    <w:r w:rsidR="00685EF2">
      <w:rPr>
        <w:rFonts w:ascii="Arial" w:hAnsi="Arial" w:cs="Arial"/>
        <w:caps/>
        <w:noProof/>
        <w:color w:val="4472C4" w:themeColor="accent1"/>
      </w:rPr>
      <w:t>4</w:t>
    </w:r>
    <w:r w:rsidRPr="00CC2A39">
      <w:rPr>
        <w:rFonts w:ascii="Arial" w:hAnsi="Arial" w:cs="Arial"/>
        <w:caps/>
        <w:noProof/>
        <w:color w:val="4472C4" w:themeColor="accent1"/>
      </w:rPr>
      <w:fldChar w:fldCharType="end"/>
    </w:r>
  </w:p>
  <w:p w14:paraId="53D54537" w14:textId="23342CAB" w:rsidR="00966AD0" w:rsidRPr="00E6762C" w:rsidRDefault="00966AD0" w:rsidP="00E676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1D0F2" w14:textId="77777777" w:rsidR="00966AD0" w:rsidRPr="00966AD0" w:rsidRDefault="00966AD0">
    <w:pPr>
      <w:pStyle w:val="Piedepgina"/>
      <w:tabs>
        <w:tab w:val="clear" w:pos="4680"/>
        <w:tab w:val="clear" w:pos="9360"/>
      </w:tabs>
      <w:jc w:val="center"/>
      <w:rPr>
        <w:rFonts w:ascii="Arial" w:hAnsi="Arial" w:cs="Arial"/>
        <w:caps/>
        <w:noProof/>
        <w:color w:val="FFFFFF" w:themeColor="background1"/>
      </w:rPr>
    </w:pPr>
    <w:r w:rsidRPr="00966AD0">
      <w:rPr>
        <w:rFonts w:ascii="Arial" w:hAnsi="Arial" w:cs="Arial"/>
        <w:noProof/>
        <w:color w:val="FFFFFF" w:themeColor="background1"/>
        <w:lang w:eastAsia="es-CO"/>
      </w:rPr>
      <w:drawing>
        <wp:anchor distT="0" distB="0" distL="114300" distR="114300" simplePos="0" relativeHeight="251665408" behindDoc="1" locked="0" layoutInCell="1" allowOverlap="1" wp14:anchorId="5FE7DD70" wp14:editId="5D26FDBC">
          <wp:simplePos x="0" y="0"/>
          <wp:positionH relativeFrom="column">
            <wp:posOffset>-468085</wp:posOffset>
          </wp:positionH>
          <wp:positionV relativeFrom="paragraph">
            <wp:posOffset>13340</wp:posOffset>
          </wp:positionV>
          <wp:extent cx="6876000" cy="148590"/>
          <wp:effectExtent l="0" t="0" r="0" b="3810"/>
          <wp:wrapNone/>
          <wp:docPr id="4"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r w:rsidRPr="00966AD0">
      <w:rPr>
        <w:rFonts w:ascii="Arial" w:hAnsi="Arial" w:cs="Arial"/>
        <w:caps/>
        <w:color w:val="FFFFFF" w:themeColor="background1"/>
      </w:rPr>
      <w:fldChar w:fldCharType="begin"/>
    </w:r>
    <w:r w:rsidRPr="00966AD0">
      <w:rPr>
        <w:rFonts w:ascii="Arial" w:hAnsi="Arial" w:cs="Arial"/>
        <w:caps/>
        <w:color w:val="FFFFFF" w:themeColor="background1"/>
      </w:rPr>
      <w:instrText xml:space="preserve"> PAGE   \* MERGEFORMAT </w:instrText>
    </w:r>
    <w:r w:rsidRPr="00966AD0">
      <w:rPr>
        <w:rFonts w:ascii="Arial" w:hAnsi="Arial" w:cs="Arial"/>
        <w:caps/>
        <w:color w:val="FFFFFF" w:themeColor="background1"/>
      </w:rPr>
      <w:fldChar w:fldCharType="separate"/>
    </w:r>
    <w:r w:rsidR="00685EF2">
      <w:rPr>
        <w:rFonts w:ascii="Arial" w:hAnsi="Arial" w:cs="Arial"/>
        <w:caps/>
        <w:noProof/>
        <w:color w:val="FFFFFF" w:themeColor="background1"/>
      </w:rPr>
      <w:t>1</w:t>
    </w:r>
    <w:r w:rsidRPr="00966AD0">
      <w:rPr>
        <w:rFonts w:ascii="Arial" w:hAnsi="Arial" w:cs="Arial"/>
        <w:caps/>
        <w:noProof/>
        <w:color w:val="FFFFFF" w:themeColor="background1"/>
      </w:rPr>
      <w:fldChar w:fldCharType="end"/>
    </w:r>
  </w:p>
  <w:p w14:paraId="15D9CF06" w14:textId="77777777" w:rsidR="00966AD0" w:rsidRDefault="00966A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991CA" w14:textId="77777777" w:rsidR="00AF3DA0" w:rsidRDefault="00AF3DA0" w:rsidP="009114B7">
      <w:pPr>
        <w:spacing w:after="0" w:line="240" w:lineRule="auto"/>
      </w:pPr>
      <w:r>
        <w:separator/>
      </w:r>
    </w:p>
  </w:footnote>
  <w:footnote w:type="continuationSeparator" w:id="0">
    <w:p w14:paraId="1606FE2F" w14:textId="77777777" w:rsidR="00AF3DA0" w:rsidRDefault="00AF3DA0" w:rsidP="00911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2C4B" w14:textId="77777777" w:rsidR="009114B7" w:rsidRDefault="00E6762C">
    <w:pPr>
      <w:pStyle w:val="Encabezado"/>
    </w:pPr>
    <w:r>
      <w:rPr>
        <w:noProof/>
        <w:lang w:eastAsia="es-CO"/>
      </w:rPr>
      <w:drawing>
        <wp:inline distT="0" distB="0" distL="0" distR="0" wp14:anchorId="6F40A814" wp14:editId="1E7CF3FD">
          <wp:extent cx="850900" cy="342900"/>
          <wp:effectExtent l="0" t="0" r="0" b="0"/>
          <wp:docPr id="34" name="Picture 3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1">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5BC"/>
    <w:multiLevelType w:val="hybridMultilevel"/>
    <w:tmpl w:val="E53CB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7D806D8"/>
    <w:multiLevelType w:val="hybridMultilevel"/>
    <w:tmpl w:val="83E8C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524382D"/>
    <w:multiLevelType w:val="hybridMultilevel"/>
    <w:tmpl w:val="9224F7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28"/>
    <w:rsid w:val="000173BA"/>
    <w:rsid w:val="0003390D"/>
    <w:rsid w:val="00073A81"/>
    <w:rsid w:val="00080F06"/>
    <w:rsid w:val="0017486F"/>
    <w:rsid w:val="00174975"/>
    <w:rsid w:val="002561D2"/>
    <w:rsid w:val="002A5028"/>
    <w:rsid w:val="002C1928"/>
    <w:rsid w:val="00300AD7"/>
    <w:rsid w:val="003242C7"/>
    <w:rsid w:val="003852DC"/>
    <w:rsid w:val="00406EAD"/>
    <w:rsid w:val="00685EF2"/>
    <w:rsid w:val="006F461F"/>
    <w:rsid w:val="00701E08"/>
    <w:rsid w:val="00720650"/>
    <w:rsid w:val="00786190"/>
    <w:rsid w:val="007C38F6"/>
    <w:rsid w:val="007F6956"/>
    <w:rsid w:val="009114B7"/>
    <w:rsid w:val="0094685F"/>
    <w:rsid w:val="00966AD0"/>
    <w:rsid w:val="009D4C29"/>
    <w:rsid w:val="00AA1963"/>
    <w:rsid w:val="00AF3DA0"/>
    <w:rsid w:val="00B87403"/>
    <w:rsid w:val="00BF0AA6"/>
    <w:rsid w:val="00CC2A39"/>
    <w:rsid w:val="00D03B34"/>
    <w:rsid w:val="00D15888"/>
    <w:rsid w:val="00D3210D"/>
    <w:rsid w:val="00D45876"/>
    <w:rsid w:val="00D45DC6"/>
    <w:rsid w:val="00E11044"/>
    <w:rsid w:val="00E6762C"/>
    <w:rsid w:val="00F37A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519A"/>
  <w15:docId w15:val="{291B84F8-296F-455C-A42F-D708F8D6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CO"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B7"/>
  </w:style>
  <w:style w:type="paragraph" w:styleId="Ttulo1">
    <w:name w:val="heading 1"/>
    <w:basedOn w:val="Normal"/>
    <w:next w:val="Normal"/>
    <w:link w:val="Ttulo1Car"/>
    <w:uiPriority w:val="9"/>
    <w:qFormat/>
    <w:rsid w:val="009114B7"/>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114B7"/>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9114B7"/>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9114B7"/>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9114B7"/>
    <w:pPr>
      <w:spacing w:before="200" w:after="0"/>
      <w:jc w:val="left"/>
      <w:outlineLvl w:val="4"/>
    </w:pPr>
    <w:rPr>
      <w:smallCaps/>
      <w:color w:val="C45911" w:themeColor="accent2" w:themeShade="BF"/>
      <w:spacing w:val="10"/>
      <w:sz w:val="22"/>
      <w:szCs w:val="26"/>
    </w:rPr>
  </w:style>
  <w:style w:type="paragraph" w:styleId="Ttulo6">
    <w:name w:val="heading 6"/>
    <w:basedOn w:val="Normal"/>
    <w:next w:val="Normal"/>
    <w:link w:val="Ttulo6Car"/>
    <w:uiPriority w:val="9"/>
    <w:semiHidden/>
    <w:unhideWhenUsed/>
    <w:qFormat/>
    <w:rsid w:val="009114B7"/>
    <w:pPr>
      <w:spacing w:after="0"/>
      <w:jc w:val="left"/>
      <w:outlineLvl w:val="5"/>
    </w:pPr>
    <w:rPr>
      <w:smallCaps/>
      <w:color w:val="ED7D31" w:themeColor="accent2"/>
      <w:spacing w:val="5"/>
      <w:sz w:val="22"/>
    </w:rPr>
  </w:style>
  <w:style w:type="paragraph" w:styleId="Ttulo7">
    <w:name w:val="heading 7"/>
    <w:basedOn w:val="Normal"/>
    <w:next w:val="Normal"/>
    <w:link w:val="Ttulo7Car"/>
    <w:uiPriority w:val="9"/>
    <w:semiHidden/>
    <w:unhideWhenUsed/>
    <w:qFormat/>
    <w:rsid w:val="009114B7"/>
    <w:pPr>
      <w:spacing w:after="0"/>
      <w:jc w:val="left"/>
      <w:outlineLvl w:val="6"/>
    </w:pPr>
    <w:rPr>
      <w:b/>
      <w:smallCaps/>
      <w:color w:val="ED7D31" w:themeColor="accent2"/>
      <w:spacing w:val="10"/>
    </w:rPr>
  </w:style>
  <w:style w:type="paragraph" w:styleId="Ttulo8">
    <w:name w:val="heading 8"/>
    <w:basedOn w:val="Normal"/>
    <w:next w:val="Normal"/>
    <w:link w:val="Ttulo8Car"/>
    <w:uiPriority w:val="9"/>
    <w:semiHidden/>
    <w:unhideWhenUsed/>
    <w:qFormat/>
    <w:rsid w:val="009114B7"/>
    <w:pPr>
      <w:spacing w:after="0"/>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9114B7"/>
    <w:pPr>
      <w:spacing w:after="0"/>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14B7"/>
    <w:rPr>
      <w:smallCaps/>
      <w:spacing w:val="5"/>
      <w:sz w:val="32"/>
      <w:szCs w:val="32"/>
    </w:rPr>
  </w:style>
  <w:style w:type="character" w:customStyle="1" w:styleId="Ttulo2Car">
    <w:name w:val="Título 2 Car"/>
    <w:basedOn w:val="Fuentedeprrafopredeter"/>
    <w:link w:val="Ttulo2"/>
    <w:uiPriority w:val="9"/>
    <w:rsid w:val="009114B7"/>
    <w:rPr>
      <w:smallCaps/>
      <w:spacing w:val="5"/>
      <w:sz w:val="28"/>
      <w:szCs w:val="28"/>
    </w:rPr>
  </w:style>
  <w:style w:type="character" w:customStyle="1" w:styleId="Ttulo3Car">
    <w:name w:val="Título 3 Car"/>
    <w:basedOn w:val="Fuentedeprrafopredeter"/>
    <w:link w:val="Ttulo3"/>
    <w:uiPriority w:val="9"/>
    <w:semiHidden/>
    <w:rsid w:val="009114B7"/>
    <w:rPr>
      <w:smallCaps/>
      <w:spacing w:val="5"/>
      <w:sz w:val="24"/>
      <w:szCs w:val="24"/>
    </w:rPr>
  </w:style>
  <w:style w:type="character" w:customStyle="1" w:styleId="Ttulo4Car">
    <w:name w:val="Título 4 Car"/>
    <w:basedOn w:val="Fuentedeprrafopredeter"/>
    <w:link w:val="Ttulo4"/>
    <w:uiPriority w:val="9"/>
    <w:semiHidden/>
    <w:rsid w:val="009114B7"/>
    <w:rPr>
      <w:smallCaps/>
      <w:spacing w:val="10"/>
      <w:sz w:val="22"/>
      <w:szCs w:val="22"/>
    </w:rPr>
  </w:style>
  <w:style w:type="character" w:customStyle="1" w:styleId="Ttulo5Car">
    <w:name w:val="Título 5 Car"/>
    <w:basedOn w:val="Fuentedeprrafopredeter"/>
    <w:link w:val="Ttulo5"/>
    <w:uiPriority w:val="9"/>
    <w:semiHidden/>
    <w:rsid w:val="009114B7"/>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9114B7"/>
    <w:rPr>
      <w:smallCaps/>
      <w:color w:val="ED7D31" w:themeColor="accent2"/>
      <w:spacing w:val="5"/>
      <w:sz w:val="22"/>
    </w:rPr>
  </w:style>
  <w:style w:type="character" w:customStyle="1" w:styleId="Ttulo7Car">
    <w:name w:val="Título 7 Car"/>
    <w:basedOn w:val="Fuentedeprrafopredeter"/>
    <w:link w:val="Ttulo7"/>
    <w:uiPriority w:val="9"/>
    <w:semiHidden/>
    <w:rsid w:val="009114B7"/>
    <w:rPr>
      <w:b/>
      <w:smallCaps/>
      <w:color w:val="ED7D31" w:themeColor="accent2"/>
      <w:spacing w:val="10"/>
    </w:rPr>
  </w:style>
  <w:style w:type="character" w:customStyle="1" w:styleId="Ttulo8Car">
    <w:name w:val="Título 8 Car"/>
    <w:basedOn w:val="Fuentedeprrafopredeter"/>
    <w:link w:val="Ttulo8"/>
    <w:uiPriority w:val="9"/>
    <w:semiHidden/>
    <w:rsid w:val="009114B7"/>
    <w:rPr>
      <w:b/>
      <w:i/>
      <w:smallCaps/>
      <w:color w:val="C45911" w:themeColor="accent2" w:themeShade="BF"/>
    </w:rPr>
  </w:style>
  <w:style w:type="character" w:customStyle="1" w:styleId="Ttulo9Car">
    <w:name w:val="Título 9 Car"/>
    <w:basedOn w:val="Fuentedeprrafopredeter"/>
    <w:link w:val="Ttulo9"/>
    <w:uiPriority w:val="9"/>
    <w:semiHidden/>
    <w:rsid w:val="009114B7"/>
    <w:rPr>
      <w:b/>
      <w:i/>
      <w:smallCaps/>
      <w:color w:val="823B0B" w:themeColor="accent2" w:themeShade="7F"/>
    </w:rPr>
  </w:style>
  <w:style w:type="paragraph" w:styleId="Descripcin">
    <w:name w:val="caption"/>
    <w:basedOn w:val="Normal"/>
    <w:next w:val="Normal"/>
    <w:uiPriority w:val="35"/>
    <w:semiHidden/>
    <w:unhideWhenUsed/>
    <w:qFormat/>
    <w:rsid w:val="009114B7"/>
    <w:rPr>
      <w:b/>
      <w:bCs/>
      <w:caps/>
      <w:sz w:val="16"/>
      <w:szCs w:val="18"/>
    </w:rPr>
  </w:style>
  <w:style w:type="paragraph" w:styleId="Puesto">
    <w:name w:val="Title"/>
    <w:basedOn w:val="Normal"/>
    <w:next w:val="Normal"/>
    <w:link w:val="PuestoCar"/>
    <w:uiPriority w:val="10"/>
    <w:qFormat/>
    <w:rsid w:val="009114B7"/>
    <w:pPr>
      <w:pBdr>
        <w:top w:val="single" w:sz="12" w:space="1" w:color="ED7D31" w:themeColor="accent2"/>
      </w:pBdr>
      <w:spacing w:line="240" w:lineRule="auto"/>
      <w:jc w:val="right"/>
    </w:pPr>
    <w:rPr>
      <w:smallCaps/>
      <w:sz w:val="48"/>
      <w:szCs w:val="48"/>
    </w:rPr>
  </w:style>
  <w:style w:type="character" w:customStyle="1" w:styleId="PuestoCar">
    <w:name w:val="Puesto Car"/>
    <w:basedOn w:val="Fuentedeprrafopredeter"/>
    <w:link w:val="Puesto"/>
    <w:uiPriority w:val="10"/>
    <w:rsid w:val="009114B7"/>
    <w:rPr>
      <w:smallCaps/>
      <w:sz w:val="48"/>
      <w:szCs w:val="48"/>
    </w:rPr>
  </w:style>
  <w:style w:type="paragraph" w:styleId="Subttulo">
    <w:name w:val="Subtitle"/>
    <w:basedOn w:val="Normal"/>
    <w:next w:val="Normal"/>
    <w:link w:val="SubttuloCar"/>
    <w:uiPriority w:val="11"/>
    <w:qFormat/>
    <w:rsid w:val="009114B7"/>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114B7"/>
    <w:rPr>
      <w:rFonts w:asciiTheme="majorHAnsi" w:eastAsiaTheme="majorEastAsia" w:hAnsiTheme="majorHAnsi" w:cstheme="majorBidi"/>
      <w:szCs w:val="22"/>
    </w:rPr>
  </w:style>
  <w:style w:type="character" w:styleId="Textoennegrita">
    <w:name w:val="Strong"/>
    <w:uiPriority w:val="22"/>
    <w:qFormat/>
    <w:rsid w:val="009114B7"/>
    <w:rPr>
      <w:b/>
      <w:color w:val="ED7D31" w:themeColor="accent2"/>
    </w:rPr>
  </w:style>
  <w:style w:type="character" w:styleId="nfasis">
    <w:name w:val="Emphasis"/>
    <w:uiPriority w:val="20"/>
    <w:qFormat/>
    <w:rsid w:val="009114B7"/>
    <w:rPr>
      <w:b/>
      <w:i/>
      <w:spacing w:val="10"/>
    </w:rPr>
  </w:style>
  <w:style w:type="paragraph" w:styleId="Sinespaciado">
    <w:name w:val="No Spacing"/>
    <w:basedOn w:val="Normal"/>
    <w:link w:val="SinespaciadoCar"/>
    <w:uiPriority w:val="1"/>
    <w:qFormat/>
    <w:rsid w:val="009114B7"/>
    <w:pPr>
      <w:spacing w:after="0" w:line="240" w:lineRule="auto"/>
    </w:pPr>
  </w:style>
  <w:style w:type="character" w:customStyle="1" w:styleId="SinespaciadoCar">
    <w:name w:val="Sin espaciado Car"/>
    <w:basedOn w:val="Fuentedeprrafopredeter"/>
    <w:link w:val="Sinespaciado"/>
    <w:uiPriority w:val="1"/>
    <w:rsid w:val="009114B7"/>
  </w:style>
  <w:style w:type="paragraph" w:styleId="Prrafodelista">
    <w:name w:val="List Paragraph"/>
    <w:basedOn w:val="Normal"/>
    <w:uiPriority w:val="34"/>
    <w:qFormat/>
    <w:rsid w:val="009114B7"/>
    <w:pPr>
      <w:ind w:left="720"/>
      <w:contextualSpacing/>
    </w:pPr>
  </w:style>
  <w:style w:type="paragraph" w:styleId="Cita">
    <w:name w:val="Quote"/>
    <w:basedOn w:val="Normal"/>
    <w:next w:val="Normal"/>
    <w:link w:val="CitaCar"/>
    <w:uiPriority w:val="29"/>
    <w:qFormat/>
    <w:rsid w:val="009114B7"/>
    <w:rPr>
      <w:i/>
    </w:rPr>
  </w:style>
  <w:style w:type="character" w:customStyle="1" w:styleId="CitaCar">
    <w:name w:val="Cita Car"/>
    <w:basedOn w:val="Fuentedeprrafopredeter"/>
    <w:link w:val="Cita"/>
    <w:uiPriority w:val="29"/>
    <w:rsid w:val="009114B7"/>
    <w:rPr>
      <w:i/>
    </w:rPr>
  </w:style>
  <w:style w:type="paragraph" w:styleId="Citadestacada">
    <w:name w:val="Intense Quote"/>
    <w:basedOn w:val="Normal"/>
    <w:next w:val="Normal"/>
    <w:link w:val="CitadestacadaCar"/>
    <w:uiPriority w:val="30"/>
    <w:qFormat/>
    <w:rsid w:val="009114B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114B7"/>
    <w:rPr>
      <w:b/>
      <w:i/>
      <w:color w:val="FFFFFF" w:themeColor="background1"/>
      <w:shd w:val="clear" w:color="auto" w:fill="ED7D31" w:themeFill="accent2"/>
    </w:rPr>
  </w:style>
  <w:style w:type="character" w:styleId="nfasissutil">
    <w:name w:val="Subtle Emphasis"/>
    <w:uiPriority w:val="19"/>
    <w:qFormat/>
    <w:rsid w:val="009114B7"/>
    <w:rPr>
      <w:i/>
    </w:rPr>
  </w:style>
  <w:style w:type="character" w:styleId="nfasisintenso">
    <w:name w:val="Intense Emphasis"/>
    <w:uiPriority w:val="21"/>
    <w:qFormat/>
    <w:rsid w:val="009114B7"/>
    <w:rPr>
      <w:b/>
      <w:i/>
      <w:color w:val="ED7D31" w:themeColor="accent2"/>
      <w:spacing w:val="10"/>
    </w:rPr>
  </w:style>
  <w:style w:type="character" w:styleId="Referenciasutil">
    <w:name w:val="Subtle Reference"/>
    <w:uiPriority w:val="31"/>
    <w:qFormat/>
    <w:rsid w:val="009114B7"/>
    <w:rPr>
      <w:b/>
    </w:rPr>
  </w:style>
  <w:style w:type="character" w:styleId="Referenciaintensa">
    <w:name w:val="Intense Reference"/>
    <w:uiPriority w:val="32"/>
    <w:qFormat/>
    <w:rsid w:val="009114B7"/>
    <w:rPr>
      <w:b/>
      <w:bCs/>
      <w:smallCaps/>
      <w:spacing w:val="5"/>
      <w:sz w:val="22"/>
      <w:szCs w:val="22"/>
      <w:u w:val="single"/>
    </w:rPr>
  </w:style>
  <w:style w:type="character" w:styleId="Ttulodellibro">
    <w:name w:val="Book Title"/>
    <w:uiPriority w:val="33"/>
    <w:qFormat/>
    <w:rsid w:val="009114B7"/>
    <w:rPr>
      <w:rFonts w:asciiTheme="majorHAnsi" w:eastAsiaTheme="majorEastAsia" w:hAnsiTheme="majorHAnsi" w:cstheme="majorBidi"/>
      <w:i/>
      <w:iCs/>
      <w:sz w:val="20"/>
      <w:szCs w:val="20"/>
    </w:rPr>
  </w:style>
  <w:style w:type="paragraph" w:styleId="TtulodeTDC">
    <w:name w:val="TOC Heading"/>
    <w:basedOn w:val="Ttulo1"/>
    <w:next w:val="Normal"/>
    <w:uiPriority w:val="39"/>
    <w:unhideWhenUsed/>
    <w:qFormat/>
    <w:rsid w:val="009114B7"/>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174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975"/>
    <w:rPr>
      <w:rFonts w:ascii="Tahoma" w:hAnsi="Tahoma" w:cs="Tahoma"/>
      <w:sz w:val="16"/>
      <w:szCs w:val="16"/>
    </w:rPr>
  </w:style>
  <w:style w:type="paragraph" w:styleId="TDC1">
    <w:name w:val="toc 1"/>
    <w:basedOn w:val="Normal"/>
    <w:next w:val="Normal"/>
    <w:autoRedefine/>
    <w:uiPriority w:val="39"/>
    <w:unhideWhenUsed/>
    <w:rsid w:val="00966AD0"/>
    <w:pPr>
      <w:spacing w:after="100"/>
    </w:pPr>
  </w:style>
  <w:style w:type="paragraph" w:styleId="TDC2">
    <w:name w:val="toc 2"/>
    <w:basedOn w:val="Normal"/>
    <w:next w:val="Normal"/>
    <w:autoRedefine/>
    <w:uiPriority w:val="39"/>
    <w:unhideWhenUsed/>
    <w:rsid w:val="00966AD0"/>
    <w:pPr>
      <w:spacing w:after="100"/>
      <w:ind w:left="200"/>
    </w:pPr>
  </w:style>
  <w:style w:type="character" w:styleId="Hipervnculo">
    <w:name w:val="Hyperlink"/>
    <w:basedOn w:val="Fuentedeprrafopredeter"/>
    <w:uiPriority w:val="99"/>
    <w:unhideWhenUsed/>
    <w:rsid w:val="00966AD0"/>
    <w:rPr>
      <w:color w:val="0563C1" w:themeColor="hyperlink"/>
      <w:u w:val="single"/>
    </w:rPr>
  </w:style>
  <w:style w:type="paragraph" w:styleId="Bibliografa">
    <w:name w:val="Bibliography"/>
    <w:basedOn w:val="Normal"/>
    <w:next w:val="Normal"/>
    <w:uiPriority w:val="37"/>
    <w:unhideWhenUsed/>
    <w:rsid w:val="007F6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9271">
      <w:bodyDiv w:val="1"/>
      <w:marLeft w:val="0"/>
      <w:marRight w:val="0"/>
      <w:marTop w:val="0"/>
      <w:marBottom w:val="0"/>
      <w:divBdr>
        <w:top w:val="none" w:sz="0" w:space="0" w:color="auto"/>
        <w:left w:val="none" w:sz="0" w:space="0" w:color="auto"/>
        <w:bottom w:val="none" w:sz="0" w:space="0" w:color="auto"/>
        <w:right w:val="none" w:sz="0" w:space="0" w:color="auto"/>
      </w:divBdr>
    </w:div>
    <w:div w:id="62608478">
      <w:bodyDiv w:val="1"/>
      <w:marLeft w:val="0"/>
      <w:marRight w:val="0"/>
      <w:marTop w:val="0"/>
      <w:marBottom w:val="0"/>
      <w:divBdr>
        <w:top w:val="none" w:sz="0" w:space="0" w:color="auto"/>
        <w:left w:val="none" w:sz="0" w:space="0" w:color="auto"/>
        <w:bottom w:val="none" w:sz="0" w:space="0" w:color="auto"/>
        <w:right w:val="none" w:sz="0" w:space="0" w:color="auto"/>
      </w:divBdr>
    </w:div>
    <w:div w:id="110322486">
      <w:bodyDiv w:val="1"/>
      <w:marLeft w:val="0"/>
      <w:marRight w:val="0"/>
      <w:marTop w:val="0"/>
      <w:marBottom w:val="0"/>
      <w:divBdr>
        <w:top w:val="none" w:sz="0" w:space="0" w:color="auto"/>
        <w:left w:val="none" w:sz="0" w:space="0" w:color="auto"/>
        <w:bottom w:val="none" w:sz="0" w:space="0" w:color="auto"/>
        <w:right w:val="none" w:sz="0" w:space="0" w:color="auto"/>
      </w:divBdr>
    </w:div>
    <w:div w:id="115755356">
      <w:bodyDiv w:val="1"/>
      <w:marLeft w:val="0"/>
      <w:marRight w:val="0"/>
      <w:marTop w:val="0"/>
      <w:marBottom w:val="0"/>
      <w:divBdr>
        <w:top w:val="none" w:sz="0" w:space="0" w:color="auto"/>
        <w:left w:val="none" w:sz="0" w:space="0" w:color="auto"/>
        <w:bottom w:val="none" w:sz="0" w:space="0" w:color="auto"/>
        <w:right w:val="none" w:sz="0" w:space="0" w:color="auto"/>
      </w:divBdr>
    </w:div>
    <w:div w:id="191185351">
      <w:bodyDiv w:val="1"/>
      <w:marLeft w:val="0"/>
      <w:marRight w:val="0"/>
      <w:marTop w:val="0"/>
      <w:marBottom w:val="0"/>
      <w:divBdr>
        <w:top w:val="none" w:sz="0" w:space="0" w:color="auto"/>
        <w:left w:val="none" w:sz="0" w:space="0" w:color="auto"/>
        <w:bottom w:val="none" w:sz="0" w:space="0" w:color="auto"/>
        <w:right w:val="none" w:sz="0" w:space="0" w:color="auto"/>
      </w:divBdr>
    </w:div>
    <w:div w:id="248275181">
      <w:bodyDiv w:val="1"/>
      <w:marLeft w:val="0"/>
      <w:marRight w:val="0"/>
      <w:marTop w:val="0"/>
      <w:marBottom w:val="0"/>
      <w:divBdr>
        <w:top w:val="none" w:sz="0" w:space="0" w:color="auto"/>
        <w:left w:val="none" w:sz="0" w:space="0" w:color="auto"/>
        <w:bottom w:val="none" w:sz="0" w:space="0" w:color="auto"/>
        <w:right w:val="none" w:sz="0" w:space="0" w:color="auto"/>
      </w:divBdr>
    </w:div>
    <w:div w:id="290332980">
      <w:bodyDiv w:val="1"/>
      <w:marLeft w:val="0"/>
      <w:marRight w:val="0"/>
      <w:marTop w:val="0"/>
      <w:marBottom w:val="0"/>
      <w:divBdr>
        <w:top w:val="none" w:sz="0" w:space="0" w:color="auto"/>
        <w:left w:val="none" w:sz="0" w:space="0" w:color="auto"/>
        <w:bottom w:val="none" w:sz="0" w:space="0" w:color="auto"/>
        <w:right w:val="none" w:sz="0" w:space="0" w:color="auto"/>
      </w:divBdr>
    </w:div>
    <w:div w:id="295066216">
      <w:bodyDiv w:val="1"/>
      <w:marLeft w:val="0"/>
      <w:marRight w:val="0"/>
      <w:marTop w:val="0"/>
      <w:marBottom w:val="0"/>
      <w:divBdr>
        <w:top w:val="none" w:sz="0" w:space="0" w:color="auto"/>
        <w:left w:val="none" w:sz="0" w:space="0" w:color="auto"/>
        <w:bottom w:val="none" w:sz="0" w:space="0" w:color="auto"/>
        <w:right w:val="none" w:sz="0" w:space="0" w:color="auto"/>
      </w:divBdr>
    </w:div>
    <w:div w:id="357122540">
      <w:bodyDiv w:val="1"/>
      <w:marLeft w:val="0"/>
      <w:marRight w:val="0"/>
      <w:marTop w:val="0"/>
      <w:marBottom w:val="0"/>
      <w:divBdr>
        <w:top w:val="none" w:sz="0" w:space="0" w:color="auto"/>
        <w:left w:val="none" w:sz="0" w:space="0" w:color="auto"/>
        <w:bottom w:val="none" w:sz="0" w:space="0" w:color="auto"/>
        <w:right w:val="none" w:sz="0" w:space="0" w:color="auto"/>
      </w:divBdr>
    </w:div>
    <w:div w:id="368726209">
      <w:bodyDiv w:val="1"/>
      <w:marLeft w:val="0"/>
      <w:marRight w:val="0"/>
      <w:marTop w:val="0"/>
      <w:marBottom w:val="0"/>
      <w:divBdr>
        <w:top w:val="none" w:sz="0" w:space="0" w:color="auto"/>
        <w:left w:val="none" w:sz="0" w:space="0" w:color="auto"/>
        <w:bottom w:val="none" w:sz="0" w:space="0" w:color="auto"/>
        <w:right w:val="none" w:sz="0" w:space="0" w:color="auto"/>
      </w:divBdr>
    </w:div>
    <w:div w:id="550852000">
      <w:bodyDiv w:val="1"/>
      <w:marLeft w:val="0"/>
      <w:marRight w:val="0"/>
      <w:marTop w:val="0"/>
      <w:marBottom w:val="0"/>
      <w:divBdr>
        <w:top w:val="none" w:sz="0" w:space="0" w:color="auto"/>
        <w:left w:val="none" w:sz="0" w:space="0" w:color="auto"/>
        <w:bottom w:val="none" w:sz="0" w:space="0" w:color="auto"/>
        <w:right w:val="none" w:sz="0" w:space="0" w:color="auto"/>
      </w:divBdr>
    </w:div>
    <w:div w:id="637686550">
      <w:bodyDiv w:val="1"/>
      <w:marLeft w:val="0"/>
      <w:marRight w:val="0"/>
      <w:marTop w:val="0"/>
      <w:marBottom w:val="0"/>
      <w:divBdr>
        <w:top w:val="none" w:sz="0" w:space="0" w:color="auto"/>
        <w:left w:val="none" w:sz="0" w:space="0" w:color="auto"/>
        <w:bottom w:val="none" w:sz="0" w:space="0" w:color="auto"/>
        <w:right w:val="none" w:sz="0" w:space="0" w:color="auto"/>
      </w:divBdr>
    </w:div>
    <w:div w:id="719716905">
      <w:bodyDiv w:val="1"/>
      <w:marLeft w:val="0"/>
      <w:marRight w:val="0"/>
      <w:marTop w:val="0"/>
      <w:marBottom w:val="0"/>
      <w:divBdr>
        <w:top w:val="none" w:sz="0" w:space="0" w:color="auto"/>
        <w:left w:val="none" w:sz="0" w:space="0" w:color="auto"/>
        <w:bottom w:val="none" w:sz="0" w:space="0" w:color="auto"/>
        <w:right w:val="none" w:sz="0" w:space="0" w:color="auto"/>
      </w:divBdr>
    </w:div>
    <w:div w:id="784230603">
      <w:bodyDiv w:val="1"/>
      <w:marLeft w:val="0"/>
      <w:marRight w:val="0"/>
      <w:marTop w:val="0"/>
      <w:marBottom w:val="0"/>
      <w:divBdr>
        <w:top w:val="none" w:sz="0" w:space="0" w:color="auto"/>
        <w:left w:val="none" w:sz="0" w:space="0" w:color="auto"/>
        <w:bottom w:val="none" w:sz="0" w:space="0" w:color="auto"/>
        <w:right w:val="none" w:sz="0" w:space="0" w:color="auto"/>
      </w:divBdr>
    </w:div>
    <w:div w:id="838883181">
      <w:bodyDiv w:val="1"/>
      <w:marLeft w:val="0"/>
      <w:marRight w:val="0"/>
      <w:marTop w:val="0"/>
      <w:marBottom w:val="0"/>
      <w:divBdr>
        <w:top w:val="none" w:sz="0" w:space="0" w:color="auto"/>
        <w:left w:val="none" w:sz="0" w:space="0" w:color="auto"/>
        <w:bottom w:val="none" w:sz="0" w:space="0" w:color="auto"/>
        <w:right w:val="none" w:sz="0" w:space="0" w:color="auto"/>
      </w:divBdr>
    </w:div>
    <w:div w:id="841621876">
      <w:bodyDiv w:val="1"/>
      <w:marLeft w:val="0"/>
      <w:marRight w:val="0"/>
      <w:marTop w:val="0"/>
      <w:marBottom w:val="0"/>
      <w:divBdr>
        <w:top w:val="none" w:sz="0" w:space="0" w:color="auto"/>
        <w:left w:val="none" w:sz="0" w:space="0" w:color="auto"/>
        <w:bottom w:val="none" w:sz="0" w:space="0" w:color="auto"/>
        <w:right w:val="none" w:sz="0" w:space="0" w:color="auto"/>
      </w:divBdr>
    </w:div>
    <w:div w:id="1084648511">
      <w:bodyDiv w:val="1"/>
      <w:marLeft w:val="0"/>
      <w:marRight w:val="0"/>
      <w:marTop w:val="0"/>
      <w:marBottom w:val="0"/>
      <w:divBdr>
        <w:top w:val="none" w:sz="0" w:space="0" w:color="auto"/>
        <w:left w:val="none" w:sz="0" w:space="0" w:color="auto"/>
        <w:bottom w:val="none" w:sz="0" w:space="0" w:color="auto"/>
        <w:right w:val="none" w:sz="0" w:space="0" w:color="auto"/>
      </w:divBdr>
    </w:div>
    <w:div w:id="1174029764">
      <w:bodyDiv w:val="1"/>
      <w:marLeft w:val="0"/>
      <w:marRight w:val="0"/>
      <w:marTop w:val="0"/>
      <w:marBottom w:val="0"/>
      <w:divBdr>
        <w:top w:val="none" w:sz="0" w:space="0" w:color="auto"/>
        <w:left w:val="none" w:sz="0" w:space="0" w:color="auto"/>
        <w:bottom w:val="none" w:sz="0" w:space="0" w:color="auto"/>
        <w:right w:val="none" w:sz="0" w:space="0" w:color="auto"/>
      </w:divBdr>
    </w:div>
    <w:div w:id="1177426192">
      <w:bodyDiv w:val="1"/>
      <w:marLeft w:val="0"/>
      <w:marRight w:val="0"/>
      <w:marTop w:val="0"/>
      <w:marBottom w:val="0"/>
      <w:divBdr>
        <w:top w:val="none" w:sz="0" w:space="0" w:color="auto"/>
        <w:left w:val="none" w:sz="0" w:space="0" w:color="auto"/>
        <w:bottom w:val="none" w:sz="0" w:space="0" w:color="auto"/>
        <w:right w:val="none" w:sz="0" w:space="0" w:color="auto"/>
      </w:divBdr>
    </w:div>
    <w:div w:id="1321420761">
      <w:bodyDiv w:val="1"/>
      <w:marLeft w:val="0"/>
      <w:marRight w:val="0"/>
      <w:marTop w:val="0"/>
      <w:marBottom w:val="0"/>
      <w:divBdr>
        <w:top w:val="none" w:sz="0" w:space="0" w:color="auto"/>
        <w:left w:val="none" w:sz="0" w:space="0" w:color="auto"/>
        <w:bottom w:val="none" w:sz="0" w:space="0" w:color="auto"/>
        <w:right w:val="none" w:sz="0" w:space="0" w:color="auto"/>
      </w:divBdr>
    </w:div>
    <w:div w:id="1343512317">
      <w:bodyDiv w:val="1"/>
      <w:marLeft w:val="0"/>
      <w:marRight w:val="0"/>
      <w:marTop w:val="0"/>
      <w:marBottom w:val="0"/>
      <w:divBdr>
        <w:top w:val="none" w:sz="0" w:space="0" w:color="auto"/>
        <w:left w:val="none" w:sz="0" w:space="0" w:color="auto"/>
        <w:bottom w:val="none" w:sz="0" w:space="0" w:color="auto"/>
        <w:right w:val="none" w:sz="0" w:space="0" w:color="auto"/>
      </w:divBdr>
    </w:div>
    <w:div w:id="1417284378">
      <w:bodyDiv w:val="1"/>
      <w:marLeft w:val="0"/>
      <w:marRight w:val="0"/>
      <w:marTop w:val="0"/>
      <w:marBottom w:val="0"/>
      <w:divBdr>
        <w:top w:val="none" w:sz="0" w:space="0" w:color="auto"/>
        <w:left w:val="none" w:sz="0" w:space="0" w:color="auto"/>
        <w:bottom w:val="none" w:sz="0" w:space="0" w:color="auto"/>
        <w:right w:val="none" w:sz="0" w:space="0" w:color="auto"/>
      </w:divBdr>
    </w:div>
    <w:div w:id="1483087049">
      <w:bodyDiv w:val="1"/>
      <w:marLeft w:val="0"/>
      <w:marRight w:val="0"/>
      <w:marTop w:val="0"/>
      <w:marBottom w:val="0"/>
      <w:divBdr>
        <w:top w:val="none" w:sz="0" w:space="0" w:color="auto"/>
        <w:left w:val="none" w:sz="0" w:space="0" w:color="auto"/>
        <w:bottom w:val="none" w:sz="0" w:space="0" w:color="auto"/>
        <w:right w:val="none" w:sz="0" w:space="0" w:color="auto"/>
      </w:divBdr>
    </w:div>
    <w:div w:id="1489322573">
      <w:bodyDiv w:val="1"/>
      <w:marLeft w:val="0"/>
      <w:marRight w:val="0"/>
      <w:marTop w:val="0"/>
      <w:marBottom w:val="0"/>
      <w:divBdr>
        <w:top w:val="none" w:sz="0" w:space="0" w:color="auto"/>
        <w:left w:val="none" w:sz="0" w:space="0" w:color="auto"/>
        <w:bottom w:val="none" w:sz="0" w:space="0" w:color="auto"/>
        <w:right w:val="none" w:sz="0" w:space="0" w:color="auto"/>
      </w:divBdr>
    </w:div>
    <w:div w:id="1569729399">
      <w:bodyDiv w:val="1"/>
      <w:marLeft w:val="0"/>
      <w:marRight w:val="0"/>
      <w:marTop w:val="0"/>
      <w:marBottom w:val="0"/>
      <w:divBdr>
        <w:top w:val="none" w:sz="0" w:space="0" w:color="auto"/>
        <w:left w:val="none" w:sz="0" w:space="0" w:color="auto"/>
        <w:bottom w:val="none" w:sz="0" w:space="0" w:color="auto"/>
        <w:right w:val="none" w:sz="0" w:space="0" w:color="auto"/>
      </w:divBdr>
    </w:div>
    <w:div w:id="1600483036">
      <w:bodyDiv w:val="1"/>
      <w:marLeft w:val="0"/>
      <w:marRight w:val="0"/>
      <w:marTop w:val="0"/>
      <w:marBottom w:val="0"/>
      <w:divBdr>
        <w:top w:val="none" w:sz="0" w:space="0" w:color="auto"/>
        <w:left w:val="none" w:sz="0" w:space="0" w:color="auto"/>
        <w:bottom w:val="none" w:sz="0" w:space="0" w:color="auto"/>
        <w:right w:val="none" w:sz="0" w:space="0" w:color="auto"/>
      </w:divBdr>
    </w:div>
    <w:div w:id="1604724114">
      <w:bodyDiv w:val="1"/>
      <w:marLeft w:val="0"/>
      <w:marRight w:val="0"/>
      <w:marTop w:val="0"/>
      <w:marBottom w:val="0"/>
      <w:divBdr>
        <w:top w:val="none" w:sz="0" w:space="0" w:color="auto"/>
        <w:left w:val="none" w:sz="0" w:space="0" w:color="auto"/>
        <w:bottom w:val="none" w:sz="0" w:space="0" w:color="auto"/>
        <w:right w:val="none" w:sz="0" w:space="0" w:color="auto"/>
      </w:divBdr>
    </w:div>
    <w:div w:id="1735739778">
      <w:bodyDiv w:val="1"/>
      <w:marLeft w:val="0"/>
      <w:marRight w:val="0"/>
      <w:marTop w:val="0"/>
      <w:marBottom w:val="0"/>
      <w:divBdr>
        <w:top w:val="none" w:sz="0" w:space="0" w:color="auto"/>
        <w:left w:val="none" w:sz="0" w:space="0" w:color="auto"/>
        <w:bottom w:val="none" w:sz="0" w:space="0" w:color="auto"/>
        <w:right w:val="none" w:sz="0" w:space="0" w:color="auto"/>
      </w:divBdr>
    </w:div>
    <w:div w:id="1774780822">
      <w:bodyDiv w:val="1"/>
      <w:marLeft w:val="0"/>
      <w:marRight w:val="0"/>
      <w:marTop w:val="0"/>
      <w:marBottom w:val="0"/>
      <w:divBdr>
        <w:top w:val="none" w:sz="0" w:space="0" w:color="auto"/>
        <w:left w:val="none" w:sz="0" w:space="0" w:color="auto"/>
        <w:bottom w:val="none" w:sz="0" w:space="0" w:color="auto"/>
        <w:right w:val="none" w:sz="0" w:space="0" w:color="auto"/>
      </w:divBdr>
    </w:div>
    <w:div w:id="1896234986">
      <w:bodyDiv w:val="1"/>
      <w:marLeft w:val="0"/>
      <w:marRight w:val="0"/>
      <w:marTop w:val="0"/>
      <w:marBottom w:val="0"/>
      <w:divBdr>
        <w:top w:val="none" w:sz="0" w:space="0" w:color="auto"/>
        <w:left w:val="none" w:sz="0" w:space="0" w:color="auto"/>
        <w:bottom w:val="none" w:sz="0" w:space="0" w:color="auto"/>
        <w:right w:val="none" w:sz="0" w:space="0" w:color="auto"/>
      </w:divBdr>
    </w:div>
    <w:div w:id="1990597292">
      <w:bodyDiv w:val="1"/>
      <w:marLeft w:val="0"/>
      <w:marRight w:val="0"/>
      <w:marTop w:val="0"/>
      <w:marBottom w:val="0"/>
      <w:divBdr>
        <w:top w:val="none" w:sz="0" w:space="0" w:color="auto"/>
        <w:left w:val="none" w:sz="0" w:space="0" w:color="auto"/>
        <w:bottom w:val="none" w:sz="0" w:space="0" w:color="auto"/>
        <w:right w:val="none" w:sz="0" w:space="0" w:color="auto"/>
      </w:divBdr>
    </w:div>
    <w:div w:id="2008704718">
      <w:bodyDiv w:val="1"/>
      <w:marLeft w:val="0"/>
      <w:marRight w:val="0"/>
      <w:marTop w:val="0"/>
      <w:marBottom w:val="0"/>
      <w:divBdr>
        <w:top w:val="none" w:sz="0" w:space="0" w:color="auto"/>
        <w:left w:val="none" w:sz="0" w:space="0" w:color="auto"/>
        <w:bottom w:val="none" w:sz="0" w:space="0" w:color="auto"/>
        <w:right w:val="none" w:sz="0" w:space="0" w:color="auto"/>
      </w:divBdr>
    </w:div>
    <w:div w:id="2071345452">
      <w:bodyDiv w:val="1"/>
      <w:marLeft w:val="0"/>
      <w:marRight w:val="0"/>
      <w:marTop w:val="0"/>
      <w:marBottom w:val="0"/>
      <w:divBdr>
        <w:top w:val="none" w:sz="0" w:space="0" w:color="auto"/>
        <w:left w:val="none" w:sz="0" w:space="0" w:color="auto"/>
        <w:bottom w:val="none" w:sz="0" w:space="0" w:color="auto"/>
        <w:right w:val="none" w:sz="0" w:space="0" w:color="auto"/>
      </w:divBdr>
    </w:div>
    <w:div w:id="2081517746">
      <w:bodyDiv w:val="1"/>
      <w:marLeft w:val="0"/>
      <w:marRight w:val="0"/>
      <w:marTop w:val="0"/>
      <w:marBottom w:val="0"/>
      <w:divBdr>
        <w:top w:val="none" w:sz="0" w:space="0" w:color="auto"/>
        <w:left w:val="none" w:sz="0" w:space="0" w:color="auto"/>
        <w:bottom w:val="none" w:sz="0" w:space="0" w:color="auto"/>
        <w:right w:val="none" w:sz="0" w:space="0" w:color="auto"/>
      </w:divBdr>
    </w:div>
    <w:div w:id="209893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ins.gov.co/TyS/programas-de-calidad/SiteAssets/programas-directos/parasitolog%c3%ada/PROTOCOLO%20PEED%20Malaria%202019.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cin.org/acin/new/Portals/0/Templates/guia%20de%20atencion%20clinica%20de%20malaria%202010.pdf" TargetMode="External"/><Relationship Id="rId2" Type="http://schemas.openxmlformats.org/officeDocument/2006/relationships/customXml" Target="../customXml/item2.xml"/><Relationship Id="rId16" Type="http://schemas.openxmlformats.org/officeDocument/2006/relationships/hyperlink" Target="http://www.who.int/malaria/areas/test_treat_track/es/" TargetMode="External"/><Relationship Id="rId20" Type="http://schemas.openxmlformats.org/officeDocument/2006/relationships/hyperlink" Target="file://C:\Users\user\Downloads\Cort&#233;s%20LJ,%20Guerra%20AP,%20Gu&#237;a%20para%20la%20vigilancia%20por%20laboratorio%20de%20par&#225;sitos%20del%20g&#233;nero%20Plasmodium%20s.p.p.%20Instituto%20Nacional%20de%20Salud.%202020.%20https:\www.ins.gov.co\buscador-eventos\Informacin%20de%20laboratorio\Gu&#195;&#173;a%20para%20la%20vigilancia%20por%20la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C:\Users\user\Downloads\WHO.%20Malaria%20microscopy%20quality%20assurance%20manual.%20Manila:%20Geneva:%20World%20Health%20Organization;%202009.%20Disponible%20en:%20http:\apps.who.int\iris\bitstream\10665\204266\1\9789241549394_eng.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orpheus\Documentos\Documentos\Plantillas%20personalizadas%20de%20Office\INS%20Curs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rupo_x0020_o_x0020_Dependencia xmlns="c55f4233-694a-42b1-bd72-cc55cefea4b3" xsi:nil="true"/>
    <LikesCount xmlns="http://schemas.microsoft.com/sharepoint/v3" xsi:nil="true"/>
    <C_x00f3_digo xmlns="c55f4233-694a-42b1-bd72-cc55cefea4b3" xsi:nil="true"/>
    <Bloque xmlns="c55f4233-694a-42b1-bd72-cc55cefea4b3" xsi:nil="true"/>
    <Ratings xmlns="http://schemas.microsoft.com/sharepoint/v3" xsi:nil="true"/>
    <Clasificaci_x00f3_n_x0020_de_x0020_Documento xmlns="c55f4233-694a-42b1-bd72-cc55cefea4b3">Transversales</Clasificaci_x00f3_n_x0020_de_x0020_Documento>
    <LikedBy xmlns="http://schemas.microsoft.com/sharepoint/v3">
      <UserInfo>
        <DisplayName/>
        <AccountId xsi:nil="true"/>
        <AccountType/>
      </UserInfo>
    </LikedBy>
    <Nivel_x0020_de_x0020_Proceso xmlns="c55f4233-694a-42b1-bd72-cc55cefea4b3">Estratégicos</Nivel_x0020_de_x0020_Proceso>
    <Tipo_x0020_de_x0020_Documento xmlns="c55f4233-694a-42b1-bd72-cc55cefea4b3">Plantilla</Tipo_x0020_de_x0020_Documento>
    <Proceso xmlns="c55f4233-694a-42b1-bd72-cc55cefea4b3">D03 – Comunicación Institucional</Proceso>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6B9ECF0223A2846BE5B0D1FEF5C8D7B" ma:contentTypeVersion="14" ma:contentTypeDescription="Crear nuevo documento." ma:contentTypeScope="" ma:versionID="22b29e574c10d966f952a9f4cd68a084">
  <xsd:schema xmlns:xsd="http://www.w3.org/2001/XMLSchema" xmlns:xs="http://www.w3.org/2001/XMLSchema" xmlns:p="http://schemas.microsoft.com/office/2006/metadata/properties" xmlns:ns1="c55f4233-694a-42b1-bd72-cc55cefea4b3" xmlns:ns2="http://schemas.microsoft.com/sharepoint/v3" xmlns:ns3="3bfbf733-a6c3-488d-a481-abc1b690c7db" targetNamespace="http://schemas.microsoft.com/office/2006/metadata/properties" ma:root="true" ma:fieldsID="3c70cdb770124d2719528ecc2ef5f1f1" ns1:_="" ns2:_="" ns3:_="">
    <xsd:import namespace="c55f4233-694a-42b1-bd72-cc55cefea4b3"/>
    <xsd:import namespace="http://schemas.microsoft.com/sharepoint/v3"/>
    <xsd:import namespace="3bfbf733-a6c3-488d-a481-abc1b690c7db"/>
    <xsd:element name="properties">
      <xsd:complexType>
        <xsd:sequence>
          <xsd:element name="documentManagement">
            <xsd:complexType>
              <xsd:all>
                <xsd:element ref="ns1:Nivel_x0020_de_x0020_Proceso" minOccurs="0"/>
                <xsd:element ref="ns1:Proceso"/>
                <xsd:element ref="ns1:Tipo_x0020_de_x0020_Documento" minOccurs="0"/>
                <xsd:element ref="ns1:Clasificaci_x00f3_n_x0020_de_x0020_Documento" minOccurs="0"/>
                <xsd:element ref="ns1:C_x00f3_digo" minOccurs="0"/>
                <xsd:element ref="ns1:Bloque" minOccurs="0"/>
                <xsd:element ref="ns1:Grupo_x0020_o_x0020_Dependencia" minOccurs="0"/>
                <xsd:element ref="ns3:_dlc_DocIdUrl" minOccurs="0"/>
                <xsd:element ref="ns3:_dlc_DocIdPersistId" minOccurs="0"/>
                <xsd:element ref="ns3:_dlc_DocId" minOccurs="0"/>
                <xsd:element ref="ns2:AverageRating" minOccurs="0"/>
                <xsd:element ref="ns2:RatingCount" minOccurs="0"/>
                <xsd:element ref="ns2:RatedBy" minOccurs="0"/>
                <xsd:element ref="ns2:Ratings" minOccurs="0"/>
                <xsd:element ref="ns2:LikesCount" minOccurs="0"/>
                <xsd:element ref="ns2: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4233-694a-42b1-bd72-cc55cefea4b3" elementFormDefault="qualified">
    <xsd:import namespace="http://schemas.microsoft.com/office/2006/documentManagement/types"/>
    <xsd:import namespace="http://schemas.microsoft.com/office/infopath/2007/PartnerControls"/>
    <xsd:element name="Nivel_x0020_de_x0020_Proceso" ma:index="0" nillable="true" ma:displayName="Nivel de Proceso" ma:format="Dropdown" ma:internalName="Nivel_x0020_de_x0020_Proceso">
      <xsd:simpleType>
        <xsd:restriction base="dms:Choice">
          <xsd:enumeration value="Estratégicos"/>
          <xsd:enumeration value="Apoyo"/>
          <xsd:enumeration value="Misionales"/>
          <xsd:enumeration value="Control Institucional"/>
        </xsd:restriction>
      </xsd:simpleType>
    </xsd:element>
    <xsd:element name="Proceso" ma:index="1" ma:displayName="Proceso" ma:format="Dropdown" ma:internalName="Proceso">
      <xsd:simpleType>
        <xsd:restriction base="dms:Choice">
          <xsd:enumeration value="A01 – Gestión Humana"/>
          <xsd:enumeration value="A02 – Adquisición de Bienes y Servicios"/>
          <xsd:enumeration value="A03 – Gestión Documental"/>
          <xsd:enumeration value="A04 - Equipos de Laboratorio"/>
          <xsd:enumeration value="A05 – Gestión Ambiental"/>
          <xsd:enumeration value="A07 – Gestión Jurídica"/>
          <xsd:enumeration value="A08 – Atención al Ciudadano"/>
          <xsd:enumeration value="A09 – Gestión Financiera"/>
          <xsd:enumeration value="A10 Recursos Físicos"/>
          <xsd:enumeration value="D01 – Planeación Institucional"/>
          <xsd:enumeration value="D02 – Gestión de Calidad"/>
          <xsd:enumeration value="D03 – Comunicación Institucional"/>
          <xsd:enumeration value="D04 – Tecnologías de Información y Comunicación"/>
          <xsd:enumeration value="E01 – Control Institucional"/>
          <xsd:enumeration value="R01 – Redes en Salud Pública"/>
          <xsd:enumeration value="R02 – Vigilancia y Análisis del Riesgo en Salud Pública"/>
          <xsd:enumeration value="R03 – Investigación en Salud Pública"/>
          <xsd:enumeration value="R04 – Producción"/>
          <xsd:enumeration value="R05 – Observatorio Nacional de Salud"/>
        </xsd:restriction>
      </xsd:simpleType>
    </xsd:element>
    <xsd:element name="Tipo_x0020_de_x0020_Documento" ma:index="3" nillable="true" ma:displayName="Tipo de Documento" ma:format="Dropdown" ma:internalName="Tipo_x0020_de_x0020_Documento">
      <xsd:simpleType>
        <xsd:restriction base="dms:Choice">
          <xsd:enumeration value="Caracterización"/>
          <xsd:enumeration value="Formatos"/>
          <xsd:enumeration value="Instructivos"/>
          <xsd:enumeration value="Manuales"/>
          <xsd:enumeration value="Métodos de ensayo"/>
          <xsd:enumeration value="Plantilla"/>
          <xsd:enumeration value="Plantillas"/>
          <xsd:enumeration value="Procedimientos"/>
        </xsd:restriction>
      </xsd:simpleType>
    </xsd:element>
    <xsd:element name="Clasificaci_x00f3_n_x0020_de_x0020_Documento" ma:index="4" nillable="true" ma:displayName="Clasificación de Documento" ma:format="Dropdown" ma:internalName="Clasificaci_x00f3_n_x0020_de_x0020_Documento">
      <xsd:simpleType>
        <xsd:restriction base="dms:Choice">
          <xsd:enumeration value="Específicos"/>
          <xsd:enumeration value="Transversales"/>
        </xsd:restriction>
      </xsd:simpleType>
    </xsd:element>
    <xsd:element name="C_x00f3_digo" ma:index="5" nillable="true" ma:displayName="Nombre." ma:internalName="C_x00f3_digo">
      <xsd:simpleType>
        <xsd:restriction base="dms:Text">
          <xsd:maxLength value="255"/>
        </xsd:restriction>
      </xsd:simpleType>
    </xsd:element>
    <xsd:element name="Bloque" ma:index="6" nillable="true" ma:displayName="Bloque" ma:internalName="Bloque">
      <xsd:simpleType>
        <xsd:restriction base="dms:Text">
          <xsd:maxLength value="255"/>
        </xsd:restriction>
      </xsd:simpleType>
    </xsd:element>
    <xsd:element name="Grupo_x0020_o_x0020_Dependencia" ma:index="7" nillable="true" ma:displayName="Grupo o Dependencia" ma:internalName="Grupo_x0020_o_x0020_Dependenc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Clasificación (0-5)" ma:decimals="2" ma:description="Valor promedio de todas las clasificaciones que se han enviado" ma:internalName="AverageRating" ma:readOnly="true">
      <xsd:simpleType>
        <xsd:restriction base="dms:Number"/>
      </xsd:simpleType>
    </xsd:element>
    <xsd:element name="RatingCount" ma:index="19" nillable="true" ma:displayName="Número de clasificaciones" ma:decimals="0" ma:description="Número de clasificaciones enviado" ma:internalName="RatingCount" ma:readOnly="true">
      <xsd:simpleType>
        <xsd:restriction base="dms:Number"/>
      </xsd:simpleType>
    </xsd:element>
    <xsd:element name="RatedBy" ma:index="2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Valoraciones de usuario" ma:description="Valoraciones de usuario para el elemento" ma:hidden="true" ma:internalName="Ratings">
      <xsd:simpleType>
        <xsd:restriction base="dms:Note"/>
      </xsd:simpleType>
    </xsd:element>
    <xsd:element name="LikesCount" ma:index="22" nillable="true" ma:displayName="Número de Me gusta" ma:internalName="LikesCount">
      <xsd:simpleType>
        <xsd:restriction base="dms:Unknown"/>
      </xsd:simpleType>
    </xsd:element>
    <xsd:element name="LikedBy" ma:index="2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8"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Vancouver.XSL" StyleName="Vancouver" Version="1">
  <b:Source>
    <b:Tag>Dav021</b:Tag>
    <b:SourceType>Book</b:SourceType>
    <b:Guid>{44BE46B7-96A2-458B-90F5-05F129AC75B8}</b:Guid>
    <b:Title>Essential Malariology</b:Title>
    <b:Year>2002</b:Year>
    <b:Publisher>Ed. Arnold</b:Publisher>
    <b:City>Londres</b:City>
    <b:Author>
      <b:Author>
        <b:NameList>
          <b:Person>
            <b:Last>David A. Warrell</b:Last>
            <b:First>Herbert</b:First>
            <b:Middle>M. Gilles</b:Middle>
          </b:Person>
        </b:NameList>
      </b:Author>
    </b:Author>
    <b:RefOrder>1</b:RefOrder>
  </b:Source>
  <b:Source>
    <b:Tag>Wor911</b:Tag>
    <b:SourceType>Book</b:SourceType>
    <b:Guid>{5A197AF4-8230-47D4-A1B7-68B7B19D1676}</b:Guid>
    <b:Author>
      <b:Author>
        <b:Corporate>World Health Organization</b:Corporate>
      </b:Author>
    </b:Author>
    <b:Title>Basic malaria microscopy Part. I. Learner`s Guide </b:Title>
    <b:Year>1991</b:Year>
    <b:City>Geneva</b:City>
    <b:Publisher>World Health Organization</b:Publisher>
    <b:RefOrder>2</b:RefOrder>
  </b:Source>
  <b:Source>
    <b:Tag>Org15</b:Tag>
    <b:SourceType>InternetSite</b:SourceType>
    <b:Guid>{D1E4450B-60B0-4D32-BD66-DAAA531C2ABF}</b:Guid>
    <b:Title>Organización Mundial de la Salud</b:Title>
    <b:Year>2015</b:Year>
    <b:Author>
      <b:Author>
        <b:Corporate>Organización Mundial de la Salud</b:Corporate>
      </b:Author>
    </b:Author>
    <b:InternetSiteTitle>La iniciativa T3: Test. Treat. Track contra el paludismo</b:InternetSiteTitle>
    <b:Month>Abril</b:Month>
    <b:Day>16</b:Day>
    <b:URL>http://www.who.int/malaria/areas/test_treat_track/es/</b:URL>
    <b:RefOrder>3</b:RefOrder>
  </b:Source>
  <b:Source>
    <b:Tag>Min00</b:Tag>
    <b:SourceType>InternetSite</b:SourceType>
    <b:Guid>{E0967E3B-55FB-4288-81FA-40A32D0E945D}</b:Guid>
    <b:Author>
      <b:Author>
        <b:Corporate>Ministerio de Salud de Colombia</b:Corporate>
      </b:Author>
    </b:Author>
    <b:Title>Ministerio de Salud de Colombia</b:Title>
    <b:InternetSiteTitle>Resolución 412 de 2000: Guía de atención clínica malaria</b:InternetSiteTitle>
    <b:Year>2000</b:Year>
    <b:URL>http://www.acin.org/acin/new/Portals/0/Templates/guia%20de%20atencion%20clinica%20de%20malaria%202010.pdf</b:URL>
    <b:RefOrder>4</b:RefOrder>
  </b:Source>
  <b:Source>
    <b:Tag>Wor05</b:Tag>
    <b:SourceType>Book</b:SourceType>
    <b:Guid>{CE3620FE-6A65-4219-9254-331ED4D87A68}</b:Guid>
    <b:Title>Malaria light microscopy creating a culture of quality </b:Title>
    <b:Year>2005</b:Year>
    <b:Author>
      <b:Author>
        <b:Corporate>World Health Organization</b:Corporate>
      </b:Author>
    </b:Author>
    <b:City>Geneve</b:City>
    <b:Publisher>World Health Organization</b:Publisher>
    <b:RefOrder>5</b:RefOrder>
  </b:Source>
  <b:Source>
    <b:Tag>Wor094</b:Tag>
    <b:SourceType>Book</b:SourceType>
    <b:Guid>{B1E7932D-E1EE-4D10-81AD-3052FE7F321A}</b:Guid>
    <b:Author>
      <b:Author>
        <b:Corporate>World Health Organization</b:Corporate>
      </b:Author>
    </b:Author>
    <b:Title>Malaria microscopy quality assurance manual. Geneva</b:Title>
    <b:Year>2009</b:Year>
    <b:City>Geneva</b:City>
    <b:Publisher>World Health Organization</b:Publisher>
    <b:RefOrder>6</b:RefOrder>
  </b:Source>
  <b:Source>
    <b:Tag>Ins151</b:Tag>
    <b:SourceType>Report</b:SourceType>
    <b:Guid>{B1C44F89-3AD6-4E33-9038-3A7ABBD1B9D7}</b:Guid>
    <b:Title>Manual para el diagnóstico de malaria no complicada en puestos de diagnóstico y tratamiento</b:Title>
    <b:Year>2015</b:Year>
    <b:City>Bogotá</b:City>
    <b:Publisher>Instituto Nacional de Salud</b:Publisher>
    <b:Author>
      <b:Author>
        <b:Corporate>Instituto Nacional de Salud, Fondo Mundial </b:Corporate>
      </b:Author>
    </b:Author>
    <b:RefOrder>7</b:RefOrder>
  </b:Source>
  <b:Source>
    <b:Tag>Org16</b:Tag>
    <b:SourceType>ConferenceProceedings</b:SourceType>
    <b:Guid>{2BA794FB-78AD-4047-BD90-0C7F817FEB8E}</b:Guid>
    <b:Title>Memorias Taller de Capacitación y Certificación de microscopistas para países de la región de las Américas</b:Title>
    <b:Year>2016</b:Year>
    <b:Publisher>Organización Panamericana de la Salud</b:Publisher>
    <b:City>México, D.F</b:City>
    <b:Author>
      <b:Author>
        <b:Corporate>Organización Panamericana  de la Salud</b:Corporate>
      </b:Author>
    </b:Author>
    <b:ConferenceName>Memorias Taller de Capacitación y Certificación de microscopistas para países de la región de las Américas</b:ConferenceName>
    <b:RefOrder>8</b:RefOrder>
  </b:Source>
  <b:Source>
    <b:Tag>Ins19</b:Tag>
    <b:SourceType>InternetSite</b:SourceType>
    <b:Guid>{771BEA93-57D7-41A3-8998-D25A3E4DEE34}</b:Guid>
    <b:Title>Instituto Nacional de Salud</b:Title>
    <b:Year>2019</b:Year>
    <b:Author>
      <b:Author>
        <b:Corporate>Instituto Nacional de Salud</b:Corporate>
      </b:Author>
    </b:Author>
    <b:InternetSiteTitle>Protocolo Programas Evaluación del Desempeño</b:InternetSiteTitle>
    <b:URL>https://www.ins.gov.co/TyS/programas-de-calidad/SiteAssets/programas-directos/parasitolog%c3%ada/PROTOCOLO%20PEED%20Malaria%202019.pdf</b:URL>
    <b:RefOrder>9</b:RefOrder>
  </b:Source>
  <b:Source>
    <b:Tag>Wor095</b:Tag>
    <b:SourceType>InternetSite</b:SourceType>
    <b:Guid>{A39387CE-F194-4EB6-8AF9-883FD113AB0C}</b:Guid>
    <b:Author>
      <b:Author>
        <b:Corporate>World Health Organization</b:Corporate>
      </b:Author>
    </b:Author>
    <b:Title>World Health Organization</b:Title>
    <b:InternetSiteTitle>Malaria microscopy quality assurance manual</b:InternetSiteTitle>
    <b:Year>2009</b:Year>
    <b:URL>WHO. Malaria microscopy quality assurance manual. Manila: Geneva: World Health Organization; 2009. Disponible en: http://apps.who.int/iris/bitstream/10665/204266/1/9789241549394_eng.pdf</b:URL>
    <b:RefOrder>10</b:RefOrder>
  </b:Source>
  <b:Source>
    <b:Tag>Cor201</b:Tag>
    <b:SourceType>InternetSite</b:SourceType>
    <b:Guid>{D08D3D93-DC85-4FD3-8EAA-E3C13410F2F7}</b:Guid>
    <b:Author>
      <b:Author>
        <b:NameList>
          <b:Person>
            <b:Last>Cortés LJ</b:Last>
            <b:First>Guerra</b:First>
            <b:Middle>AP</b:Middle>
          </b:Person>
        </b:NameList>
      </b:Author>
    </b:Author>
    <b:Title>Instituto Nacional de Salud </b:Title>
    <b:InternetSiteTitle>Guía para la vigilancia por laboratorio de parásitos del género Plasmodium </b:InternetSiteTitle>
    <b:Year>2020</b:Year>
    <b:URL>Cortés LJ, Guerra AP, Guía para la vigilancia por laboratorio de parásitos del género Plasmodium s.p.p. Instituto Nacional de Salud. 2020. https://www.ins.gov.co/buscador-eventos/Informacin%20de%20laboratorio/Gu%C3%ADa%20para%20la%20vigilancia%20por%20lab</b:URL>
    <b:RefOrder>11</b:RefOrder>
  </b:Source>
</b:Sources>
</file>

<file path=customXml/itemProps1.xml><?xml version="1.0" encoding="utf-8"?>
<ds:datastoreItem xmlns:ds="http://schemas.openxmlformats.org/officeDocument/2006/customXml" ds:itemID="{7EB09150-3E87-4DE3-A60A-50A2B30A7BE9}">
  <ds:schemaRefs>
    <ds:schemaRef ds:uri="http://schemas.microsoft.com/office/2006/metadata/properties"/>
    <ds:schemaRef ds:uri="http://schemas.microsoft.com/office/infopath/2007/PartnerControls"/>
    <ds:schemaRef ds:uri="c55f4233-694a-42b1-bd72-cc55cefea4b3"/>
    <ds:schemaRef ds:uri="http://schemas.microsoft.com/sharepoint/v3"/>
  </ds:schemaRefs>
</ds:datastoreItem>
</file>

<file path=customXml/itemProps2.xml><?xml version="1.0" encoding="utf-8"?>
<ds:datastoreItem xmlns:ds="http://schemas.openxmlformats.org/officeDocument/2006/customXml" ds:itemID="{ECA75A23-D4CF-43D9-91E2-1F5C4C4E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4233-694a-42b1-bd72-cc55cefea4b3"/>
    <ds:schemaRef ds:uri="http://schemas.microsoft.com/sharepoint/v3"/>
    <ds:schemaRef ds:uri="3bfbf733-a6c3-488d-a481-abc1b69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DDE7C-4965-44E2-B397-D7AD973BC2E3}">
  <ds:schemaRefs>
    <ds:schemaRef ds:uri="http://schemas.microsoft.com/sharepoint/events"/>
  </ds:schemaRefs>
</ds:datastoreItem>
</file>

<file path=customXml/itemProps4.xml><?xml version="1.0" encoding="utf-8"?>
<ds:datastoreItem xmlns:ds="http://schemas.openxmlformats.org/officeDocument/2006/customXml" ds:itemID="{4BD7D4D0-AB11-426E-B348-27BA41B2B170}">
  <ds:schemaRefs>
    <ds:schemaRef ds:uri="http://schemas.microsoft.com/sharepoint/v3/contenttype/forms"/>
  </ds:schemaRefs>
</ds:datastoreItem>
</file>

<file path=customXml/itemProps5.xml><?xml version="1.0" encoding="utf-8"?>
<ds:datastoreItem xmlns:ds="http://schemas.openxmlformats.org/officeDocument/2006/customXml" ds:itemID="{9D3B66F7-34B0-4595-89CB-AA743E42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 Curso</Template>
  <TotalTime>3</TotalTime>
  <Pages>8</Pages>
  <Words>2969</Words>
  <Characters>16334</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 Básico de Malaria</vt:lpstr>
      <vt:lpstr/>
    </vt:vector>
  </TitlesOfParts>
  <Company/>
  <LinksUpToDate>false</LinksUpToDate>
  <CharactersWithSpaces>19265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Básico de </dc:title>
  <dc:subject>Unidad 3 – Lineamientos Red Nacional de Laboratorios</dc:subject>
  <dc:creator>Morpheus</dc:creator>
  <cp:lastModifiedBy>liliana cortes</cp:lastModifiedBy>
  <cp:revision>3</cp:revision>
  <cp:lastPrinted>2020-12-30T20:31:00Z</cp:lastPrinted>
  <dcterms:created xsi:type="dcterms:W3CDTF">2020-12-30T20:32:00Z</dcterms:created>
  <dcterms:modified xsi:type="dcterms:W3CDTF">2021-01-13T21:34:00Z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