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87B35" w14:textId="4998E3C9" w:rsidR="008D5C75" w:rsidRPr="00C45D29" w:rsidRDefault="007869D2" w:rsidP="00C45D29">
      <w:pPr>
        <w:jc w:val="both"/>
        <w:rPr>
          <w:rFonts w:ascii="Arial" w:hAnsi="Arial" w:cs="Arial"/>
          <w:sz w:val="20"/>
          <w:szCs w:val="20"/>
        </w:rPr>
      </w:pPr>
      <w:r w:rsidRPr="0069485B">
        <w:rPr>
          <w:highlight w:val="green"/>
        </w:rPr>
        <w:t>Guion modulo uno</w:t>
      </w:r>
      <w:r>
        <w:t xml:space="preserve"> </w:t>
      </w:r>
    </w:p>
    <w:p w14:paraId="096782D2" w14:textId="63125BDF" w:rsidR="007869D2" w:rsidRPr="00C45D29" w:rsidRDefault="007869D2" w:rsidP="00C45D29">
      <w:pPr>
        <w:jc w:val="both"/>
        <w:rPr>
          <w:rFonts w:ascii="Arial" w:hAnsi="Arial" w:cs="Arial"/>
          <w:sz w:val="20"/>
          <w:szCs w:val="20"/>
        </w:rPr>
      </w:pPr>
    </w:p>
    <w:p w14:paraId="6EF89E21" w14:textId="2B55CDDE" w:rsidR="007869D2" w:rsidRPr="00C45D29" w:rsidRDefault="007869D2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45D29">
        <w:rPr>
          <w:rFonts w:ascii="Arial" w:hAnsi="Arial" w:cs="Arial"/>
          <w:sz w:val="20"/>
          <w:szCs w:val="20"/>
        </w:rPr>
        <w:t xml:space="preserve">Damos la bienvenida en el desarrollo del  </w:t>
      </w:r>
      <w:r w:rsidRPr="00C45D29">
        <w:rPr>
          <w:rFonts w:ascii="Arial" w:hAnsi="Arial" w:cs="Arial"/>
          <w:sz w:val="20"/>
          <w:szCs w:val="20"/>
          <w:lang w:val="es-ES"/>
        </w:rPr>
        <w:t>Curso de conceptos básicos de la estrategia de eliminación de la malaria</w:t>
      </w:r>
      <w:r w:rsidRPr="00C45D29">
        <w:rPr>
          <w:rFonts w:ascii="Arial" w:hAnsi="Arial" w:cs="Arial"/>
          <w:sz w:val="20"/>
          <w:szCs w:val="20"/>
          <w:lang w:val="es-ES"/>
        </w:rPr>
        <w:t xml:space="preserve">, el cual tiene como </w:t>
      </w:r>
      <w:r w:rsidRPr="00C45D29">
        <w:rPr>
          <w:rFonts w:ascii="Arial" w:hAnsi="Arial" w:cs="Arial"/>
          <w:sz w:val="20"/>
          <w:szCs w:val="20"/>
          <w:lang w:val="es-CO"/>
        </w:rPr>
        <w:t xml:space="preserve">Resultado de Aprendizaje </w:t>
      </w:r>
      <w:r w:rsidR="0069485B">
        <w:rPr>
          <w:rFonts w:ascii="Arial" w:hAnsi="Arial" w:cs="Arial"/>
          <w:sz w:val="20"/>
          <w:szCs w:val="20"/>
          <w:lang w:val="es-CO"/>
        </w:rPr>
        <w:t xml:space="preserve"> </w:t>
      </w:r>
      <w:r w:rsidRPr="00C45D29">
        <w:rPr>
          <w:rFonts w:ascii="Arial" w:hAnsi="Arial" w:cs="Arial"/>
          <w:sz w:val="20"/>
          <w:szCs w:val="20"/>
          <w:lang w:val="es-CO"/>
        </w:rPr>
        <w:t>“</w:t>
      </w:r>
      <w:r w:rsidRPr="007869D2">
        <w:rPr>
          <w:rFonts w:ascii="Arial" w:hAnsi="Arial" w:cs="Arial"/>
          <w:sz w:val="20"/>
          <w:szCs w:val="20"/>
          <w:lang w:val="es-CO"/>
        </w:rPr>
        <w:t>Apropiar los conceptos generales de la malaria en Colombia de acuerdo con los lineamientos y el plan estratégico nacional vigentes</w:t>
      </w:r>
      <w:r w:rsidRPr="00C45D29">
        <w:rPr>
          <w:rFonts w:ascii="Arial" w:hAnsi="Arial" w:cs="Arial"/>
          <w:sz w:val="20"/>
          <w:szCs w:val="20"/>
          <w:lang w:val="es-CO"/>
        </w:rPr>
        <w:t xml:space="preserve">”. </w:t>
      </w:r>
      <w:r w:rsidRPr="007869D2">
        <w:rPr>
          <w:rFonts w:ascii="Arial" w:hAnsi="Arial" w:cs="Arial"/>
          <w:sz w:val="20"/>
          <w:szCs w:val="20"/>
          <w:lang w:val="es-CO"/>
        </w:rPr>
        <w:t xml:space="preserve"> </w:t>
      </w:r>
    </w:p>
    <w:p w14:paraId="5F45409E" w14:textId="7ECCE08F" w:rsidR="007869D2" w:rsidRPr="00C45D29" w:rsidRDefault="007869D2" w:rsidP="00C45D29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622F7EF2" w14:textId="315A7347" w:rsidR="007869D2" w:rsidRPr="00C45D29" w:rsidRDefault="007869D2" w:rsidP="00C45D29">
      <w:pPr>
        <w:jc w:val="both"/>
        <w:rPr>
          <w:rFonts w:ascii="Arial" w:hAnsi="Arial" w:cs="Arial"/>
          <w:sz w:val="20"/>
          <w:szCs w:val="20"/>
        </w:rPr>
      </w:pPr>
      <w:r w:rsidRPr="00C45D29">
        <w:rPr>
          <w:rFonts w:ascii="Arial" w:hAnsi="Arial" w:cs="Arial"/>
          <w:sz w:val="20"/>
          <w:szCs w:val="20"/>
          <w:lang w:val="es-CO"/>
        </w:rPr>
        <w:t xml:space="preserve">Para esta primera parte desarrollaremos la unidad uno: </w:t>
      </w:r>
      <w:r w:rsidRPr="00C45D29">
        <w:rPr>
          <w:rFonts w:ascii="Arial" w:hAnsi="Arial" w:cs="Arial"/>
          <w:sz w:val="20"/>
          <w:szCs w:val="20"/>
          <w:lang w:val="es-ES"/>
        </w:rPr>
        <w:t>Conceptos generales de la malaria o paludismo</w:t>
      </w:r>
      <w:r w:rsidRPr="00C45D29">
        <w:rPr>
          <w:rFonts w:ascii="Arial" w:hAnsi="Arial" w:cs="Arial"/>
          <w:sz w:val="20"/>
          <w:szCs w:val="20"/>
        </w:rPr>
        <w:t xml:space="preserve"> </w:t>
      </w:r>
      <w:r w:rsidRPr="00C45D29">
        <w:rPr>
          <w:rFonts w:ascii="Arial" w:hAnsi="Arial" w:cs="Arial"/>
          <w:sz w:val="20"/>
          <w:szCs w:val="20"/>
          <w:lang w:val="es-CO"/>
        </w:rPr>
        <w:t xml:space="preserve">y unidad dos: </w:t>
      </w:r>
      <w:r w:rsidRPr="00C45D29">
        <w:rPr>
          <w:rFonts w:ascii="Arial" w:hAnsi="Arial" w:cs="Arial"/>
          <w:sz w:val="20"/>
          <w:szCs w:val="20"/>
        </w:rPr>
        <w:t>Generalidades del diagnóstico de la malaria o paludismo</w:t>
      </w:r>
    </w:p>
    <w:p w14:paraId="3191C5C0" w14:textId="52D73978" w:rsidR="007869D2" w:rsidRPr="00C45D29" w:rsidRDefault="007869D2" w:rsidP="00C45D29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25B72F2" w14:textId="727594B5" w:rsidR="007869D2" w:rsidRPr="00C45D29" w:rsidRDefault="007869D2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45D29">
        <w:rPr>
          <w:rFonts w:ascii="Arial" w:hAnsi="Arial" w:cs="Arial"/>
          <w:sz w:val="20"/>
          <w:szCs w:val="20"/>
          <w:lang w:val="es-CO"/>
        </w:rPr>
        <w:t>unidad uno:</w:t>
      </w:r>
    </w:p>
    <w:p w14:paraId="06C88E1B" w14:textId="77777777" w:rsidR="007869D2" w:rsidRPr="007869D2" w:rsidRDefault="007869D2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7869D2">
        <w:rPr>
          <w:rFonts w:ascii="Arial" w:hAnsi="Arial" w:cs="Arial"/>
          <w:sz w:val="20"/>
          <w:szCs w:val="20"/>
        </w:rPr>
        <w:t xml:space="preserve">Se realizará un recorrido sobre los principales conceptos de la malaria o paludismo, definiendo ¿qué es la malaria o paludismo?, reconociendo las generalidades del parasito, </w:t>
      </w:r>
      <w:r w:rsidRPr="007869D2">
        <w:rPr>
          <w:rFonts w:ascii="Arial" w:hAnsi="Arial" w:cs="Arial"/>
          <w:sz w:val="20"/>
          <w:szCs w:val="20"/>
          <w:lang w:val="es-ES"/>
        </w:rPr>
        <w:t>de sus signos y síntomas, del vector o agente transmisor, del mecanismo de transmisión y de la población que se encuentra en mayor riesgo de padecer la enfermedad.</w:t>
      </w:r>
    </w:p>
    <w:p w14:paraId="23D6C769" w14:textId="48C7AEB4" w:rsidR="007869D2" w:rsidRPr="00C45D29" w:rsidRDefault="007869D2" w:rsidP="00C45D29">
      <w:pPr>
        <w:jc w:val="both"/>
        <w:rPr>
          <w:rFonts w:ascii="Arial" w:hAnsi="Arial" w:cs="Arial"/>
          <w:sz w:val="20"/>
          <w:szCs w:val="20"/>
        </w:rPr>
      </w:pPr>
    </w:p>
    <w:p w14:paraId="7D8C99D8" w14:textId="77777777" w:rsidR="00CC6166" w:rsidRPr="00C45D29" w:rsidRDefault="00CC6166" w:rsidP="00C45D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3A75031" w14:textId="0553C7C7" w:rsidR="00CC6166" w:rsidRPr="00C45D29" w:rsidRDefault="00CC616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5D29">
        <w:rPr>
          <w:rFonts w:ascii="Arial" w:hAnsi="Arial" w:cs="Arial"/>
          <w:b/>
          <w:bCs/>
          <w:sz w:val="20"/>
          <w:szCs w:val="20"/>
        </w:rPr>
        <w:t>¿Qué es un parasito?</w:t>
      </w:r>
    </w:p>
    <w:p w14:paraId="575335BC" w14:textId="77777777" w:rsidR="00CC6166" w:rsidRPr="00CC6166" w:rsidRDefault="00CC616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C6166">
        <w:rPr>
          <w:rFonts w:ascii="Arial" w:hAnsi="Arial" w:cs="Arial"/>
          <w:sz w:val="20"/>
          <w:szCs w:val="20"/>
        </w:rPr>
        <w:t>Los parásitos son microorganismos que viven dentro de otro o sobre otro organismo y se nutre de él. Un parásito no es capaz de vivir por sí solo.</w:t>
      </w:r>
    </w:p>
    <w:p w14:paraId="7A23D051" w14:textId="77777777" w:rsidR="00CC6166" w:rsidRPr="00C45D29" w:rsidRDefault="00CC616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37F8E2" w14:textId="0F9A5C10" w:rsidR="00CC6166" w:rsidRPr="00C45D29" w:rsidRDefault="00CC616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45D29">
        <w:rPr>
          <w:rFonts w:ascii="Arial" w:hAnsi="Arial" w:cs="Arial"/>
          <w:b/>
          <w:bCs/>
          <w:sz w:val="20"/>
          <w:szCs w:val="20"/>
        </w:rPr>
        <w:t>Diapo</w:t>
      </w:r>
      <w:proofErr w:type="spellEnd"/>
      <w:r w:rsidRPr="00C45D29">
        <w:rPr>
          <w:rFonts w:ascii="Arial" w:hAnsi="Arial" w:cs="Arial"/>
          <w:b/>
          <w:bCs/>
          <w:sz w:val="20"/>
          <w:szCs w:val="20"/>
        </w:rPr>
        <w:t xml:space="preserve"> 7 </w:t>
      </w:r>
    </w:p>
    <w:p w14:paraId="29F53AE9" w14:textId="77777777" w:rsidR="00CC6166" w:rsidRPr="00C45D29" w:rsidRDefault="00CC616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9513F8" w14:textId="77777777" w:rsidR="00CC6166" w:rsidRPr="00C45D29" w:rsidRDefault="00CC6166" w:rsidP="00C45D29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  <w:r w:rsidRPr="00C45D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5D29">
        <w:rPr>
          <w:rFonts w:ascii="Arial" w:hAnsi="Arial" w:cs="Arial"/>
          <w:b/>
          <w:bCs/>
          <w:sz w:val="20"/>
          <w:szCs w:val="20"/>
          <w:lang w:val="en-US"/>
        </w:rPr>
        <w:t>¿</w:t>
      </w:r>
      <w:proofErr w:type="spellStart"/>
      <w:r w:rsidRPr="00C45D29">
        <w:rPr>
          <w:rFonts w:ascii="Arial" w:hAnsi="Arial" w:cs="Arial"/>
          <w:b/>
          <w:bCs/>
          <w:sz w:val="20"/>
          <w:szCs w:val="20"/>
          <w:lang w:val="en-US"/>
        </w:rPr>
        <w:t>Qué</w:t>
      </w:r>
      <w:proofErr w:type="spellEnd"/>
      <w:r w:rsidRPr="00C45D29">
        <w:rPr>
          <w:rFonts w:ascii="Arial" w:hAnsi="Arial" w:cs="Arial"/>
          <w:b/>
          <w:bCs/>
          <w:sz w:val="20"/>
          <w:szCs w:val="20"/>
          <w:lang w:val="en-US"/>
        </w:rPr>
        <w:t xml:space="preserve"> es la malaria? </w:t>
      </w:r>
    </w:p>
    <w:p w14:paraId="2FD52AD9" w14:textId="6D05D1FE" w:rsidR="00CC6166" w:rsidRPr="00CC6166" w:rsidRDefault="00CC616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C6166">
        <w:rPr>
          <w:rFonts w:ascii="Arial" w:hAnsi="Arial" w:cs="Arial"/>
          <w:sz w:val="20"/>
          <w:szCs w:val="20"/>
          <w:lang w:val="en-US"/>
        </w:rPr>
        <w:t>La</w:t>
      </w:r>
      <w:r w:rsidRPr="00CC6166">
        <w:rPr>
          <w:rFonts w:ascii="Arial" w:hAnsi="Arial" w:cs="Arial"/>
          <w:sz w:val="20"/>
          <w:szCs w:val="20"/>
          <w:lang w:val="es-CO"/>
        </w:rPr>
        <w:t xml:space="preserve"> malaria o paludismo, es una enfermedad infecciosa potencialmente mortal, causada por parásitos</w:t>
      </w:r>
      <w:r w:rsidRPr="00C45D29">
        <w:rPr>
          <w:rFonts w:ascii="Arial" w:hAnsi="Arial" w:cs="Arial"/>
          <w:sz w:val="20"/>
          <w:szCs w:val="20"/>
          <w:lang w:val="es-CO"/>
        </w:rPr>
        <w:t xml:space="preserve"> </w:t>
      </w:r>
      <w:r w:rsidRPr="00CC6166">
        <w:rPr>
          <w:rFonts w:ascii="Arial" w:hAnsi="Arial" w:cs="Arial"/>
          <w:sz w:val="20"/>
          <w:szCs w:val="20"/>
          <w:lang w:val="es-CO"/>
        </w:rPr>
        <w:t>del género </w:t>
      </w:r>
      <w:r w:rsidRPr="00CC6166">
        <w:rPr>
          <w:rFonts w:ascii="Arial" w:hAnsi="Arial" w:cs="Arial"/>
          <w:i/>
          <w:iCs/>
          <w:sz w:val="20"/>
          <w:szCs w:val="20"/>
          <w:lang w:val="es-CO"/>
        </w:rPr>
        <w:t>Plasmodium</w:t>
      </w:r>
      <w:r w:rsidRPr="00C45D29">
        <w:rPr>
          <w:rFonts w:ascii="Arial" w:hAnsi="Arial" w:cs="Arial"/>
          <w:i/>
          <w:iCs/>
          <w:sz w:val="20"/>
          <w:szCs w:val="20"/>
          <w:lang w:val="es-CO"/>
        </w:rPr>
        <w:t>,</w:t>
      </w:r>
      <w:r w:rsidRPr="00CC6166">
        <w:rPr>
          <w:rFonts w:ascii="Arial" w:hAnsi="Arial" w:cs="Arial"/>
          <w:sz w:val="20"/>
          <w:szCs w:val="20"/>
          <w:lang w:val="es-CO"/>
        </w:rPr>
        <w:t xml:space="preserve"> que se trasmiten al ser humano a través de la picadura del zancudo hembra infectada </w:t>
      </w:r>
      <w:r w:rsidRPr="00C45D29">
        <w:rPr>
          <w:rFonts w:ascii="Arial" w:hAnsi="Arial" w:cs="Arial"/>
          <w:sz w:val="20"/>
          <w:szCs w:val="20"/>
          <w:lang w:val="es-CO"/>
        </w:rPr>
        <w:t>(género</w:t>
      </w:r>
      <w:r w:rsidRPr="00CC6166">
        <w:rPr>
          <w:rFonts w:ascii="Arial" w:hAnsi="Arial" w:cs="Arial"/>
          <w:sz w:val="20"/>
          <w:szCs w:val="20"/>
          <w:lang w:val="es-CO"/>
        </w:rPr>
        <w:t xml:space="preserve"> </w:t>
      </w:r>
      <w:r w:rsidRPr="00CC6166">
        <w:rPr>
          <w:rFonts w:ascii="Arial" w:hAnsi="Arial" w:cs="Arial"/>
          <w:i/>
          <w:iCs/>
          <w:sz w:val="20"/>
          <w:szCs w:val="20"/>
          <w:lang w:val="es-CO"/>
        </w:rPr>
        <w:t>anophelino</w:t>
      </w:r>
      <w:r w:rsidRPr="00CC6166">
        <w:rPr>
          <w:rFonts w:ascii="Arial" w:hAnsi="Arial" w:cs="Arial"/>
          <w:sz w:val="20"/>
          <w:szCs w:val="20"/>
          <w:lang w:val="es-CO"/>
        </w:rPr>
        <w:t>).</w:t>
      </w:r>
      <w:r w:rsidRPr="00C45D29">
        <w:rPr>
          <w:rFonts w:ascii="Arial" w:hAnsi="Arial" w:cs="Arial"/>
          <w:sz w:val="20"/>
          <w:szCs w:val="20"/>
          <w:lang w:val="es-CO"/>
        </w:rPr>
        <w:t xml:space="preserve"> </w:t>
      </w:r>
    </w:p>
    <w:p w14:paraId="1DB208B6" w14:textId="1FD99283" w:rsidR="00CC6166" w:rsidRPr="00C45D29" w:rsidRDefault="00CC6166" w:rsidP="00C45D29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2FCA8357" w14:textId="7B8180C5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45D29">
        <w:rPr>
          <w:rFonts w:ascii="Arial" w:hAnsi="Arial" w:cs="Arial"/>
          <w:b/>
          <w:bCs/>
          <w:sz w:val="20"/>
          <w:szCs w:val="20"/>
        </w:rPr>
        <w:t>Diapo</w:t>
      </w:r>
      <w:proofErr w:type="spellEnd"/>
      <w:r w:rsidRPr="00C45D29">
        <w:rPr>
          <w:rFonts w:ascii="Arial" w:hAnsi="Arial" w:cs="Arial"/>
          <w:b/>
          <w:bCs/>
          <w:sz w:val="20"/>
          <w:szCs w:val="20"/>
        </w:rPr>
        <w:t xml:space="preserve">  8 </w:t>
      </w:r>
    </w:p>
    <w:p w14:paraId="59527EB8" w14:textId="77777777" w:rsidR="00CC6166" w:rsidRPr="00C45D29" w:rsidRDefault="00CC6166" w:rsidP="00C45D29">
      <w:pPr>
        <w:jc w:val="both"/>
        <w:rPr>
          <w:rFonts w:ascii="Arial" w:hAnsi="Arial" w:cs="Arial"/>
          <w:sz w:val="20"/>
          <w:szCs w:val="20"/>
        </w:rPr>
      </w:pPr>
    </w:p>
    <w:p w14:paraId="76714217" w14:textId="22295E56" w:rsidR="00CC6166" w:rsidRPr="00C45D29" w:rsidRDefault="00CC616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5D29">
        <w:rPr>
          <w:rFonts w:ascii="Arial" w:hAnsi="Arial" w:cs="Arial"/>
          <w:b/>
          <w:bCs/>
          <w:sz w:val="20"/>
          <w:szCs w:val="20"/>
        </w:rPr>
        <w:t>Transmisión</w:t>
      </w:r>
    </w:p>
    <w:p w14:paraId="432D43C3" w14:textId="3F3C603F" w:rsidR="00CC6166" w:rsidRPr="00CC6166" w:rsidRDefault="00CC616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C6166">
        <w:rPr>
          <w:rFonts w:ascii="Arial" w:hAnsi="Arial" w:cs="Arial"/>
          <w:sz w:val="20"/>
          <w:szCs w:val="20"/>
          <w:lang w:val="es-CO"/>
        </w:rPr>
        <w:t xml:space="preserve">Picadura de un zancudo hembra  </w:t>
      </w:r>
      <w:r w:rsidRPr="00CC6166">
        <w:rPr>
          <w:rFonts w:ascii="Arial" w:hAnsi="Arial" w:cs="Arial"/>
          <w:i/>
          <w:iCs/>
          <w:sz w:val="20"/>
          <w:szCs w:val="20"/>
          <w:lang w:val="es-CO"/>
        </w:rPr>
        <w:t>Anopheles</w:t>
      </w:r>
      <w:r w:rsidRPr="00CC6166">
        <w:rPr>
          <w:rFonts w:ascii="Arial" w:hAnsi="Arial" w:cs="Arial"/>
          <w:sz w:val="20"/>
          <w:szCs w:val="20"/>
          <w:lang w:val="es-CO"/>
        </w:rPr>
        <w:t xml:space="preserve">  infectada</w:t>
      </w:r>
      <w:r w:rsidR="008B7096" w:rsidRPr="00C45D29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</w:t>
      </w:r>
      <w:r w:rsidR="008B7096" w:rsidRPr="00C45D29">
        <w:rPr>
          <w:rFonts w:ascii="Arial" w:hAnsi="Arial" w:cs="Arial"/>
          <w:sz w:val="20"/>
          <w:szCs w:val="20"/>
        </w:rPr>
        <w:t>Además de la transmisión vectorial, existen otras formas menos comunes de transmisión, tales como la transfusión sanguínea, el trasplante de órganos, y la transmisión transplacentaria (que ocurre de una madre enferma a su hijo, durante su embarazo). </w:t>
      </w:r>
    </w:p>
    <w:p w14:paraId="384782CF" w14:textId="77777777" w:rsidR="00CC6166" w:rsidRPr="00CC6166" w:rsidRDefault="00CC6166" w:rsidP="00C45D29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1E983CC8" w14:textId="77777777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b/>
          <w:bCs/>
          <w:sz w:val="20"/>
          <w:szCs w:val="20"/>
          <w:lang w:val="es-CO"/>
        </w:rPr>
        <w:t>¿Quién  causa la malaria?</w:t>
      </w:r>
    </w:p>
    <w:p w14:paraId="1819DD54" w14:textId="191223EE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  <w:lang w:val="es-SV"/>
        </w:rPr>
      </w:pPr>
      <w:r w:rsidRPr="008B7096">
        <w:rPr>
          <w:rFonts w:ascii="Arial" w:hAnsi="Arial" w:cs="Arial"/>
          <w:sz w:val="20"/>
          <w:szCs w:val="20"/>
          <w:lang w:val="es-SV"/>
        </w:rPr>
        <w:t>Parásito del género </w:t>
      </w:r>
      <w:r w:rsidRPr="008B7096">
        <w:rPr>
          <w:rFonts w:ascii="Arial" w:hAnsi="Arial" w:cs="Arial"/>
          <w:i/>
          <w:iCs/>
          <w:sz w:val="20"/>
          <w:szCs w:val="20"/>
          <w:lang w:val="es-SV"/>
        </w:rPr>
        <w:t>Plasmodium,</w:t>
      </w:r>
      <w:r w:rsidRPr="008B7096">
        <w:rPr>
          <w:rFonts w:ascii="Arial" w:hAnsi="Arial" w:cs="Arial"/>
          <w:sz w:val="20"/>
          <w:szCs w:val="20"/>
          <w:lang w:val="es-SV"/>
        </w:rPr>
        <w:t xml:space="preserve"> existen más de 150 especies  pero solo 5 infectan a los seres humanos </w:t>
      </w:r>
    </w:p>
    <w:p w14:paraId="67F90F04" w14:textId="58C1F713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  <w:lang w:val="es-SV"/>
        </w:rPr>
      </w:pPr>
    </w:p>
    <w:p w14:paraId="565439CA" w14:textId="112482A2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  <w:r w:rsidRPr="008B7096">
        <w:rPr>
          <w:rFonts w:ascii="Arial" w:hAnsi="Arial" w:cs="Arial"/>
          <w:b/>
          <w:bCs/>
          <w:sz w:val="20"/>
          <w:szCs w:val="20"/>
          <w:lang w:val="es-CO"/>
        </w:rPr>
        <w:t>Reservorio</w:t>
      </w:r>
    </w:p>
    <w:p w14:paraId="40B44350" w14:textId="77777777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7430D9E8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C45D29">
        <w:rPr>
          <w:rFonts w:ascii="Arial" w:hAnsi="Arial" w:cs="Arial"/>
          <w:sz w:val="20"/>
          <w:szCs w:val="20"/>
        </w:rPr>
        <w:t>En Colombia el único  reservorio de esta enfermedad  es el  ser humano, que se enferma mediante   la picadura de un zancudo hembra infectado, quien introduce el   parásito  causante de la malaria</w:t>
      </w:r>
    </w:p>
    <w:p w14:paraId="24307FF3" w14:textId="77777777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32360685" w14:textId="0A586CF0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45D29">
        <w:rPr>
          <w:rFonts w:ascii="Arial" w:hAnsi="Arial" w:cs="Arial"/>
          <w:b/>
          <w:bCs/>
          <w:sz w:val="20"/>
          <w:szCs w:val="20"/>
        </w:rPr>
        <w:t>Diapo</w:t>
      </w:r>
      <w:proofErr w:type="spellEnd"/>
      <w:r w:rsidRPr="00C45D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5D29">
        <w:rPr>
          <w:rFonts w:ascii="Arial" w:hAnsi="Arial" w:cs="Arial"/>
          <w:b/>
          <w:bCs/>
          <w:sz w:val="20"/>
          <w:szCs w:val="20"/>
        </w:rPr>
        <w:t>9</w:t>
      </w:r>
      <w:r w:rsidRPr="00C45D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70642CB" w14:textId="77777777" w:rsidR="008B7096" w:rsidRPr="00C45D29" w:rsidRDefault="008B7096" w:rsidP="00C45D2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>Los agentes causantes de malaria en humanos son  cinco especies del género </w:t>
      </w:r>
      <w:proofErr w:type="spellStart"/>
      <w:r w:rsidRPr="008B7096">
        <w:rPr>
          <w:rFonts w:ascii="Arial" w:hAnsi="Arial" w:cs="Arial"/>
          <w:i/>
          <w:iCs/>
          <w:sz w:val="20"/>
          <w:szCs w:val="20"/>
        </w:rPr>
        <w:t>Plasmodium</w:t>
      </w:r>
      <w:proofErr w:type="spellEnd"/>
      <w:r w:rsidRPr="008B709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B7096">
        <w:rPr>
          <w:rFonts w:ascii="Arial" w:hAnsi="Arial" w:cs="Arial"/>
          <w:i/>
          <w:iCs/>
          <w:sz w:val="20"/>
          <w:szCs w:val="20"/>
        </w:rPr>
        <w:t>spp</w:t>
      </w:r>
      <w:proofErr w:type="spellEnd"/>
      <w:r w:rsidRPr="008B7096">
        <w:rPr>
          <w:rFonts w:ascii="Arial" w:hAnsi="Arial" w:cs="Arial"/>
          <w:i/>
          <w:iCs/>
          <w:sz w:val="20"/>
          <w:szCs w:val="20"/>
        </w:rPr>
        <w:t>:</w:t>
      </w:r>
    </w:p>
    <w:p w14:paraId="38FC1560" w14:textId="77777777" w:rsidR="008B7096" w:rsidRPr="00C45D29" w:rsidRDefault="008B7096" w:rsidP="00C45D2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B709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B7096">
        <w:rPr>
          <w:rFonts w:ascii="Arial" w:hAnsi="Arial" w:cs="Arial"/>
          <w:i/>
          <w:iCs/>
          <w:sz w:val="20"/>
          <w:szCs w:val="20"/>
        </w:rPr>
        <w:t>Plasmodium</w:t>
      </w:r>
      <w:proofErr w:type="spellEnd"/>
      <w:r w:rsidRPr="008B709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B7096">
        <w:rPr>
          <w:rFonts w:ascii="Arial" w:hAnsi="Arial" w:cs="Arial"/>
          <w:i/>
          <w:iCs/>
          <w:sz w:val="20"/>
          <w:szCs w:val="20"/>
        </w:rPr>
        <w:t>falciparum</w:t>
      </w:r>
      <w:proofErr w:type="spellEnd"/>
      <w:r w:rsidRPr="008B7096">
        <w:rPr>
          <w:rFonts w:ascii="Arial" w:hAnsi="Arial" w:cs="Arial"/>
          <w:i/>
          <w:iCs/>
          <w:sz w:val="20"/>
          <w:szCs w:val="20"/>
        </w:rPr>
        <w:t>,</w:t>
      </w:r>
    </w:p>
    <w:p w14:paraId="0193BBFA" w14:textId="77777777" w:rsidR="008B7096" w:rsidRPr="00C45D29" w:rsidRDefault="008B7096" w:rsidP="00C45D2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B709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B7096">
        <w:rPr>
          <w:rFonts w:ascii="Arial" w:hAnsi="Arial" w:cs="Arial"/>
          <w:i/>
          <w:iCs/>
          <w:sz w:val="20"/>
          <w:szCs w:val="20"/>
        </w:rPr>
        <w:t>Plasmodium</w:t>
      </w:r>
      <w:proofErr w:type="spellEnd"/>
      <w:r w:rsidRPr="008B709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B7096">
        <w:rPr>
          <w:rFonts w:ascii="Arial" w:hAnsi="Arial" w:cs="Arial"/>
          <w:i/>
          <w:iCs/>
          <w:sz w:val="20"/>
          <w:szCs w:val="20"/>
        </w:rPr>
        <w:t>vivax</w:t>
      </w:r>
      <w:proofErr w:type="spellEnd"/>
      <w:r w:rsidRPr="008B7096">
        <w:rPr>
          <w:rFonts w:ascii="Arial" w:hAnsi="Arial" w:cs="Arial"/>
          <w:i/>
          <w:iCs/>
          <w:sz w:val="20"/>
          <w:szCs w:val="20"/>
        </w:rPr>
        <w:t xml:space="preserve">, </w:t>
      </w:r>
    </w:p>
    <w:p w14:paraId="433B1788" w14:textId="77777777" w:rsidR="008B7096" w:rsidRPr="00C45D29" w:rsidRDefault="008B7096" w:rsidP="00C45D29">
      <w:pPr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8B7096">
        <w:rPr>
          <w:rFonts w:ascii="Arial" w:hAnsi="Arial" w:cs="Arial"/>
          <w:i/>
          <w:iCs/>
          <w:sz w:val="20"/>
          <w:szCs w:val="20"/>
        </w:rPr>
        <w:t>Plasmodium</w:t>
      </w:r>
      <w:proofErr w:type="spellEnd"/>
      <w:r w:rsidRPr="008B709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B7096">
        <w:rPr>
          <w:rFonts w:ascii="Arial" w:hAnsi="Arial" w:cs="Arial"/>
          <w:i/>
          <w:iCs/>
          <w:sz w:val="20"/>
          <w:szCs w:val="20"/>
        </w:rPr>
        <w:t>malariae</w:t>
      </w:r>
      <w:proofErr w:type="spellEnd"/>
      <w:r w:rsidRPr="008B7096">
        <w:rPr>
          <w:rFonts w:ascii="Arial" w:hAnsi="Arial" w:cs="Arial"/>
          <w:i/>
          <w:iCs/>
          <w:sz w:val="20"/>
          <w:szCs w:val="20"/>
        </w:rPr>
        <w:t xml:space="preserve">, </w:t>
      </w:r>
    </w:p>
    <w:p w14:paraId="75A2C398" w14:textId="77777777" w:rsidR="008B7096" w:rsidRPr="00C45D29" w:rsidRDefault="008B7096" w:rsidP="00C45D29">
      <w:pPr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8B7096">
        <w:rPr>
          <w:rFonts w:ascii="Arial" w:hAnsi="Arial" w:cs="Arial"/>
          <w:i/>
          <w:iCs/>
          <w:sz w:val="20"/>
          <w:szCs w:val="20"/>
        </w:rPr>
        <w:t>Plasmodium</w:t>
      </w:r>
      <w:proofErr w:type="spellEnd"/>
      <w:r w:rsidRPr="008B7096">
        <w:rPr>
          <w:rFonts w:ascii="Arial" w:hAnsi="Arial" w:cs="Arial"/>
          <w:i/>
          <w:iCs/>
          <w:sz w:val="20"/>
          <w:szCs w:val="20"/>
        </w:rPr>
        <w:t xml:space="preserve"> ovale y</w:t>
      </w:r>
    </w:p>
    <w:p w14:paraId="09B176EB" w14:textId="4D028B31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B7096">
        <w:rPr>
          <w:rFonts w:ascii="Arial" w:hAnsi="Arial" w:cs="Arial"/>
          <w:i/>
          <w:iCs/>
          <w:sz w:val="20"/>
          <w:szCs w:val="20"/>
        </w:rPr>
        <w:t>Plasmodium</w:t>
      </w:r>
      <w:proofErr w:type="spellEnd"/>
      <w:r w:rsidRPr="008B709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B7096">
        <w:rPr>
          <w:rFonts w:ascii="Arial" w:hAnsi="Arial" w:cs="Arial"/>
          <w:i/>
          <w:iCs/>
          <w:sz w:val="20"/>
          <w:szCs w:val="20"/>
        </w:rPr>
        <w:t>knowlesi</w:t>
      </w:r>
      <w:proofErr w:type="spellEnd"/>
      <w:r w:rsidRPr="008B7096">
        <w:rPr>
          <w:rFonts w:ascii="Arial" w:hAnsi="Arial" w:cs="Arial"/>
          <w:i/>
          <w:iCs/>
          <w:sz w:val="20"/>
          <w:szCs w:val="20"/>
        </w:rPr>
        <w:t>.</w:t>
      </w:r>
    </w:p>
    <w:p w14:paraId="48ECF80D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>En Colombia, las especies más frecuentes en zonas endémicas son </w:t>
      </w:r>
      <w:r w:rsidRPr="008B7096">
        <w:rPr>
          <w:rFonts w:ascii="Arial" w:hAnsi="Arial" w:cs="Arial"/>
          <w:i/>
          <w:iCs/>
          <w:sz w:val="20"/>
          <w:szCs w:val="20"/>
        </w:rPr>
        <w:t>P.</w:t>
      </w:r>
      <w:r w:rsidRPr="008B70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7096">
        <w:rPr>
          <w:rFonts w:ascii="Arial" w:hAnsi="Arial" w:cs="Arial"/>
          <w:i/>
          <w:iCs/>
          <w:sz w:val="20"/>
          <w:szCs w:val="20"/>
        </w:rPr>
        <w:t>vivax</w:t>
      </w:r>
      <w:proofErr w:type="spellEnd"/>
      <w:r w:rsidRPr="008B7096">
        <w:rPr>
          <w:rFonts w:ascii="Arial" w:hAnsi="Arial" w:cs="Arial"/>
          <w:i/>
          <w:iCs/>
          <w:sz w:val="20"/>
          <w:szCs w:val="20"/>
        </w:rPr>
        <w:t xml:space="preserve"> y P. </w:t>
      </w:r>
      <w:proofErr w:type="spellStart"/>
      <w:r w:rsidRPr="008B7096">
        <w:rPr>
          <w:rFonts w:ascii="Arial" w:hAnsi="Arial" w:cs="Arial"/>
          <w:i/>
          <w:iCs/>
          <w:sz w:val="20"/>
          <w:szCs w:val="20"/>
        </w:rPr>
        <w:t>falciparum</w:t>
      </w:r>
      <w:proofErr w:type="spellEnd"/>
      <w:r w:rsidRPr="008B7096">
        <w:rPr>
          <w:rFonts w:ascii="Arial" w:hAnsi="Arial" w:cs="Arial"/>
          <w:i/>
          <w:iCs/>
          <w:sz w:val="20"/>
          <w:szCs w:val="20"/>
        </w:rPr>
        <w:t>. L</w:t>
      </w:r>
      <w:r w:rsidRPr="008B7096">
        <w:rPr>
          <w:rFonts w:ascii="Arial" w:hAnsi="Arial" w:cs="Arial"/>
          <w:sz w:val="20"/>
          <w:szCs w:val="20"/>
        </w:rPr>
        <w:t>a transmisión de </w:t>
      </w:r>
      <w:r w:rsidRPr="008B7096">
        <w:rPr>
          <w:rFonts w:ascii="Arial" w:hAnsi="Arial" w:cs="Arial"/>
          <w:i/>
          <w:iCs/>
          <w:sz w:val="20"/>
          <w:szCs w:val="20"/>
        </w:rPr>
        <w:t>P.</w:t>
      </w:r>
      <w:r w:rsidRPr="008B70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7096">
        <w:rPr>
          <w:rFonts w:ascii="Arial" w:hAnsi="Arial" w:cs="Arial"/>
          <w:sz w:val="20"/>
          <w:szCs w:val="20"/>
        </w:rPr>
        <w:t>m</w:t>
      </w:r>
      <w:r w:rsidRPr="008B7096">
        <w:rPr>
          <w:rFonts w:ascii="Arial" w:hAnsi="Arial" w:cs="Arial"/>
          <w:i/>
          <w:iCs/>
          <w:sz w:val="20"/>
          <w:szCs w:val="20"/>
        </w:rPr>
        <w:t>alariae</w:t>
      </w:r>
      <w:proofErr w:type="spellEnd"/>
      <w:r w:rsidRPr="008B7096">
        <w:rPr>
          <w:rFonts w:ascii="Arial" w:hAnsi="Arial" w:cs="Arial"/>
          <w:i/>
          <w:iCs/>
          <w:sz w:val="20"/>
          <w:szCs w:val="20"/>
        </w:rPr>
        <w:t> pued</w:t>
      </w:r>
      <w:r w:rsidRPr="008B7096">
        <w:rPr>
          <w:rFonts w:ascii="Arial" w:hAnsi="Arial" w:cs="Arial"/>
          <w:sz w:val="20"/>
          <w:szCs w:val="20"/>
        </w:rPr>
        <w:t>e ocurrir en focos dispersos a lo largo de la costa Pacífica y la región Amazónica,</w:t>
      </w:r>
    </w:p>
    <w:p w14:paraId="782BDC8D" w14:textId="45F4F1FA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i/>
          <w:iCs/>
          <w:sz w:val="20"/>
          <w:szCs w:val="20"/>
          <w:highlight w:val="green"/>
        </w:rPr>
        <w:lastRenderedPageBreak/>
        <w:t xml:space="preserve">También </w:t>
      </w:r>
      <w:r w:rsidRPr="008B7096">
        <w:rPr>
          <w:rFonts w:ascii="Arial" w:hAnsi="Arial" w:cs="Arial"/>
          <w:sz w:val="20"/>
          <w:szCs w:val="20"/>
          <w:highlight w:val="green"/>
        </w:rPr>
        <w:t>pueden ocurrir casos de infecciones mixtas, definidas como infecciones simultaneas  por dos o más especies, usualmente </w:t>
      </w:r>
      <w:r w:rsidRPr="008B7096">
        <w:rPr>
          <w:rFonts w:ascii="Arial" w:hAnsi="Arial" w:cs="Arial"/>
          <w:i/>
          <w:iCs/>
          <w:sz w:val="20"/>
          <w:szCs w:val="20"/>
          <w:highlight w:val="green"/>
        </w:rPr>
        <w:t xml:space="preserve">P. </w:t>
      </w:r>
      <w:proofErr w:type="spellStart"/>
      <w:r w:rsidRPr="008B7096">
        <w:rPr>
          <w:rFonts w:ascii="Arial" w:hAnsi="Arial" w:cs="Arial"/>
          <w:i/>
          <w:iCs/>
          <w:sz w:val="20"/>
          <w:szCs w:val="20"/>
          <w:highlight w:val="green"/>
        </w:rPr>
        <w:t>vivax</w:t>
      </w:r>
      <w:proofErr w:type="spellEnd"/>
      <w:r w:rsidRPr="008B7096">
        <w:rPr>
          <w:rFonts w:ascii="Arial" w:hAnsi="Arial" w:cs="Arial"/>
          <w:sz w:val="20"/>
          <w:szCs w:val="20"/>
          <w:highlight w:val="green"/>
        </w:rPr>
        <w:t xml:space="preserve"> y</w:t>
      </w:r>
      <w:r w:rsidRPr="008B7096">
        <w:rPr>
          <w:rFonts w:ascii="Arial" w:hAnsi="Arial" w:cs="Arial"/>
          <w:i/>
          <w:iCs/>
          <w:sz w:val="20"/>
          <w:szCs w:val="20"/>
          <w:highlight w:val="green"/>
        </w:rPr>
        <w:t xml:space="preserve"> P. </w:t>
      </w:r>
      <w:proofErr w:type="spellStart"/>
      <w:r w:rsidRPr="008B7096">
        <w:rPr>
          <w:rFonts w:ascii="Arial" w:hAnsi="Arial" w:cs="Arial"/>
          <w:i/>
          <w:iCs/>
          <w:sz w:val="20"/>
          <w:szCs w:val="20"/>
          <w:highlight w:val="green"/>
        </w:rPr>
        <w:t>falciparum</w:t>
      </w:r>
      <w:proofErr w:type="spellEnd"/>
      <w:r w:rsidRPr="008B7096">
        <w:rPr>
          <w:rFonts w:ascii="Arial" w:hAnsi="Arial" w:cs="Arial"/>
          <w:i/>
          <w:iCs/>
          <w:sz w:val="20"/>
          <w:szCs w:val="20"/>
          <w:highlight w:val="green"/>
        </w:rPr>
        <w:t> en el país.</w:t>
      </w:r>
    </w:p>
    <w:p w14:paraId="3AEB963E" w14:textId="77777777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AE438A" w14:textId="1C289D30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45D29">
        <w:rPr>
          <w:rFonts w:ascii="Arial" w:hAnsi="Arial" w:cs="Arial"/>
          <w:b/>
          <w:bCs/>
          <w:sz w:val="20"/>
          <w:szCs w:val="20"/>
        </w:rPr>
        <w:t>Diapo</w:t>
      </w:r>
      <w:proofErr w:type="spellEnd"/>
      <w:r w:rsidRPr="00C45D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5D29">
        <w:rPr>
          <w:rFonts w:ascii="Arial" w:hAnsi="Arial" w:cs="Arial"/>
          <w:b/>
          <w:bCs/>
          <w:sz w:val="20"/>
          <w:szCs w:val="20"/>
        </w:rPr>
        <w:t>10</w:t>
      </w:r>
    </w:p>
    <w:p w14:paraId="7592A862" w14:textId="7F340210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8B7096">
        <w:rPr>
          <w:rFonts w:ascii="Arial" w:hAnsi="Arial" w:cs="Arial"/>
          <w:sz w:val="20"/>
          <w:szCs w:val="20"/>
        </w:rPr>
        <w:t>La malaria o paludismo se transmite por la picadura de zancudos.  Inicialmente, los zancudos que pican a una persona enferma se infectarán, luego de un periodo de incubación, de aproximadamente 7 a 10 días, si estos zancudos infectados pican a personas sanas, pueden transmitirles el parasito que causa la enfermedad; posteriormente, después de una a cuatro semanas, estas personas desarrollarán la enfermedad.  Si las personas no reciben tratamiento, este ciclo se repetirá, afectando a toda la comunidad, en unas pocas semanas</w:t>
      </w:r>
      <w:r w:rsidRPr="008B7096">
        <w:rPr>
          <w:rFonts w:ascii="Arial" w:hAnsi="Arial" w:cs="Arial"/>
          <w:sz w:val="20"/>
          <w:szCs w:val="20"/>
          <w:lang w:val="en-US"/>
        </w:rPr>
        <w:t>.</w:t>
      </w:r>
    </w:p>
    <w:p w14:paraId="48DBAB30" w14:textId="77777777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CD86C9" w14:textId="64771E8B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45D29">
        <w:rPr>
          <w:rFonts w:ascii="Arial" w:hAnsi="Arial" w:cs="Arial"/>
          <w:b/>
          <w:bCs/>
          <w:sz w:val="20"/>
          <w:szCs w:val="20"/>
        </w:rPr>
        <w:t>Diapo</w:t>
      </w:r>
      <w:proofErr w:type="spellEnd"/>
      <w:r w:rsidRPr="00C45D29">
        <w:rPr>
          <w:rFonts w:ascii="Arial" w:hAnsi="Arial" w:cs="Arial"/>
          <w:b/>
          <w:bCs/>
          <w:sz w:val="20"/>
          <w:szCs w:val="20"/>
        </w:rPr>
        <w:t xml:space="preserve"> 1</w:t>
      </w:r>
      <w:r w:rsidRPr="00C45D29">
        <w:rPr>
          <w:rFonts w:ascii="Arial" w:hAnsi="Arial" w:cs="Arial"/>
          <w:b/>
          <w:bCs/>
          <w:sz w:val="20"/>
          <w:szCs w:val="20"/>
        </w:rPr>
        <w:t>1</w:t>
      </w:r>
    </w:p>
    <w:p w14:paraId="41E97970" w14:textId="34E48A31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1B192FC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>Una vez que el zancudo transmite los parásitos a una persona sana, estos parásitos llegan al hígado, a través del torrente sanguíneo; en este órgano se multiplican, luego invaden los glóbulos rojos de la sangre y, posteriormente, se diseminan por el organismo.  Si otro zancudo pica a una persona en estas condiciones, puede infectarse y transmitir los parásitos a otra persona sana, repitiendo el ciclo de transmisión.</w:t>
      </w:r>
    </w:p>
    <w:p w14:paraId="1C0AC6BE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</w:p>
    <w:p w14:paraId="6D0D082A" w14:textId="5460AE47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sz w:val="20"/>
          <w:szCs w:val="20"/>
        </w:rPr>
        <w:t xml:space="preserve"> </w:t>
      </w:r>
      <w:r w:rsidRPr="008B7096">
        <w:rPr>
          <w:rFonts w:ascii="Arial" w:hAnsi="Arial" w:cs="Arial"/>
          <w:sz w:val="20"/>
          <w:szCs w:val="20"/>
          <w:highlight w:val="green"/>
        </w:rPr>
        <w:t>La malaria o paludismo solo se cura con la eliminación de los parásitos de la sangre y del hígado, y esto solo se logra tomando el tratamiento completo.</w:t>
      </w:r>
      <w:r w:rsidRPr="008B7096">
        <w:rPr>
          <w:rFonts w:ascii="Arial" w:hAnsi="Arial" w:cs="Arial"/>
          <w:sz w:val="20"/>
          <w:szCs w:val="20"/>
        </w:rPr>
        <w:t> </w:t>
      </w:r>
    </w:p>
    <w:p w14:paraId="13C85DD5" w14:textId="77777777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27DF21" w14:textId="1FA79A74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E3153C0" w14:textId="07E526AB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45D29">
        <w:rPr>
          <w:rFonts w:ascii="Arial" w:hAnsi="Arial" w:cs="Arial"/>
          <w:b/>
          <w:bCs/>
          <w:sz w:val="20"/>
          <w:szCs w:val="20"/>
        </w:rPr>
        <w:t>Diapo</w:t>
      </w:r>
      <w:proofErr w:type="spellEnd"/>
      <w:r w:rsidRPr="00C45D29">
        <w:rPr>
          <w:rFonts w:ascii="Arial" w:hAnsi="Arial" w:cs="Arial"/>
          <w:b/>
          <w:bCs/>
          <w:sz w:val="20"/>
          <w:szCs w:val="20"/>
        </w:rPr>
        <w:t xml:space="preserve"> 1</w:t>
      </w:r>
      <w:r w:rsidRPr="00C45D29">
        <w:rPr>
          <w:rFonts w:ascii="Arial" w:hAnsi="Arial" w:cs="Arial"/>
          <w:b/>
          <w:bCs/>
          <w:sz w:val="20"/>
          <w:szCs w:val="20"/>
        </w:rPr>
        <w:t>2</w:t>
      </w:r>
    </w:p>
    <w:p w14:paraId="7BDD2715" w14:textId="77777777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4025A3" w14:textId="7D092364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4D2E1EC" w14:textId="77777777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sz w:val="20"/>
          <w:szCs w:val="20"/>
          <w:lang w:val="es-CO"/>
        </w:rPr>
        <w:t>¿Quién puede enfermarse con malaria o paludismo?</w:t>
      </w:r>
    </w:p>
    <w:p w14:paraId="629FB926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E0F6ED9" w14:textId="77777777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sz w:val="20"/>
          <w:szCs w:val="20"/>
          <w:lang w:val="es-CO"/>
        </w:rPr>
        <w:t xml:space="preserve">En general, tienen mayor riesgo para enfermar de malaria o paludismo, debido a la mayor probabilidad de ser picados por zancudos del género </w:t>
      </w:r>
      <w:r w:rsidRPr="008B7096">
        <w:rPr>
          <w:rFonts w:ascii="Arial" w:hAnsi="Arial" w:cs="Arial"/>
          <w:i/>
          <w:iCs/>
          <w:sz w:val="20"/>
          <w:szCs w:val="20"/>
          <w:lang w:val="es-CO"/>
        </w:rPr>
        <w:t>Anopheles</w:t>
      </w:r>
      <w:r w:rsidRPr="008B7096">
        <w:rPr>
          <w:rFonts w:ascii="Arial" w:hAnsi="Arial" w:cs="Arial"/>
          <w:sz w:val="20"/>
          <w:szCs w:val="20"/>
          <w:lang w:val="es-CO"/>
        </w:rPr>
        <w:t>, los siguientes grupos poblacionales:</w:t>
      </w:r>
    </w:p>
    <w:p w14:paraId="111C6289" w14:textId="77777777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sz w:val="20"/>
          <w:szCs w:val="20"/>
          <w:lang w:val="es-CO"/>
        </w:rPr>
        <w:t>*Personas que viven cerca de los criaderos de zancudos </w:t>
      </w:r>
      <w:r w:rsidRPr="008B7096">
        <w:rPr>
          <w:rFonts w:ascii="Arial" w:hAnsi="Arial" w:cs="Arial"/>
          <w:i/>
          <w:iCs/>
          <w:sz w:val="20"/>
          <w:szCs w:val="20"/>
          <w:lang w:val="es-CO"/>
        </w:rPr>
        <w:t>Anopheles</w:t>
      </w:r>
      <w:r w:rsidRPr="008B7096">
        <w:rPr>
          <w:rFonts w:ascii="Arial" w:hAnsi="Arial" w:cs="Arial"/>
          <w:sz w:val="20"/>
          <w:szCs w:val="20"/>
          <w:lang w:val="es-CO"/>
        </w:rPr>
        <w:t xml:space="preserve"> o que realizan actividades de alta exposición como la minería.  </w:t>
      </w:r>
    </w:p>
    <w:p w14:paraId="08FCE43C" w14:textId="77777777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sz w:val="20"/>
          <w:szCs w:val="20"/>
          <w:lang w:val="es-ES"/>
        </w:rPr>
        <w:t>*</w:t>
      </w:r>
      <w:r w:rsidRPr="008B7096">
        <w:rPr>
          <w:rFonts w:ascii="Arial" w:hAnsi="Arial" w:cs="Arial"/>
          <w:sz w:val="20"/>
          <w:szCs w:val="20"/>
          <w:lang w:val="es-CO"/>
        </w:rPr>
        <w:t>La falta de acceso a los servicios de salud, dificulta diagnóstico y tratamiento, así como incumplimiento en la toma completa del tratamiento.</w:t>
      </w:r>
    </w:p>
    <w:p w14:paraId="68CC89B1" w14:textId="77777777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sz w:val="20"/>
          <w:szCs w:val="20"/>
          <w:lang w:val="es-CO"/>
        </w:rPr>
        <w:t>*</w:t>
      </w:r>
      <w:r w:rsidRPr="008B7096">
        <w:rPr>
          <w:rFonts w:ascii="Arial" w:hAnsi="Arial" w:cs="Arial"/>
          <w:sz w:val="20"/>
          <w:szCs w:val="20"/>
          <w:lang w:val="es-ES"/>
        </w:rPr>
        <w:t>Grupos de riesgo (niños, &gt;60 años, mujeres en estado de embarazo) que habiten o visiten un área con transmisión activa pueden desarrollar formas graves de la enfermedad.</w:t>
      </w:r>
    </w:p>
    <w:p w14:paraId="09CB387A" w14:textId="77777777" w:rsidR="008B7096" w:rsidRPr="008B7096" w:rsidRDefault="008B7096" w:rsidP="00C45D2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sz w:val="20"/>
          <w:szCs w:val="20"/>
          <w:lang w:val="es-CO"/>
        </w:rPr>
        <w:t>Personas que no utilizan medidas de protección personal como uso de toldillos, prendas de vestir con mangas largas, repelentes,</w:t>
      </w:r>
    </w:p>
    <w:p w14:paraId="54424662" w14:textId="77777777" w:rsidR="008B7096" w:rsidRPr="008B7096" w:rsidRDefault="008B7096" w:rsidP="00C45D2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sz w:val="20"/>
          <w:szCs w:val="20"/>
          <w:lang w:val="es-CO"/>
        </w:rPr>
        <w:t>Viajeros o comerciantes que pasan y duermen en lugares donde existen zancudos infectados  de malaria o paludismo. </w:t>
      </w:r>
    </w:p>
    <w:p w14:paraId="0D9301EF" w14:textId="595DFAF3" w:rsidR="008B7096" w:rsidRPr="00C45D29" w:rsidRDefault="008B7096" w:rsidP="00C45D2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sz w:val="20"/>
          <w:szCs w:val="20"/>
          <w:lang w:val="es-CO"/>
        </w:rPr>
        <w:t>El desconocimiento de la enfermedad y de su riesgo de transmisión.</w:t>
      </w:r>
    </w:p>
    <w:p w14:paraId="05712242" w14:textId="603BF99E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515B52B0" w14:textId="48963BCE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45D29">
        <w:rPr>
          <w:rFonts w:ascii="Arial" w:hAnsi="Arial" w:cs="Arial"/>
          <w:sz w:val="20"/>
          <w:szCs w:val="20"/>
          <w:lang w:val="es-CO"/>
        </w:rPr>
        <w:t>Recordemos la importancia de la  definición de c</w:t>
      </w:r>
      <w:r w:rsidRPr="008B7096">
        <w:rPr>
          <w:rFonts w:ascii="Arial" w:hAnsi="Arial" w:cs="Arial"/>
          <w:sz w:val="20"/>
          <w:szCs w:val="20"/>
          <w:lang w:val="es-CO"/>
        </w:rPr>
        <w:t>riaderos como : </w:t>
      </w:r>
    </w:p>
    <w:p w14:paraId="37801A8E" w14:textId="6534DA00" w:rsidR="008B7096" w:rsidRPr="008B7096" w:rsidRDefault="008B7096" w:rsidP="00C45D2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sz w:val="20"/>
          <w:szCs w:val="20"/>
          <w:lang w:val="es-CO"/>
        </w:rPr>
        <w:t xml:space="preserve">Criaderos permanentes. Lagos, pozos, charcos las minas y las lagunas </w:t>
      </w:r>
    </w:p>
    <w:p w14:paraId="488793A6" w14:textId="77777777" w:rsidR="008B7096" w:rsidRPr="008B7096" w:rsidRDefault="008B7096" w:rsidP="00C45D2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sz w:val="20"/>
          <w:szCs w:val="20"/>
          <w:lang w:val="es-CO"/>
        </w:rPr>
        <w:t>Criaderos estacionales : relacionado estaciones climáticas  Ríos y quebradas </w:t>
      </w:r>
    </w:p>
    <w:p w14:paraId="77E412B6" w14:textId="77777777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46414237" w14:textId="77777777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0961903" w14:textId="6BBBB82A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45D29">
        <w:rPr>
          <w:rFonts w:ascii="Arial" w:hAnsi="Arial" w:cs="Arial"/>
          <w:b/>
          <w:bCs/>
          <w:sz w:val="20"/>
          <w:szCs w:val="20"/>
        </w:rPr>
        <w:t>Diapo</w:t>
      </w:r>
      <w:proofErr w:type="spellEnd"/>
      <w:r w:rsidRPr="00C45D29">
        <w:rPr>
          <w:rFonts w:ascii="Arial" w:hAnsi="Arial" w:cs="Arial"/>
          <w:b/>
          <w:bCs/>
          <w:sz w:val="20"/>
          <w:szCs w:val="20"/>
        </w:rPr>
        <w:t xml:space="preserve"> 1</w:t>
      </w:r>
      <w:r w:rsidRPr="00C45D29">
        <w:rPr>
          <w:rFonts w:ascii="Arial" w:hAnsi="Arial" w:cs="Arial"/>
          <w:b/>
          <w:bCs/>
          <w:sz w:val="20"/>
          <w:szCs w:val="20"/>
        </w:rPr>
        <w:t>3</w:t>
      </w:r>
    </w:p>
    <w:p w14:paraId="1B951C92" w14:textId="0B729378" w:rsidR="008B7096" w:rsidRPr="00C45D29" w:rsidRDefault="008B7096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5D29">
        <w:rPr>
          <w:rFonts w:ascii="Arial" w:hAnsi="Arial" w:cs="Arial"/>
          <w:b/>
          <w:bCs/>
          <w:sz w:val="20"/>
          <w:szCs w:val="20"/>
        </w:rPr>
        <w:t>Signos y síntomas de la malaria o paludismo </w:t>
      </w:r>
    </w:p>
    <w:p w14:paraId="2F85FA05" w14:textId="2ED7E75F" w:rsidR="00CC6166" w:rsidRPr="00C45D29" w:rsidRDefault="00CC6166" w:rsidP="00C45D29">
      <w:pPr>
        <w:jc w:val="both"/>
        <w:rPr>
          <w:rFonts w:ascii="Arial" w:hAnsi="Arial" w:cs="Arial"/>
          <w:sz w:val="20"/>
          <w:szCs w:val="20"/>
        </w:rPr>
      </w:pPr>
    </w:p>
    <w:p w14:paraId="575286C2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 xml:space="preserve">Una persona en quien se sospecha la malaria o paludismo, puede presentar los siguientes signos y síntomas: </w:t>
      </w:r>
    </w:p>
    <w:p w14:paraId="282651D5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 xml:space="preserve">fiebre (&gt; 37,5° C) actual o reciente (hasta de 2 semanas o 15 días previos a la consulta); que suele estar acompañada de </w:t>
      </w:r>
    </w:p>
    <w:p w14:paraId="5DEC865A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 xml:space="preserve">sudoración, </w:t>
      </w:r>
    </w:p>
    <w:p w14:paraId="358C9CC2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lastRenderedPageBreak/>
        <w:t xml:space="preserve">escalofríos, </w:t>
      </w:r>
    </w:p>
    <w:p w14:paraId="71AEC46E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>dolor de cabeza,</w:t>
      </w:r>
    </w:p>
    <w:p w14:paraId="58EC5AB6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 xml:space="preserve"> malestar general, </w:t>
      </w:r>
    </w:p>
    <w:p w14:paraId="6696B0D1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>debilidad y</w:t>
      </w:r>
    </w:p>
    <w:p w14:paraId="26FFE70C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 xml:space="preserve"> dolor del cuerpo principalmente;</w:t>
      </w:r>
    </w:p>
    <w:p w14:paraId="7DD90D5B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 xml:space="preserve"> además, puede presentar</w:t>
      </w:r>
    </w:p>
    <w:p w14:paraId="2905C792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 xml:space="preserve"> tos, </w:t>
      </w:r>
    </w:p>
    <w:p w14:paraId="0F5E0B9D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 xml:space="preserve">vómito o diarrea; </w:t>
      </w:r>
    </w:p>
    <w:p w14:paraId="0D707608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 xml:space="preserve">la piel y los ojos pueden tornarse ictéricos (color amarillo); </w:t>
      </w:r>
    </w:p>
    <w:p w14:paraId="1CCDDFC0" w14:textId="77777777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>la orina puede tener un color oscuro; y puede llegar a tener convulsiones.</w:t>
      </w:r>
    </w:p>
    <w:p w14:paraId="313EEDD6" w14:textId="77777777" w:rsidR="00C45D29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 xml:space="preserve"> </w:t>
      </w:r>
    </w:p>
    <w:p w14:paraId="16338B43" w14:textId="77777777" w:rsidR="00C45D29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 xml:space="preserve">En ocasiones, especialmente, si no se inicia el tratamiento de forma oportuna (en las primeras 48 horas), el cuadro clínico puede ser muy severo, e incluso conducir a la muerte. </w:t>
      </w:r>
    </w:p>
    <w:p w14:paraId="06656F24" w14:textId="77777777" w:rsidR="00C45D29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  <w:r w:rsidRPr="008B7096">
        <w:rPr>
          <w:rFonts w:ascii="Arial" w:hAnsi="Arial" w:cs="Arial"/>
          <w:sz w:val="20"/>
          <w:szCs w:val="20"/>
        </w:rPr>
        <w:t xml:space="preserve">Así, es posible definir dos formas clínicas: </w:t>
      </w:r>
    </w:p>
    <w:p w14:paraId="1B1DFED6" w14:textId="5A015693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sz w:val="20"/>
          <w:szCs w:val="20"/>
        </w:rPr>
        <w:t>malaria no complicada y malaria complicada, esta última asociada a una</w:t>
      </w:r>
      <w:r w:rsidR="00C45D29" w:rsidRPr="00C45D29">
        <w:rPr>
          <w:rFonts w:ascii="Arial" w:hAnsi="Arial" w:cs="Arial"/>
          <w:sz w:val="20"/>
          <w:szCs w:val="20"/>
        </w:rPr>
        <w:t xml:space="preserve"> </w:t>
      </w:r>
      <w:r w:rsidRPr="008B7096">
        <w:rPr>
          <w:rFonts w:ascii="Arial" w:hAnsi="Arial" w:cs="Arial"/>
          <w:sz w:val="20"/>
          <w:szCs w:val="20"/>
        </w:rPr>
        <w:t>mayor mortalidad.</w:t>
      </w:r>
    </w:p>
    <w:p w14:paraId="68C6230B" w14:textId="77777777" w:rsidR="008B7096" w:rsidRPr="008B7096" w:rsidRDefault="008B7096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8B7096">
        <w:rPr>
          <w:rFonts w:ascii="Arial" w:hAnsi="Arial" w:cs="Arial"/>
          <w:sz w:val="20"/>
          <w:szCs w:val="20"/>
          <w:highlight w:val="green"/>
        </w:rPr>
        <w:t>Además del cuadro clínico (es decir, de la presencia de los signos y síntomas mencionados), el antecedente más importante para sospechar el diagnóstico de malaria o paludismo, que vivan y o que hayan estado en  un área donde se ha reportado la transmisión reciente de malaria o paludismo (conocida como área endémica), en los últimos 15 días</w:t>
      </w:r>
      <w:r w:rsidRPr="008B7096">
        <w:rPr>
          <w:rFonts w:ascii="Arial" w:hAnsi="Arial" w:cs="Arial"/>
          <w:sz w:val="20"/>
          <w:szCs w:val="20"/>
          <w:highlight w:val="green"/>
          <w:lang w:val="en-US"/>
        </w:rPr>
        <w:t>.</w:t>
      </w:r>
    </w:p>
    <w:p w14:paraId="2BD4040D" w14:textId="00633606" w:rsidR="008B7096" w:rsidRPr="00C45D29" w:rsidRDefault="008B7096" w:rsidP="00C45D29">
      <w:pPr>
        <w:jc w:val="both"/>
        <w:rPr>
          <w:rFonts w:ascii="Arial" w:hAnsi="Arial" w:cs="Arial"/>
          <w:sz w:val="20"/>
          <w:szCs w:val="20"/>
        </w:rPr>
      </w:pPr>
    </w:p>
    <w:p w14:paraId="791C37E1" w14:textId="496DE0BE" w:rsidR="00C45D29" w:rsidRPr="00C45D29" w:rsidRDefault="00C45D29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5D29">
        <w:rPr>
          <w:rFonts w:ascii="Arial" w:hAnsi="Arial" w:cs="Arial"/>
          <w:b/>
          <w:bCs/>
          <w:sz w:val="20"/>
          <w:szCs w:val="20"/>
        </w:rPr>
        <w:t>Sabias Qué…!</w:t>
      </w:r>
    </w:p>
    <w:p w14:paraId="1753B257" w14:textId="00ED7ADE" w:rsidR="00C45D29" w:rsidRPr="00C45D29" w:rsidRDefault="00C45D29" w:rsidP="00C45D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64F12DC" w14:textId="1124D504" w:rsidR="00C45D29" w:rsidRPr="00C45D29" w:rsidRDefault="00C45D29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45D29">
        <w:rPr>
          <w:rFonts w:ascii="Arial" w:hAnsi="Arial" w:cs="Arial"/>
          <w:sz w:val="20"/>
          <w:szCs w:val="20"/>
        </w:rPr>
        <w:t xml:space="preserve">1. </w:t>
      </w:r>
      <w:r w:rsidRPr="00C45D29">
        <w:rPr>
          <w:rFonts w:ascii="Arial" w:hAnsi="Arial" w:cs="Arial"/>
          <w:sz w:val="20"/>
          <w:szCs w:val="20"/>
        </w:rPr>
        <w:t>Colombia es el segundo país Latinoamericano donde mas personas se enferman de malaria o paludismo.</w:t>
      </w:r>
    </w:p>
    <w:p w14:paraId="72933698" w14:textId="717064A8" w:rsidR="00C45D29" w:rsidRPr="00C45D29" w:rsidRDefault="00C45D29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45D29">
        <w:rPr>
          <w:rFonts w:ascii="Arial" w:hAnsi="Arial" w:cs="Arial"/>
          <w:sz w:val="20"/>
          <w:szCs w:val="20"/>
        </w:rPr>
        <w:t xml:space="preserve">2. </w:t>
      </w:r>
      <w:r w:rsidRPr="00C45D29">
        <w:rPr>
          <w:rFonts w:ascii="Arial" w:hAnsi="Arial" w:cs="Arial"/>
          <w:sz w:val="20"/>
          <w:szCs w:val="20"/>
        </w:rPr>
        <w:t>En África muere un niño cada 30 segundos a causa de malaria o paludismo.</w:t>
      </w:r>
    </w:p>
    <w:p w14:paraId="14A259A9" w14:textId="399F4E87" w:rsidR="00C45D29" w:rsidRPr="00C45D29" w:rsidRDefault="00C45D29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45D29">
        <w:rPr>
          <w:rFonts w:ascii="Arial" w:hAnsi="Arial" w:cs="Arial"/>
          <w:sz w:val="20"/>
          <w:szCs w:val="20"/>
        </w:rPr>
        <w:t>3.</w:t>
      </w:r>
      <w:r w:rsidRPr="00C45D29">
        <w:rPr>
          <w:rFonts w:ascii="Arial" w:hAnsi="Arial" w:cs="Arial"/>
          <w:sz w:val="20"/>
          <w:szCs w:val="20"/>
        </w:rPr>
        <w:t xml:space="preserve">La hembra del zancudo </w:t>
      </w:r>
      <w:proofErr w:type="spellStart"/>
      <w:r w:rsidRPr="00C45D29">
        <w:rPr>
          <w:rFonts w:ascii="Arial" w:hAnsi="Arial" w:cs="Arial"/>
          <w:i/>
          <w:iCs/>
          <w:sz w:val="20"/>
          <w:szCs w:val="20"/>
        </w:rPr>
        <w:t>Anopheles</w:t>
      </w:r>
      <w:proofErr w:type="spellEnd"/>
      <w:r w:rsidRPr="00C45D29">
        <w:rPr>
          <w:rFonts w:ascii="Arial" w:hAnsi="Arial" w:cs="Arial"/>
          <w:sz w:val="20"/>
          <w:szCs w:val="20"/>
        </w:rPr>
        <w:t xml:space="preserve"> </w:t>
      </w:r>
      <w:r w:rsidRPr="00C45D29">
        <w:rPr>
          <w:rFonts w:ascii="Arial" w:hAnsi="Arial" w:cs="Arial"/>
          <w:sz w:val="20"/>
          <w:szCs w:val="20"/>
          <w:lang w:val="es-ES"/>
        </w:rPr>
        <w:t xml:space="preserve">transmite el parasito que produce la malaria o paludismo, </w:t>
      </w:r>
      <w:r w:rsidRPr="00C45D29">
        <w:rPr>
          <w:rFonts w:ascii="Arial" w:hAnsi="Arial" w:cs="Arial"/>
          <w:sz w:val="20"/>
          <w:szCs w:val="20"/>
        </w:rPr>
        <w:t>porque necesita la sangre humana para desarrollar y poner sus huevos; los zancudos machos se alimentan del azúcar en el néctar de las plantas y no necesitan sangre.</w:t>
      </w:r>
    </w:p>
    <w:p w14:paraId="3356665D" w14:textId="0ECCF1CC" w:rsidR="00C45D29" w:rsidRPr="00C45D29" w:rsidRDefault="00C45D29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45D29">
        <w:rPr>
          <w:rFonts w:ascii="Arial" w:hAnsi="Arial" w:cs="Arial"/>
          <w:sz w:val="20"/>
          <w:szCs w:val="20"/>
        </w:rPr>
        <w:t>4.</w:t>
      </w:r>
      <w:r w:rsidRPr="00C45D29">
        <w:rPr>
          <w:rFonts w:ascii="Arial" w:hAnsi="Arial" w:cs="Arial"/>
          <w:sz w:val="20"/>
          <w:szCs w:val="20"/>
        </w:rPr>
        <w:t>Si al realizarse el diagnostico de malaria, este resulta negativo, pero los síntomas persisten, es importante repetirlo a las 24 horas. Si los síntomas persisten acudir a un centro de salud mas cercano para descartar otra posible enfermedad/patología</w:t>
      </w:r>
    </w:p>
    <w:p w14:paraId="318F4029" w14:textId="6764E2C4" w:rsidR="00C45D29" w:rsidRPr="00C45D29" w:rsidRDefault="00C45D29" w:rsidP="00C45D29">
      <w:pPr>
        <w:jc w:val="both"/>
        <w:rPr>
          <w:rFonts w:ascii="Arial" w:hAnsi="Arial" w:cs="Arial"/>
          <w:sz w:val="20"/>
          <w:szCs w:val="20"/>
        </w:rPr>
      </w:pPr>
    </w:p>
    <w:p w14:paraId="245C7A3B" w14:textId="0AC9FB09" w:rsidR="00C45D29" w:rsidRPr="00C45D29" w:rsidRDefault="00C45D29" w:rsidP="00C45D29">
      <w:pPr>
        <w:jc w:val="both"/>
        <w:rPr>
          <w:rFonts w:ascii="Arial" w:hAnsi="Arial" w:cs="Arial"/>
          <w:sz w:val="20"/>
          <w:szCs w:val="20"/>
        </w:rPr>
      </w:pPr>
    </w:p>
    <w:p w14:paraId="4F423717" w14:textId="77777777" w:rsidR="00C45D29" w:rsidRPr="00C45D29" w:rsidRDefault="00C45D29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45D29">
        <w:rPr>
          <w:rFonts w:ascii="Arial" w:hAnsi="Arial" w:cs="Arial"/>
          <w:sz w:val="20"/>
          <w:szCs w:val="20"/>
          <w:highlight w:val="green"/>
        </w:rPr>
        <w:t xml:space="preserve">Unidad 2: </w:t>
      </w:r>
      <w:r w:rsidRPr="00C45D29">
        <w:rPr>
          <w:rFonts w:ascii="Arial" w:hAnsi="Arial" w:cs="Arial"/>
          <w:sz w:val="20"/>
          <w:szCs w:val="20"/>
          <w:highlight w:val="green"/>
          <w:lang w:val="es-CO"/>
        </w:rPr>
        <w:t xml:space="preserve">Generalidades del </w:t>
      </w:r>
      <w:r w:rsidRPr="00C45D29">
        <w:rPr>
          <w:rFonts w:ascii="Arial" w:hAnsi="Arial" w:cs="Arial"/>
          <w:sz w:val="20"/>
          <w:szCs w:val="20"/>
          <w:highlight w:val="green"/>
        </w:rPr>
        <w:t>diagnóstico de la malaria o paludismo</w:t>
      </w:r>
    </w:p>
    <w:p w14:paraId="01B03455" w14:textId="699D0368" w:rsidR="00C45D29" w:rsidRPr="00C45D29" w:rsidRDefault="00C45D29" w:rsidP="00C45D29">
      <w:pPr>
        <w:jc w:val="both"/>
        <w:rPr>
          <w:rFonts w:ascii="Arial" w:hAnsi="Arial" w:cs="Arial"/>
          <w:sz w:val="20"/>
          <w:szCs w:val="20"/>
        </w:rPr>
      </w:pPr>
    </w:p>
    <w:p w14:paraId="4798A14B" w14:textId="4570A565" w:rsidR="00C45D29" w:rsidRPr="00C45D29" w:rsidRDefault="00C45D29" w:rsidP="00C45D29">
      <w:pPr>
        <w:jc w:val="both"/>
        <w:rPr>
          <w:rFonts w:ascii="Arial" w:hAnsi="Arial" w:cs="Arial"/>
          <w:sz w:val="20"/>
          <w:szCs w:val="20"/>
        </w:rPr>
      </w:pPr>
    </w:p>
    <w:p w14:paraId="5A54D27A" w14:textId="77777777" w:rsidR="00C45D29" w:rsidRPr="00C45D29" w:rsidRDefault="00C45D29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45D29">
        <w:rPr>
          <w:rFonts w:ascii="Arial" w:hAnsi="Arial" w:cs="Arial"/>
          <w:sz w:val="20"/>
          <w:szCs w:val="20"/>
          <w:lang w:val="es-CO"/>
        </w:rPr>
        <w:t>Para estar seguros de que la persona enferma, en quien se sospecha la malaria o paludismo, tiene la enfermedad, es necesario extraerle una gota de sangre, pinchando o chuzando un dedo, luego poner esta sangre en una lámina de vidrio, teñirla de manera especial y verla a través del microscopio.</w:t>
      </w:r>
    </w:p>
    <w:p w14:paraId="4FCBDEA6" w14:textId="77777777" w:rsidR="00C45D29" w:rsidRPr="00C45D29" w:rsidRDefault="00C45D29" w:rsidP="00C45D29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290CA42C" w14:textId="0C58ED55" w:rsidR="00C45D29" w:rsidRPr="00C45D29" w:rsidRDefault="00C45D29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45D29">
        <w:rPr>
          <w:rFonts w:ascii="Arial" w:hAnsi="Arial" w:cs="Arial"/>
          <w:sz w:val="20"/>
          <w:szCs w:val="20"/>
          <w:lang w:val="es-CO"/>
        </w:rPr>
        <w:t xml:space="preserve"> Este examen es conocido como Gota Gruesa</w:t>
      </w:r>
      <w:r w:rsidRPr="00C45D29">
        <w:rPr>
          <w:rFonts w:ascii="Arial" w:hAnsi="Arial" w:cs="Arial"/>
          <w:sz w:val="20"/>
          <w:szCs w:val="20"/>
          <w:lang w:val="es-CO"/>
        </w:rPr>
        <w:t>;</w:t>
      </w:r>
      <w:r w:rsidRPr="00C45D29">
        <w:rPr>
          <w:rFonts w:ascii="Arial" w:hAnsi="Arial" w:cs="Arial"/>
          <w:sz w:val="20"/>
          <w:szCs w:val="20"/>
          <w:lang w:val="es-CO"/>
        </w:rPr>
        <w:t xml:space="preserve"> </w:t>
      </w:r>
      <w:r w:rsidRPr="00C45D29">
        <w:rPr>
          <w:rFonts w:ascii="Arial" w:hAnsi="Arial" w:cs="Arial"/>
          <w:sz w:val="20"/>
          <w:szCs w:val="20"/>
          <w:lang w:val="es-ES"/>
        </w:rPr>
        <w:t>l</w:t>
      </w:r>
      <w:r w:rsidRPr="00C45D29">
        <w:rPr>
          <w:rFonts w:ascii="Arial" w:hAnsi="Arial" w:cs="Arial"/>
          <w:sz w:val="20"/>
          <w:szCs w:val="20"/>
          <w:lang w:val="es-ES"/>
        </w:rPr>
        <w:t xml:space="preserve">a </w:t>
      </w:r>
      <w:r w:rsidRPr="00C45D29">
        <w:rPr>
          <w:rFonts w:ascii="Arial" w:hAnsi="Arial" w:cs="Arial"/>
          <w:sz w:val="20"/>
          <w:szCs w:val="20"/>
          <w:lang w:val="es-ES"/>
        </w:rPr>
        <w:t>g</w:t>
      </w:r>
      <w:r w:rsidRPr="00C45D29">
        <w:rPr>
          <w:rFonts w:ascii="Arial" w:hAnsi="Arial" w:cs="Arial"/>
          <w:sz w:val="20"/>
          <w:szCs w:val="20"/>
          <w:lang w:val="es-ES"/>
        </w:rPr>
        <w:t>ota Gruesa</w:t>
      </w:r>
      <w:r w:rsidRPr="00C45D29">
        <w:rPr>
          <w:rFonts w:ascii="Arial" w:hAnsi="Arial" w:cs="Arial"/>
          <w:sz w:val="20"/>
          <w:szCs w:val="20"/>
        </w:rPr>
        <w:t xml:space="preserve"> permite identificar la presencia del parásito, determinando su especie, debido a su forma y características, así como su número (o cantidad) y </w:t>
      </w:r>
      <w:proofErr w:type="spellStart"/>
      <w:r w:rsidRPr="00C45D29">
        <w:rPr>
          <w:rFonts w:ascii="Arial" w:hAnsi="Arial" w:cs="Arial"/>
          <w:sz w:val="20"/>
          <w:szCs w:val="20"/>
        </w:rPr>
        <w:t>estadío</w:t>
      </w:r>
      <w:proofErr w:type="spellEnd"/>
      <w:r w:rsidRPr="00C45D29">
        <w:rPr>
          <w:rFonts w:ascii="Arial" w:hAnsi="Arial" w:cs="Arial"/>
          <w:sz w:val="20"/>
          <w:szCs w:val="20"/>
        </w:rPr>
        <w:t xml:space="preserve"> (o fases de desarrollo). </w:t>
      </w:r>
    </w:p>
    <w:p w14:paraId="18989D82" w14:textId="77777777" w:rsidR="00C45D29" w:rsidRPr="00C45D29" w:rsidRDefault="00C45D29" w:rsidP="00C45D29">
      <w:pPr>
        <w:jc w:val="both"/>
        <w:rPr>
          <w:rFonts w:ascii="Arial" w:hAnsi="Arial" w:cs="Arial"/>
          <w:sz w:val="20"/>
          <w:szCs w:val="20"/>
        </w:rPr>
      </w:pPr>
    </w:p>
    <w:p w14:paraId="3C4BCC22" w14:textId="15C78AD4" w:rsidR="00C45D29" w:rsidRDefault="00C45D29" w:rsidP="00C45D29">
      <w:pPr>
        <w:jc w:val="both"/>
        <w:rPr>
          <w:rFonts w:ascii="Arial" w:hAnsi="Arial" w:cs="Arial"/>
          <w:sz w:val="20"/>
          <w:szCs w:val="20"/>
        </w:rPr>
      </w:pPr>
      <w:r w:rsidRPr="00C45D29">
        <w:rPr>
          <w:rFonts w:ascii="Arial" w:hAnsi="Arial" w:cs="Arial"/>
          <w:sz w:val="20"/>
          <w:szCs w:val="20"/>
        </w:rPr>
        <w:t xml:space="preserve">Las Pruebas de Diagnóstico Rápido (o PDR) también son muy útiles, esta prueba  permite identificar la presencia del parásito y su especie, pero no su número y </w:t>
      </w:r>
      <w:r w:rsidRPr="00C45D29">
        <w:rPr>
          <w:rFonts w:ascii="Arial" w:hAnsi="Arial" w:cs="Arial"/>
          <w:sz w:val="20"/>
          <w:szCs w:val="20"/>
        </w:rPr>
        <w:t>estadio</w:t>
      </w:r>
      <w:r w:rsidRPr="00C45D29">
        <w:rPr>
          <w:rFonts w:ascii="Arial" w:hAnsi="Arial" w:cs="Arial"/>
          <w:sz w:val="20"/>
          <w:szCs w:val="20"/>
        </w:rPr>
        <w:t>.</w:t>
      </w:r>
    </w:p>
    <w:p w14:paraId="23259DF1" w14:textId="7528DF7E" w:rsidR="0069485B" w:rsidRDefault="0069485B" w:rsidP="00C45D29">
      <w:pPr>
        <w:jc w:val="both"/>
        <w:rPr>
          <w:rFonts w:ascii="Arial" w:hAnsi="Arial" w:cs="Arial"/>
          <w:sz w:val="20"/>
          <w:szCs w:val="20"/>
        </w:rPr>
      </w:pPr>
    </w:p>
    <w:p w14:paraId="3C12E6C6" w14:textId="77777777" w:rsidR="0069485B" w:rsidRPr="00C45D29" w:rsidRDefault="0069485B" w:rsidP="00C45D29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42E2FCBC" w14:textId="7A28545C" w:rsidR="00C45D29" w:rsidRPr="00C45D29" w:rsidRDefault="00C45D29" w:rsidP="00C45D2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C45D29">
        <w:rPr>
          <w:rFonts w:ascii="Arial" w:hAnsi="Arial" w:cs="Arial"/>
          <w:sz w:val="20"/>
          <w:szCs w:val="20"/>
          <w:highlight w:val="green"/>
        </w:rPr>
        <w:t xml:space="preserve">Si al realizar cualquiera de los exámenes de diagnóstico de malaria su resultado es negativo, y </w:t>
      </w:r>
      <w:r w:rsidRPr="00C45D29">
        <w:rPr>
          <w:rFonts w:ascii="Arial" w:hAnsi="Arial" w:cs="Arial"/>
          <w:sz w:val="20"/>
          <w:szCs w:val="20"/>
          <w:highlight w:val="green"/>
        </w:rPr>
        <w:t xml:space="preserve">si </w:t>
      </w:r>
      <w:r w:rsidRPr="00C45D29">
        <w:rPr>
          <w:rFonts w:ascii="Arial" w:hAnsi="Arial" w:cs="Arial"/>
          <w:sz w:val="20"/>
          <w:szCs w:val="20"/>
          <w:highlight w:val="green"/>
        </w:rPr>
        <w:t>se realiza nuevamente a las 24 horas y vuelve a dar negativo es aconsejable que se acerque a su centro de salud mas cercano para el diagnóstico y manejo de acuerdo a su sintomatología.</w:t>
      </w:r>
      <w:r w:rsidRPr="00C45D29">
        <w:rPr>
          <w:rFonts w:ascii="Arial" w:hAnsi="Arial" w:cs="Arial"/>
          <w:sz w:val="20"/>
          <w:szCs w:val="20"/>
        </w:rPr>
        <w:t> </w:t>
      </w:r>
    </w:p>
    <w:p w14:paraId="0D85E3CB" w14:textId="77777777" w:rsidR="00C45D29" w:rsidRDefault="00C45D29"/>
    <w:sectPr w:rsidR="00C45D29" w:rsidSect="0042454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F5B95" w14:textId="77777777" w:rsidR="00246765" w:rsidRDefault="00246765" w:rsidP="008B7096">
      <w:r>
        <w:separator/>
      </w:r>
    </w:p>
  </w:endnote>
  <w:endnote w:type="continuationSeparator" w:id="0">
    <w:p w14:paraId="7F25DFBA" w14:textId="77777777" w:rsidR="00246765" w:rsidRDefault="00246765" w:rsidP="008B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318C" w14:textId="18600418" w:rsidR="008B7096" w:rsidRDefault="008B7096">
    <w:pPr>
      <w:pStyle w:val="Piedepgina"/>
    </w:pPr>
  </w:p>
  <w:p w14:paraId="3689D6E6" w14:textId="77777777" w:rsidR="008B7096" w:rsidRDefault="008B70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D586B" w14:textId="77777777" w:rsidR="00246765" w:rsidRDefault="00246765" w:rsidP="008B7096">
      <w:r>
        <w:separator/>
      </w:r>
    </w:p>
  </w:footnote>
  <w:footnote w:type="continuationSeparator" w:id="0">
    <w:p w14:paraId="695211CE" w14:textId="77777777" w:rsidR="00246765" w:rsidRDefault="00246765" w:rsidP="008B7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C3784"/>
    <w:multiLevelType w:val="hybridMultilevel"/>
    <w:tmpl w:val="1EA64716"/>
    <w:lvl w:ilvl="0" w:tplc="7E447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0F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00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65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4F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E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0B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2A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8D3ABC"/>
    <w:multiLevelType w:val="hybridMultilevel"/>
    <w:tmpl w:val="121895F0"/>
    <w:lvl w:ilvl="0" w:tplc="903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67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CC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84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26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E6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EE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E6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8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6A3B1A"/>
    <w:multiLevelType w:val="hybridMultilevel"/>
    <w:tmpl w:val="2B1C1E96"/>
    <w:lvl w:ilvl="0" w:tplc="EA489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CE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E09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AC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23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46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962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A7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E3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D2"/>
    <w:rsid w:val="00246765"/>
    <w:rsid w:val="00424542"/>
    <w:rsid w:val="0069485B"/>
    <w:rsid w:val="007869D2"/>
    <w:rsid w:val="008B7096"/>
    <w:rsid w:val="008D5C75"/>
    <w:rsid w:val="00C45D29"/>
    <w:rsid w:val="00C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853B9"/>
  <w15:chartTrackingRefBased/>
  <w15:docId w15:val="{5B8879C7-6431-7C47-948C-0A19D451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96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9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8B70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09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B70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09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7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1210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ORTIZ GARZON</dc:creator>
  <cp:keywords/>
  <dc:description/>
  <cp:lastModifiedBy>JUAN DAVID ORTIZ GARZON</cp:lastModifiedBy>
  <cp:revision>2</cp:revision>
  <dcterms:created xsi:type="dcterms:W3CDTF">2021-02-03T18:05:00Z</dcterms:created>
  <dcterms:modified xsi:type="dcterms:W3CDTF">2021-02-03T18:48:00Z</dcterms:modified>
</cp:coreProperties>
</file>