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670A6" w14:textId="77777777" w:rsidR="00A07E4F" w:rsidRPr="00A07E4F" w:rsidRDefault="00A07E4F" w:rsidP="00A07E4F">
      <w:pPr>
        <w:rPr>
          <w:rFonts w:ascii="Arial" w:hAnsi="Arial" w:cs="Arial"/>
          <w:b/>
          <w:sz w:val="22"/>
          <w:szCs w:val="22"/>
        </w:rPr>
      </w:pPr>
      <w:r w:rsidRPr="00A07E4F">
        <w:rPr>
          <w:rFonts w:ascii="Arial" w:hAnsi="Arial" w:cs="Arial"/>
          <w:b/>
          <w:sz w:val="22"/>
          <w:szCs w:val="22"/>
        </w:rPr>
        <w:t>CURSO CONCEPTOS BÁSICOS DE LA ESTRATEGIA DE ELIMINACIÓN DE LA MALARIA</w:t>
      </w:r>
    </w:p>
    <w:p w14:paraId="147D76CF" w14:textId="319259C2" w:rsidR="00AB11D6" w:rsidRPr="00A07E4F" w:rsidRDefault="00A07E4F" w:rsidP="00AB11D6">
      <w:pPr>
        <w:spacing w:before="100" w:beforeAutospacing="1" w:after="100" w:afterAutospacing="1"/>
        <w:rPr>
          <w:rFonts w:ascii="Arial" w:eastAsia="Times New Roman" w:hAnsi="Arial" w:cs="Arial"/>
          <w:b/>
          <w:bCs/>
          <w:sz w:val="22"/>
          <w:szCs w:val="22"/>
          <w:shd w:val="clear" w:color="auto" w:fill="FFFFFF"/>
          <w:lang w:val="es-CO" w:eastAsia="es-ES_tradnl"/>
        </w:rPr>
      </w:pPr>
      <w:r w:rsidRPr="00A07E4F">
        <w:rPr>
          <w:rFonts w:ascii="Arial" w:eastAsia="Times New Roman" w:hAnsi="Arial" w:cs="Arial"/>
          <w:b/>
          <w:bCs/>
          <w:sz w:val="22"/>
          <w:szCs w:val="22"/>
          <w:shd w:val="clear" w:color="auto" w:fill="FFFFFF"/>
          <w:lang w:val="es-CO" w:eastAsia="es-ES_tradnl"/>
        </w:rPr>
        <w:t xml:space="preserve">Abreviaturas y Definiciones </w:t>
      </w:r>
    </w:p>
    <w:p w14:paraId="2C43AB48" w14:textId="10247BA0" w:rsidR="00AB11D6" w:rsidRPr="00AB11D6" w:rsidRDefault="00AB11D6" w:rsidP="00AB11D6">
      <w:pPr>
        <w:spacing w:before="100" w:beforeAutospacing="1" w:after="100" w:afterAutospacing="1"/>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Abreviaturas </w:t>
      </w:r>
    </w:p>
    <w:p w14:paraId="1F4DD793" w14:textId="77777777" w:rsidR="00DC71CE" w:rsidRPr="00A07E4F" w:rsidRDefault="00AB11D6" w:rsidP="00DC71CE">
      <w:pPr>
        <w:spacing w:before="100" w:beforeAutospacing="1" w:after="100" w:afterAutospacing="1" w:line="240" w:lineRule="atLeast"/>
        <w:contextualSpacing/>
        <w:rPr>
          <w:rFonts w:ascii="Arial" w:eastAsia="Times New Roman" w:hAnsi="Arial" w:cs="Arial"/>
          <w:sz w:val="22"/>
          <w:szCs w:val="22"/>
          <w:lang w:val="es-CO" w:eastAsia="es-ES_tradnl"/>
        </w:rPr>
      </w:pPr>
      <w:r w:rsidRPr="00AB11D6">
        <w:rPr>
          <w:rFonts w:ascii="Arial" w:eastAsia="Times New Roman" w:hAnsi="Arial" w:cs="Arial"/>
          <w:sz w:val="22"/>
          <w:szCs w:val="22"/>
          <w:lang w:val="es-CO" w:eastAsia="es-ES_tradnl"/>
        </w:rPr>
        <w:t>BAC: Búsqueda Activa Comunitaria</w:t>
      </w:r>
      <w:r w:rsidRPr="00AB11D6">
        <w:rPr>
          <w:rFonts w:ascii="Arial" w:eastAsia="Times New Roman" w:hAnsi="Arial" w:cs="Arial"/>
          <w:sz w:val="22"/>
          <w:szCs w:val="22"/>
          <w:lang w:val="es-CO" w:eastAsia="es-ES_tradnl"/>
        </w:rPr>
        <w:br/>
        <w:t>BAI: Búsqueda Activa Institucional</w:t>
      </w:r>
      <w:r w:rsidRPr="00AB11D6">
        <w:rPr>
          <w:rFonts w:ascii="Arial" w:eastAsia="Times New Roman" w:hAnsi="Arial" w:cs="Arial"/>
          <w:sz w:val="22"/>
          <w:szCs w:val="22"/>
          <w:lang w:val="es-CO" w:eastAsia="es-ES_tradnl"/>
        </w:rPr>
        <w:br/>
        <w:t>BES: Boletín Epidemiológico Semanal</w:t>
      </w:r>
    </w:p>
    <w:p w14:paraId="66B85864" w14:textId="771C3A9A" w:rsidR="00DC71CE" w:rsidRPr="00A07E4F" w:rsidRDefault="00DC71CE" w:rsidP="00A07E4F">
      <w:pPr>
        <w:contextualSpacing/>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BID: Banco Interamericano de Desarrollo</w:t>
      </w:r>
      <w:r w:rsidR="00AB11D6" w:rsidRPr="00AB11D6">
        <w:rPr>
          <w:rFonts w:ascii="Arial" w:eastAsia="Times New Roman" w:hAnsi="Arial" w:cs="Arial"/>
          <w:sz w:val="22"/>
          <w:szCs w:val="22"/>
          <w:lang w:val="es-CO" w:eastAsia="es-ES_tradnl"/>
        </w:rPr>
        <w:br/>
        <w:t>COVE: comités de vigilancia en salud pública</w:t>
      </w:r>
      <w:r w:rsidR="00AB11D6" w:rsidRPr="00AB11D6">
        <w:rPr>
          <w:rFonts w:ascii="Arial" w:eastAsia="Times New Roman" w:hAnsi="Arial" w:cs="Arial"/>
          <w:sz w:val="22"/>
          <w:szCs w:val="22"/>
          <w:lang w:val="es-CO" w:eastAsia="es-ES_tradnl"/>
        </w:rPr>
        <w:br/>
        <w:t>COVECOM: Comité de Vigilancia Epidemiológica Comunitaria</w:t>
      </w:r>
      <w:r w:rsidR="00AB11D6" w:rsidRPr="00AB11D6">
        <w:rPr>
          <w:rFonts w:ascii="Arial" w:eastAsia="Times New Roman" w:hAnsi="Arial" w:cs="Arial"/>
          <w:sz w:val="22"/>
          <w:szCs w:val="22"/>
          <w:lang w:val="es-CO" w:eastAsia="es-ES_tradnl"/>
        </w:rPr>
        <w:br/>
        <w:t>CRUE: Centro Regulador de Urgencias y Emergencias</w:t>
      </w:r>
    </w:p>
    <w:p w14:paraId="37146BD1" w14:textId="48F6E7D1" w:rsidR="00DC71CE" w:rsidRPr="00A07E4F" w:rsidRDefault="00DC71CE" w:rsidP="00DC71CE">
      <w:pPr>
        <w:spacing w:before="100" w:beforeAutospacing="1" w:after="100" w:afterAutospacing="1" w:line="240" w:lineRule="atLeast"/>
        <w:contextualSpacing/>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DDTI-R: Deteccion, Diagnóstico, Tratamiento, Investigación y Respuesta</w:t>
      </w:r>
      <w:r w:rsidR="00AB11D6" w:rsidRPr="00AB11D6">
        <w:rPr>
          <w:rFonts w:ascii="Arial" w:eastAsia="Times New Roman" w:hAnsi="Arial" w:cs="Arial"/>
          <w:sz w:val="22"/>
          <w:szCs w:val="22"/>
          <w:lang w:val="es-CO" w:eastAsia="es-ES_tradnl"/>
        </w:rPr>
        <w:br/>
        <w:t>DVARSP: Dirección de Vigilancia y Análisis del Riesgo en Salud Pública</w:t>
      </w:r>
      <w:r w:rsidR="00AB11D6" w:rsidRPr="00AB11D6">
        <w:rPr>
          <w:rFonts w:ascii="Arial" w:eastAsia="Times New Roman" w:hAnsi="Arial" w:cs="Arial"/>
          <w:sz w:val="22"/>
          <w:szCs w:val="22"/>
          <w:lang w:val="es-CO" w:eastAsia="es-ES_tradnl"/>
        </w:rPr>
        <w:br/>
        <w:t>EAPB: Empresa Administradora de Planes de Beneficios.</w:t>
      </w:r>
      <w:r w:rsidR="00AB11D6" w:rsidRPr="00AB11D6">
        <w:rPr>
          <w:rFonts w:ascii="Arial" w:eastAsia="Times New Roman" w:hAnsi="Arial" w:cs="Arial"/>
          <w:sz w:val="22"/>
          <w:szCs w:val="22"/>
          <w:lang w:val="es-CO" w:eastAsia="es-ES_tradnl"/>
        </w:rPr>
        <w:br/>
        <w:t>EISP: Eventos de Interés en Salud Pública.</w:t>
      </w:r>
      <w:r w:rsidR="00AB11D6" w:rsidRPr="00AB11D6">
        <w:rPr>
          <w:rFonts w:ascii="Arial" w:eastAsia="Times New Roman" w:hAnsi="Arial" w:cs="Arial"/>
          <w:sz w:val="22"/>
          <w:szCs w:val="22"/>
          <w:lang w:val="es-CO" w:eastAsia="es-ES_tradnl"/>
        </w:rPr>
        <w:br/>
        <w:t>EPP: Elementos de Protección Personal</w:t>
      </w:r>
      <w:r w:rsidR="00AB11D6" w:rsidRPr="00AB11D6">
        <w:rPr>
          <w:rFonts w:ascii="Arial" w:eastAsia="Times New Roman" w:hAnsi="Arial" w:cs="Arial"/>
          <w:sz w:val="22"/>
          <w:szCs w:val="22"/>
          <w:lang w:val="es-CO" w:eastAsia="es-ES_tradnl"/>
        </w:rPr>
        <w:br/>
        <w:t>ERI: Equipo de Respuesta Inmediata</w:t>
      </w:r>
      <w:r w:rsidR="00AB11D6" w:rsidRPr="00AB11D6">
        <w:rPr>
          <w:rFonts w:ascii="Arial" w:eastAsia="Times New Roman" w:hAnsi="Arial" w:cs="Arial"/>
          <w:sz w:val="22"/>
          <w:szCs w:val="22"/>
          <w:lang w:val="es-CO" w:eastAsia="es-ES_tradnl"/>
        </w:rPr>
        <w:br/>
        <w:t>ET: Entidades territoriales</w:t>
      </w:r>
      <w:r w:rsidR="00AB11D6" w:rsidRPr="00AB11D6">
        <w:rPr>
          <w:rFonts w:ascii="Arial" w:eastAsia="Times New Roman" w:hAnsi="Arial" w:cs="Arial"/>
          <w:sz w:val="22"/>
          <w:szCs w:val="22"/>
          <w:lang w:val="es-CO" w:eastAsia="es-ES_tradnl"/>
        </w:rPr>
        <w:br/>
        <w:t>ETV: Enfermedad Transmitida por Vectores</w:t>
      </w:r>
      <w:r w:rsidR="00AB11D6" w:rsidRPr="00AB11D6">
        <w:rPr>
          <w:rFonts w:ascii="Arial" w:eastAsia="Times New Roman" w:hAnsi="Arial" w:cs="Arial"/>
          <w:sz w:val="22"/>
          <w:szCs w:val="22"/>
          <w:lang w:val="es-CO" w:eastAsia="es-ES_tradnl"/>
        </w:rPr>
        <w:br/>
        <w:t>FESP: Funciones esenciales de salud pública</w:t>
      </w:r>
      <w:r w:rsidR="00AB11D6" w:rsidRPr="00AB11D6">
        <w:rPr>
          <w:rFonts w:ascii="Arial" w:eastAsia="Times New Roman" w:hAnsi="Arial" w:cs="Arial"/>
          <w:sz w:val="22"/>
          <w:szCs w:val="22"/>
          <w:lang w:val="es-CO" w:eastAsia="es-ES_tradnl"/>
        </w:rPr>
        <w:br/>
        <w:t>GPC: Guía de Práctica Clínica</w:t>
      </w:r>
      <w:r w:rsidR="00AB11D6" w:rsidRPr="00AB11D6">
        <w:rPr>
          <w:rFonts w:ascii="Arial" w:eastAsia="Times New Roman" w:hAnsi="Arial" w:cs="Arial"/>
          <w:sz w:val="22"/>
          <w:szCs w:val="22"/>
          <w:lang w:val="es-CO" w:eastAsia="es-ES_tradnl"/>
        </w:rPr>
        <w:br/>
        <w:t>IAAS: Infecciones asociadas a la atención en salud</w:t>
      </w:r>
      <w:r w:rsidR="00AB11D6" w:rsidRPr="00AB11D6">
        <w:rPr>
          <w:rFonts w:ascii="Arial" w:eastAsia="Times New Roman" w:hAnsi="Arial" w:cs="Arial"/>
          <w:sz w:val="22"/>
          <w:szCs w:val="22"/>
          <w:lang w:val="es-CO" w:eastAsia="es-ES_tradnl"/>
        </w:rPr>
        <w:br/>
        <w:t>IEC: Investigación epidemiológica de campo</w:t>
      </w:r>
      <w:r w:rsidR="00AB11D6" w:rsidRPr="00AB11D6">
        <w:rPr>
          <w:rFonts w:ascii="Arial" w:eastAsia="Times New Roman" w:hAnsi="Arial" w:cs="Arial"/>
          <w:sz w:val="22"/>
          <w:szCs w:val="22"/>
          <w:lang w:val="es-CO" w:eastAsia="es-ES_tradnl"/>
        </w:rPr>
        <w:br/>
        <w:t>IINS: Instituto Nacional de Salud</w:t>
      </w:r>
      <w:r w:rsidR="00AB11D6" w:rsidRPr="00AB11D6">
        <w:rPr>
          <w:rFonts w:ascii="Arial" w:eastAsia="Times New Roman" w:hAnsi="Arial" w:cs="Arial"/>
          <w:sz w:val="22"/>
          <w:szCs w:val="22"/>
          <w:lang w:val="es-CO" w:eastAsia="es-ES_tradnl"/>
        </w:rPr>
        <w:br/>
        <w:t>INVIMA: Instituto Nacional de Vigilancia de Medicamentos y Alimentos</w:t>
      </w:r>
      <w:r w:rsidR="00AB11D6" w:rsidRPr="00AB11D6">
        <w:rPr>
          <w:rFonts w:ascii="Arial" w:eastAsia="Times New Roman" w:hAnsi="Arial" w:cs="Arial"/>
          <w:sz w:val="22"/>
          <w:szCs w:val="22"/>
          <w:lang w:val="es-CO" w:eastAsia="es-ES_tradnl"/>
        </w:rPr>
        <w:br/>
        <w:t>IPS: Institución prestadora de servicios de salud</w:t>
      </w:r>
      <w:r w:rsidR="00AB11D6" w:rsidRPr="00AB11D6">
        <w:rPr>
          <w:rFonts w:ascii="Arial" w:eastAsia="Times New Roman" w:hAnsi="Arial" w:cs="Arial"/>
          <w:sz w:val="22"/>
          <w:szCs w:val="22"/>
          <w:lang w:val="es-CO" w:eastAsia="es-ES_tradnl"/>
        </w:rPr>
        <w:br/>
        <w:t>IQEN: Informe Quincenal Epidemiológico Nacional</w:t>
      </w:r>
      <w:r w:rsidR="00AB11D6" w:rsidRPr="00AB11D6">
        <w:rPr>
          <w:rFonts w:ascii="Arial" w:eastAsia="Times New Roman" w:hAnsi="Arial" w:cs="Arial"/>
          <w:sz w:val="22"/>
          <w:szCs w:val="22"/>
          <w:lang w:val="es-CO" w:eastAsia="es-ES_tradnl"/>
        </w:rPr>
        <w:br/>
        <w:t>IREM: Iniciativa Regional para la Eliminación de la Malaria</w:t>
      </w:r>
      <w:r w:rsidR="00AB11D6" w:rsidRPr="00AB11D6">
        <w:rPr>
          <w:rFonts w:ascii="Arial" w:eastAsia="Times New Roman" w:hAnsi="Arial" w:cs="Arial"/>
          <w:sz w:val="22"/>
          <w:szCs w:val="22"/>
          <w:lang w:val="es-CO" w:eastAsia="es-ES_tradnl"/>
        </w:rPr>
        <w:br/>
        <w:t>MIAS: Modelo Integral de Atención en Salud</w:t>
      </w:r>
      <w:r w:rsidR="00AB11D6" w:rsidRPr="00AB11D6">
        <w:rPr>
          <w:rFonts w:ascii="Arial" w:eastAsia="Times New Roman" w:hAnsi="Arial" w:cs="Arial"/>
          <w:sz w:val="22"/>
          <w:szCs w:val="22"/>
          <w:lang w:val="es-CO" w:eastAsia="es-ES_tradnl"/>
        </w:rPr>
        <w:br/>
      </w:r>
      <w:r w:rsidR="00AB11D6" w:rsidRPr="00AB11D6">
        <w:rPr>
          <w:rFonts w:ascii="Arial" w:eastAsia="Times New Roman" w:hAnsi="Arial" w:cs="Arial"/>
          <w:sz w:val="22"/>
          <w:szCs w:val="22"/>
          <w:shd w:val="clear" w:color="auto" w:fill="FFFFFF"/>
          <w:lang w:val="es-CO" w:eastAsia="es-ES_tradnl"/>
        </w:rPr>
        <w:t>MAITE: Modelo de Acción Integral Territorial</w:t>
      </w:r>
      <w:r w:rsidR="00AB11D6" w:rsidRPr="00AB11D6">
        <w:rPr>
          <w:rFonts w:ascii="Arial" w:eastAsia="Times New Roman" w:hAnsi="Arial" w:cs="Arial"/>
          <w:sz w:val="22"/>
          <w:szCs w:val="22"/>
          <w:shd w:val="clear" w:color="auto" w:fill="FFFFFF"/>
          <w:lang w:val="es-CO" w:eastAsia="es-ES_tradnl"/>
        </w:rPr>
        <w:br/>
      </w:r>
      <w:r w:rsidR="00AB11D6" w:rsidRPr="00AB11D6">
        <w:rPr>
          <w:rFonts w:ascii="Arial" w:eastAsia="Times New Roman" w:hAnsi="Arial" w:cs="Arial"/>
          <w:sz w:val="22"/>
          <w:szCs w:val="22"/>
          <w:lang w:val="es-CO" w:eastAsia="es-ES_tradnl"/>
        </w:rPr>
        <w:t>MSPS: Ministerio de Salud y Protección Social</w:t>
      </w:r>
      <w:r w:rsidR="00AB11D6" w:rsidRPr="00AB11D6">
        <w:rPr>
          <w:rFonts w:ascii="Arial" w:eastAsia="Times New Roman" w:hAnsi="Arial" w:cs="Arial"/>
          <w:sz w:val="22"/>
          <w:szCs w:val="22"/>
          <w:lang w:val="es-CO" w:eastAsia="es-ES_tradnl"/>
        </w:rPr>
        <w:br/>
        <w:t>ODS: Objetivos de Desarrollo Sostenible</w:t>
      </w:r>
      <w:r w:rsidR="00AB11D6" w:rsidRPr="00AB11D6">
        <w:rPr>
          <w:rFonts w:ascii="Arial" w:eastAsia="Times New Roman" w:hAnsi="Arial" w:cs="Arial"/>
          <w:sz w:val="22"/>
          <w:szCs w:val="22"/>
          <w:lang w:val="es-CO" w:eastAsia="es-ES_tradnl"/>
        </w:rPr>
        <w:br/>
        <w:t>OMS: Organización Mundial de la Salud</w:t>
      </w:r>
      <w:r w:rsidR="00AB11D6" w:rsidRPr="00AB11D6">
        <w:rPr>
          <w:rFonts w:ascii="Arial" w:eastAsia="Times New Roman" w:hAnsi="Arial" w:cs="Arial"/>
          <w:sz w:val="22"/>
          <w:szCs w:val="22"/>
          <w:lang w:val="es-CO" w:eastAsia="es-ES_tradnl"/>
        </w:rPr>
        <w:br/>
        <w:t>ONS: Observatorio Nacional de Salud</w:t>
      </w:r>
      <w:r w:rsidR="00AB11D6" w:rsidRPr="00AB11D6">
        <w:rPr>
          <w:rFonts w:ascii="Arial" w:eastAsia="Times New Roman" w:hAnsi="Arial" w:cs="Arial"/>
          <w:sz w:val="22"/>
          <w:szCs w:val="22"/>
          <w:lang w:val="es-CO" w:eastAsia="es-ES_tradnl"/>
        </w:rPr>
        <w:br/>
        <w:t>ONG: Organizaciones No Gubernamentales</w:t>
      </w:r>
      <w:r w:rsidR="00AB11D6" w:rsidRPr="00AB11D6">
        <w:rPr>
          <w:rFonts w:ascii="Arial" w:eastAsia="Times New Roman" w:hAnsi="Arial" w:cs="Arial"/>
          <w:sz w:val="22"/>
          <w:szCs w:val="22"/>
          <w:lang w:val="es-CO" w:eastAsia="es-ES_tradnl"/>
        </w:rPr>
        <w:br/>
        <w:t>OPS: Organización Panamericana de la Salud</w:t>
      </w:r>
      <w:r w:rsidR="00AB11D6" w:rsidRPr="00AB11D6">
        <w:rPr>
          <w:rFonts w:ascii="Arial" w:eastAsia="Times New Roman" w:hAnsi="Arial" w:cs="Arial"/>
          <w:sz w:val="22"/>
          <w:szCs w:val="22"/>
          <w:lang w:val="es-CO" w:eastAsia="es-ES_tradnl"/>
        </w:rPr>
        <w:br/>
      </w:r>
      <w:r w:rsidRPr="00A07E4F">
        <w:rPr>
          <w:rFonts w:ascii="Arial" w:eastAsia="Times New Roman" w:hAnsi="Arial" w:cs="Arial"/>
          <w:sz w:val="22"/>
          <w:szCs w:val="22"/>
          <w:lang w:val="es-CO" w:eastAsia="es-ES_tradnl"/>
        </w:rPr>
        <w:t>PB:Planes de Beneficios en Salud</w:t>
      </w:r>
    </w:p>
    <w:p w14:paraId="25790E10" w14:textId="247574D7"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PCR: Reacción en Cadena de la Polimerasa (por sus siglas en inglés: Polimerase Chain Reaction)</w:t>
      </w:r>
    </w:p>
    <w:p w14:paraId="301D4D30" w14:textId="69A7407B"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 xml:space="preserve">PEEDD:Programa de evaluación externa del desempeño Directo   </w:t>
      </w:r>
    </w:p>
    <w:p w14:paraId="6F26E7F3" w14:textId="64F4B808"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 xml:space="preserve">PEEDI:Programa de evaluación externa del desempeño Indirecto   </w:t>
      </w:r>
    </w:p>
    <w:p w14:paraId="429D5A5A" w14:textId="5F265026"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PDR:Pruebas de Diagnóstico Rápido</w:t>
      </w:r>
    </w:p>
    <w:p w14:paraId="791E5C57" w14:textId="14192E21"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PENM</w:t>
      </w:r>
      <w:r w:rsidRPr="00A07E4F">
        <w:rPr>
          <w:rFonts w:ascii="Arial" w:eastAsia="Times New Roman" w:hAnsi="Arial" w:cs="Arial"/>
          <w:sz w:val="22"/>
          <w:szCs w:val="22"/>
          <w:lang w:val="es-CO" w:eastAsia="es-ES_tradnl"/>
        </w:rPr>
        <w:tab/>
        <w:t>:Plan Estratégico Nacional de Malaria 2018-2022</w:t>
      </w:r>
    </w:p>
    <w:p w14:paraId="1CC95C2F" w14:textId="29F2215E"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PIC: Plan de Intervenciones Colectivas</w:t>
      </w:r>
    </w:p>
    <w:p w14:paraId="3BD08538" w14:textId="499382D2" w:rsidR="00DC71CE" w:rsidRPr="00A07E4F" w:rsidRDefault="00DC71CE" w:rsidP="00DC71CE">
      <w:pPr>
        <w:spacing w:before="100" w:beforeAutospacing="1" w:after="100" w:afterAutospacing="1" w:line="240" w:lineRule="atLeast"/>
        <w:contextualSpacing/>
        <w:rPr>
          <w:rFonts w:ascii="Arial" w:eastAsia="Times New Roman" w:hAnsi="Arial" w:cs="Arial"/>
          <w:sz w:val="22"/>
          <w:szCs w:val="22"/>
          <w:lang w:val="es-CO" w:eastAsia="es-ES_tradnl"/>
        </w:rPr>
      </w:pPr>
    </w:p>
    <w:p w14:paraId="008CDBD9" w14:textId="00F29024" w:rsidR="00DC71CE" w:rsidRPr="00A07E4F" w:rsidRDefault="00AB11D6" w:rsidP="00DC71CE">
      <w:pPr>
        <w:spacing w:before="100" w:beforeAutospacing="1" w:after="100" w:afterAutospacing="1" w:line="240" w:lineRule="atLeast"/>
        <w:contextualSpacing/>
        <w:rPr>
          <w:rFonts w:ascii="Arial" w:eastAsia="Times New Roman" w:hAnsi="Arial" w:cs="Arial"/>
          <w:sz w:val="22"/>
          <w:szCs w:val="22"/>
          <w:lang w:val="es-CO" w:eastAsia="es-ES_tradnl"/>
        </w:rPr>
      </w:pPr>
      <w:r w:rsidRPr="00AB11D6">
        <w:rPr>
          <w:rFonts w:ascii="Arial" w:eastAsia="Times New Roman" w:hAnsi="Arial" w:cs="Arial"/>
          <w:sz w:val="22"/>
          <w:szCs w:val="22"/>
          <w:lang w:val="es-CO" w:eastAsia="es-ES_tradnl"/>
        </w:rPr>
        <w:t>PDSP: Plan Decenal de Salud Pública</w:t>
      </w:r>
      <w:r w:rsidRPr="00AB11D6">
        <w:rPr>
          <w:rFonts w:ascii="Arial" w:eastAsia="Times New Roman" w:hAnsi="Arial" w:cs="Arial"/>
          <w:sz w:val="22"/>
          <w:szCs w:val="22"/>
          <w:lang w:val="es-CO" w:eastAsia="es-ES_tradnl"/>
        </w:rPr>
        <w:br/>
        <w:t>PNS: reporte Positivo Negativo y Silencio</w:t>
      </w:r>
      <w:r w:rsidRPr="00AB11D6">
        <w:rPr>
          <w:rFonts w:ascii="Arial" w:eastAsia="Times New Roman" w:hAnsi="Arial" w:cs="Arial"/>
          <w:sz w:val="22"/>
          <w:szCs w:val="22"/>
          <w:lang w:val="es-CO" w:eastAsia="es-ES_tradnl"/>
        </w:rPr>
        <w:br/>
        <w:t>PNSB: Plan Nacional de Salud Bucal</w:t>
      </w:r>
      <w:r w:rsidRPr="00AB11D6">
        <w:rPr>
          <w:rFonts w:ascii="Arial" w:eastAsia="Times New Roman" w:hAnsi="Arial" w:cs="Arial"/>
          <w:sz w:val="22"/>
          <w:szCs w:val="22"/>
          <w:lang w:val="es-CO" w:eastAsia="es-ES_tradnl"/>
        </w:rPr>
        <w:br/>
      </w:r>
      <w:r w:rsidRPr="00AB11D6">
        <w:rPr>
          <w:rFonts w:ascii="Arial" w:eastAsia="Times New Roman" w:hAnsi="Arial" w:cs="Arial"/>
          <w:sz w:val="22"/>
          <w:szCs w:val="22"/>
          <w:lang w:val="es-CO" w:eastAsia="es-ES_tradnl"/>
        </w:rPr>
        <w:lastRenderedPageBreak/>
        <w:t>POA: Plan Operativo Anual</w:t>
      </w:r>
      <w:r w:rsidRPr="00AB11D6">
        <w:rPr>
          <w:rFonts w:ascii="Arial" w:eastAsia="Times New Roman" w:hAnsi="Arial" w:cs="Arial"/>
          <w:sz w:val="22"/>
          <w:szCs w:val="22"/>
          <w:lang w:val="es-CO" w:eastAsia="es-ES_tradnl"/>
        </w:rPr>
        <w:br/>
        <w:t>PTS: Plan Territorial de Salud</w:t>
      </w:r>
      <w:r w:rsidRPr="00AB11D6">
        <w:rPr>
          <w:rFonts w:ascii="Arial" w:eastAsia="Times New Roman" w:hAnsi="Arial" w:cs="Arial"/>
          <w:sz w:val="22"/>
          <w:szCs w:val="22"/>
          <w:lang w:val="es-CO" w:eastAsia="es-ES_tradnl"/>
        </w:rPr>
        <w:br/>
        <w:t>RELAB: Registro de Laboratorios</w:t>
      </w:r>
      <w:r w:rsidRPr="00AB11D6">
        <w:rPr>
          <w:rFonts w:ascii="Arial" w:eastAsia="Times New Roman" w:hAnsi="Arial" w:cs="Arial"/>
          <w:sz w:val="22"/>
          <w:szCs w:val="22"/>
          <w:lang w:val="es-CO" w:eastAsia="es-ES_tradnl"/>
        </w:rPr>
        <w:br/>
        <w:t>REPS: Registro Especial de Prestadores de Servicios de Salud</w:t>
      </w:r>
      <w:r w:rsidRPr="00AB11D6">
        <w:rPr>
          <w:rFonts w:ascii="Arial" w:eastAsia="Times New Roman" w:hAnsi="Arial" w:cs="Arial"/>
          <w:sz w:val="22"/>
          <w:szCs w:val="22"/>
          <w:lang w:val="es-CO" w:eastAsia="es-ES_tradnl"/>
        </w:rPr>
        <w:br/>
        <w:t xml:space="preserve">RIAS: Rutas Integrales de Atención en Salud </w:t>
      </w:r>
      <w:r w:rsidRPr="00AB11D6">
        <w:rPr>
          <w:rFonts w:ascii="Arial" w:eastAsia="Times New Roman" w:hAnsi="Arial" w:cs="Arial"/>
          <w:sz w:val="22"/>
          <w:szCs w:val="22"/>
          <w:lang w:val="es-CO" w:eastAsia="es-ES_tradnl"/>
        </w:rPr>
        <w:br/>
        <w:t>SAT: Sistema de Alerta Temprana</w:t>
      </w:r>
      <w:r w:rsidRPr="00AB11D6">
        <w:rPr>
          <w:rFonts w:ascii="Arial" w:eastAsia="Times New Roman" w:hAnsi="Arial" w:cs="Arial"/>
          <w:sz w:val="22"/>
          <w:szCs w:val="22"/>
          <w:lang w:val="es-CO" w:eastAsia="es-ES_tradnl"/>
        </w:rPr>
        <w:br/>
        <w:t>SGSSS: Sistema General de Seguridad Social en Salud</w:t>
      </w:r>
      <w:r w:rsidRPr="00AB11D6">
        <w:rPr>
          <w:rFonts w:ascii="Arial" w:eastAsia="Times New Roman" w:hAnsi="Arial" w:cs="Arial"/>
          <w:sz w:val="22"/>
          <w:szCs w:val="22"/>
          <w:lang w:val="es-CO" w:eastAsia="es-ES_tradnl"/>
        </w:rPr>
        <w:br/>
        <w:t>SIANIESP: Sistema de información de apoyo a la notificación e investigación de eventos de interés en salud pública.</w:t>
      </w:r>
      <w:r w:rsidRPr="00AB11D6">
        <w:rPr>
          <w:rFonts w:ascii="Arial" w:eastAsia="Times New Roman" w:hAnsi="Arial" w:cs="Arial"/>
          <w:sz w:val="22"/>
          <w:szCs w:val="22"/>
          <w:lang w:val="es-CO" w:eastAsia="es-ES_tradnl"/>
        </w:rPr>
        <w:br/>
      </w:r>
      <w:r w:rsidRPr="00AB11D6">
        <w:rPr>
          <w:rFonts w:ascii="Arial" w:eastAsia="Times New Roman" w:hAnsi="Arial" w:cs="Arial"/>
          <w:sz w:val="22"/>
          <w:szCs w:val="22"/>
          <w:lang w:val="es-CO" w:eastAsia="es-ES_tradnl"/>
        </w:rPr>
        <w:br/>
        <w:t>SISPRO: Sistema Integrado de información de la Protección Social</w:t>
      </w:r>
      <w:r w:rsidRPr="00AB11D6">
        <w:rPr>
          <w:rFonts w:ascii="Arial" w:eastAsia="Times New Roman" w:hAnsi="Arial" w:cs="Arial"/>
          <w:sz w:val="22"/>
          <w:szCs w:val="22"/>
          <w:lang w:val="es-CO" w:eastAsia="es-ES_tradnl"/>
        </w:rPr>
        <w:br/>
        <w:t>SITREP: Informe de Reporte de Situación</w:t>
      </w:r>
      <w:r w:rsidRPr="00AB11D6">
        <w:rPr>
          <w:rFonts w:ascii="Arial" w:eastAsia="Times New Roman" w:hAnsi="Arial" w:cs="Arial"/>
          <w:sz w:val="22"/>
          <w:szCs w:val="22"/>
          <w:lang w:val="es-CO" w:eastAsia="es-ES_tradnl"/>
        </w:rPr>
        <w:br/>
        <w:t>SIVIGILA: Sistema Nacional de Vigilancia en Salud Pública</w:t>
      </w:r>
      <w:r w:rsidRPr="00AB11D6">
        <w:rPr>
          <w:rFonts w:ascii="Arial" w:eastAsia="Times New Roman" w:hAnsi="Arial" w:cs="Arial"/>
          <w:sz w:val="22"/>
          <w:szCs w:val="22"/>
          <w:lang w:val="es-CO" w:eastAsia="es-ES_tradnl"/>
        </w:rPr>
        <w:br/>
        <w:t>UI: Unidad Informadora</w:t>
      </w:r>
      <w:r w:rsidRPr="00AB11D6">
        <w:rPr>
          <w:rFonts w:ascii="Arial" w:eastAsia="Times New Roman" w:hAnsi="Arial" w:cs="Arial"/>
          <w:sz w:val="22"/>
          <w:szCs w:val="22"/>
          <w:lang w:val="es-CO" w:eastAsia="es-ES_tradnl"/>
        </w:rPr>
        <w:br/>
        <w:t>UND: Unidad Notificadora Departamental o Distrital</w:t>
      </w:r>
      <w:r w:rsidRPr="00AB11D6">
        <w:rPr>
          <w:rFonts w:ascii="Arial" w:eastAsia="Times New Roman" w:hAnsi="Arial" w:cs="Arial"/>
          <w:sz w:val="22"/>
          <w:szCs w:val="22"/>
          <w:lang w:val="es-CO" w:eastAsia="es-ES_tradnl"/>
        </w:rPr>
        <w:br/>
        <w:t>UNGRD: Unidad Nacional para la Gestión del Riesgo de Desastres</w:t>
      </w:r>
      <w:r w:rsidRPr="00AB11D6">
        <w:rPr>
          <w:rFonts w:ascii="Arial" w:eastAsia="Times New Roman" w:hAnsi="Arial" w:cs="Arial"/>
          <w:sz w:val="22"/>
          <w:szCs w:val="22"/>
          <w:lang w:val="es-CO" w:eastAsia="es-ES_tradnl"/>
        </w:rPr>
        <w:br/>
        <w:t>UNM: Unidad Notificadora Municipal</w:t>
      </w:r>
      <w:r w:rsidRPr="00AB11D6">
        <w:rPr>
          <w:rFonts w:ascii="Arial" w:eastAsia="Times New Roman" w:hAnsi="Arial" w:cs="Arial"/>
          <w:sz w:val="22"/>
          <w:szCs w:val="22"/>
          <w:lang w:val="es-CO" w:eastAsia="es-ES_tradnl"/>
        </w:rPr>
        <w:br/>
        <w:t>UPGD: Unidad Primaria Generadora de Datos</w:t>
      </w:r>
      <w:r w:rsidRPr="00AB11D6">
        <w:rPr>
          <w:rFonts w:ascii="Arial" w:eastAsia="Times New Roman" w:hAnsi="Arial" w:cs="Arial"/>
          <w:sz w:val="22"/>
          <w:szCs w:val="22"/>
          <w:lang w:val="es-CO" w:eastAsia="es-ES_tradnl"/>
        </w:rPr>
        <w:br/>
        <w:t xml:space="preserve">VSP: Vigilancia en Salud Pública </w:t>
      </w:r>
    </w:p>
    <w:p w14:paraId="6E90C6CA" w14:textId="7B2CBB90" w:rsidR="00DC71CE" w:rsidRPr="00A07E4F" w:rsidRDefault="00DC71CE" w:rsidP="00DC71CE">
      <w:pPr>
        <w:spacing w:before="100" w:beforeAutospacing="1" w:after="100" w:afterAutospacing="1" w:line="240" w:lineRule="atLeast"/>
        <w:contextualSpacing/>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VRI: Vigilancia de la Resistencia a Insecticidas</w:t>
      </w:r>
    </w:p>
    <w:p w14:paraId="7E248995" w14:textId="77777777" w:rsidR="00DC71CE" w:rsidRPr="00AB11D6" w:rsidRDefault="00DC71CE" w:rsidP="00DC71CE">
      <w:pPr>
        <w:spacing w:before="100" w:beforeAutospacing="1" w:after="100" w:afterAutospacing="1" w:line="240" w:lineRule="atLeast"/>
        <w:contextualSpacing/>
        <w:rPr>
          <w:rFonts w:ascii="Arial" w:eastAsia="Times New Roman" w:hAnsi="Arial" w:cs="Arial"/>
          <w:sz w:val="22"/>
          <w:szCs w:val="22"/>
          <w:lang w:val="es-CO" w:eastAsia="es-ES_tradnl"/>
        </w:rPr>
      </w:pPr>
    </w:p>
    <w:p w14:paraId="393E7F4E" w14:textId="445F52C3"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CDC: Center Disease Control</w:t>
      </w:r>
    </w:p>
    <w:p w14:paraId="2DA6ADA0" w14:textId="73DB3704"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DTS: Direcciones Territoriales de Salud</w:t>
      </w:r>
    </w:p>
    <w:p w14:paraId="5D9AA6C5" w14:textId="5DB14E96"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EAPB: Empresas Administradoras de Planes de Beneficios</w:t>
      </w:r>
    </w:p>
    <w:p w14:paraId="10FCB786" w14:textId="76CB2DD2"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EG: Entes Gestores</w:t>
      </w:r>
    </w:p>
    <w:p w14:paraId="47F852C5" w14:textId="4A633882"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EGI: Estrategia de Gestión Integrada</w:t>
      </w:r>
    </w:p>
    <w:p w14:paraId="1C8C2A02" w14:textId="2132FBA5"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GFM: Grupo Funcional de Malaria</w:t>
      </w:r>
    </w:p>
    <w:p w14:paraId="48344B6B" w14:textId="1DD94631"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GG: Gota Gruesa</w:t>
      </w:r>
    </w:p>
    <w:p w14:paraId="193E26A8" w14:textId="60BF8C83"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ESP: Extendido de sangre periférica</w:t>
      </w:r>
    </w:p>
    <w:p w14:paraId="005DCC42" w14:textId="0852E4E6"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IEC: Información, Educación, Comunicación</w:t>
      </w:r>
    </w:p>
    <w:p w14:paraId="19FF2839" w14:textId="714B1377" w:rsidR="00DC71CE" w:rsidRPr="00A07E4F" w:rsidRDefault="00DC71CE" w:rsidP="00DC71CE">
      <w:pPr>
        <w:ind w:hanging="1690"/>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 xml:space="preserve">                          LNR: Laboratorio Nacional de Referencia</w:t>
      </w:r>
    </w:p>
    <w:p w14:paraId="6CB6D730" w14:textId="04463B09"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 xml:space="preserve">LSP: Laboratorio de Salud Pública                   </w:t>
      </w:r>
    </w:p>
    <w:p w14:paraId="39FED06B" w14:textId="51B8C639"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MIV : Manejo Integrado de vectores</w:t>
      </w:r>
    </w:p>
    <w:p w14:paraId="7F8E66B8" w14:textId="3A818FEB"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 xml:space="preserve">MTILD: Mosquiteros Tratados con Insecticida de Larga Duración. </w:t>
      </w:r>
    </w:p>
    <w:p w14:paraId="04D8777B" w14:textId="5B6B3246"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RRI:Rociado Residual Intradomiciliario</w:t>
      </w:r>
    </w:p>
    <w:p w14:paraId="2E0C8443" w14:textId="423F6AEA"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SIVIEN: Sistema de Información de Vigilancia Entomológica</w:t>
      </w:r>
    </w:p>
    <w:p w14:paraId="313ABD6E" w14:textId="7E3F6575"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TILD: Toldillos Tratados con Insecticida de Larga Duración</w:t>
      </w:r>
    </w:p>
    <w:p w14:paraId="01B58C1D" w14:textId="66278DCE" w:rsidR="00DC71CE" w:rsidRPr="00A07E4F" w:rsidRDefault="00DC71CE" w:rsidP="00DC71CE">
      <w:pPr>
        <w:jc w:val="both"/>
        <w:rPr>
          <w:rFonts w:ascii="Arial" w:eastAsia="Times New Roman" w:hAnsi="Arial" w:cs="Arial"/>
          <w:sz w:val="22"/>
          <w:szCs w:val="22"/>
          <w:lang w:val="es-CO" w:eastAsia="es-ES_tradnl"/>
        </w:rPr>
      </w:pPr>
      <w:r w:rsidRPr="00A07E4F">
        <w:rPr>
          <w:rFonts w:ascii="Arial" w:eastAsia="Times New Roman" w:hAnsi="Arial" w:cs="Arial"/>
          <w:sz w:val="22"/>
          <w:szCs w:val="22"/>
          <w:lang w:val="es-CO" w:eastAsia="es-ES_tradnl"/>
        </w:rPr>
        <w:t xml:space="preserve">UCP: Unidad Coordinadora de Proyecto. </w:t>
      </w:r>
    </w:p>
    <w:p w14:paraId="06D96C19" w14:textId="1101190A" w:rsidR="00AB11D6" w:rsidRPr="00A07E4F" w:rsidRDefault="00AB11D6" w:rsidP="00AB11D6">
      <w:pPr>
        <w:spacing w:before="100" w:beforeAutospacing="1" w:after="100" w:afterAutospacing="1"/>
        <w:rPr>
          <w:rFonts w:ascii="Arial" w:eastAsia="Times New Roman" w:hAnsi="Arial" w:cs="Arial"/>
          <w:color w:val="4F7FBC"/>
          <w:sz w:val="22"/>
          <w:szCs w:val="22"/>
          <w:lang w:val="es-CO" w:eastAsia="es-ES_tradnl"/>
        </w:rPr>
      </w:pPr>
    </w:p>
    <w:p w14:paraId="722A481B" w14:textId="5B1D2BD8" w:rsidR="00A07E4F" w:rsidRPr="00A07E4F" w:rsidRDefault="00A07E4F" w:rsidP="00AB11D6">
      <w:pPr>
        <w:spacing w:before="100" w:beforeAutospacing="1" w:after="100" w:afterAutospacing="1"/>
        <w:rPr>
          <w:rFonts w:ascii="Arial" w:eastAsia="Times New Roman" w:hAnsi="Arial" w:cs="Arial"/>
          <w:color w:val="4F7FBC"/>
          <w:sz w:val="22"/>
          <w:szCs w:val="22"/>
          <w:lang w:val="es-CO" w:eastAsia="es-ES_tradnl"/>
        </w:rPr>
      </w:pPr>
    </w:p>
    <w:p w14:paraId="0927D703" w14:textId="587043E3" w:rsidR="00A07E4F" w:rsidRPr="00A07E4F" w:rsidRDefault="00A07E4F" w:rsidP="00AB11D6">
      <w:pPr>
        <w:spacing w:before="100" w:beforeAutospacing="1" w:after="100" w:afterAutospacing="1"/>
        <w:rPr>
          <w:rFonts w:ascii="Arial" w:eastAsia="Times New Roman" w:hAnsi="Arial" w:cs="Arial"/>
          <w:color w:val="4F7FBC"/>
          <w:sz w:val="22"/>
          <w:szCs w:val="22"/>
          <w:lang w:val="es-CO" w:eastAsia="es-ES_tradnl"/>
        </w:rPr>
      </w:pPr>
    </w:p>
    <w:p w14:paraId="1120D97A" w14:textId="4115E755" w:rsidR="00AB11D6" w:rsidRPr="00AB11D6" w:rsidRDefault="00AB11D6" w:rsidP="00AB11D6">
      <w:pPr>
        <w:spacing w:before="100" w:beforeAutospacing="1" w:after="100" w:afterAutospacing="1"/>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Definiciones </w:t>
      </w:r>
    </w:p>
    <w:p w14:paraId="3443D5AB"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Alerta: </w:t>
      </w:r>
      <w:r w:rsidRPr="00AB11D6">
        <w:rPr>
          <w:rFonts w:ascii="Arial" w:eastAsia="Times New Roman" w:hAnsi="Arial" w:cs="Arial"/>
          <w:sz w:val="22"/>
          <w:szCs w:val="22"/>
          <w:lang w:val="es-CO" w:eastAsia="es-ES_tradnl"/>
        </w:rPr>
        <w:t xml:space="preserve">estado que se declara con anterioridad a la manifestación de un evento peligroso, con base en el monitoreo del comportamiento del respectivo fenómeno, con el fin de que </w:t>
      </w:r>
      <w:r w:rsidRPr="00AB11D6">
        <w:rPr>
          <w:rFonts w:ascii="Arial" w:eastAsia="Times New Roman" w:hAnsi="Arial" w:cs="Arial"/>
          <w:sz w:val="22"/>
          <w:szCs w:val="22"/>
          <w:lang w:val="es-CO" w:eastAsia="es-ES_tradnl"/>
        </w:rPr>
        <w:lastRenderedPageBreak/>
        <w:t xml:space="preserve">las entidades y la población involucrada activen procedimientos de acción previamente establecidos. </w:t>
      </w:r>
    </w:p>
    <w:p w14:paraId="2968CB60"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Atención Primaria en Salud: </w:t>
      </w:r>
      <w:r w:rsidRPr="00AB11D6">
        <w:rPr>
          <w:rFonts w:ascii="Arial" w:eastAsia="Times New Roman" w:hAnsi="Arial" w:cs="Arial"/>
          <w:sz w:val="22"/>
          <w:szCs w:val="22"/>
          <w:lang w:val="es-CO" w:eastAsia="es-ES_tradnl"/>
        </w:rPr>
        <w:t xml:space="preserve">de acuerdo con la OMS, es "la asistencia sanitaria esencial accesible a todos los individuos y familias de la comunidad a través de medios aceptables para ellos, con su plena participación y a un costo asequible para la comunidad y el país". </w:t>
      </w:r>
    </w:p>
    <w:p w14:paraId="344EFBF1"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Búsqueda Activa Comunitaria: </w:t>
      </w:r>
      <w:r w:rsidRPr="00AB11D6">
        <w:rPr>
          <w:rFonts w:ascii="Arial" w:eastAsia="Times New Roman" w:hAnsi="Arial" w:cs="Arial"/>
          <w:sz w:val="22"/>
          <w:szCs w:val="22"/>
          <w:lang w:val="es-CO" w:eastAsia="es-ES_tradnl"/>
        </w:rPr>
        <w:t xml:space="preserve">es la indagación o rastreo intencionado de casos sospechosos o probables, de algún evento de interés en salud pública, que pueden estar ocurriendo o pudieron presentarse en la comunidad y que no hayan consultado a una Institución Prestadora de Servicios de Salud. </w:t>
      </w:r>
    </w:p>
    <w:p w14:paraId="55240CC3"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Búsqueda Activa Institucional: </w:t>
      </w:r>
      <w:r w:rsidRPr="00AB11D6">
        <w:rPr>
          <w:rFonts w:ascii="Arial" w:eastAsia="Times New Roman" w:hAnsi="Arial" w:cs="Arial"/>
          <w:sz w:val="22"/>
          <w:szCs w:val="22"/>
          <w:lang w:val="es-CO" w:eastAsia="es-ES_tradnl"/>
        </w:rPr>
        <w:t xml:space="preserve">es la estrategia para la detección de casos que por cualquier razón no fueron notificados o ingresados al sistema de vigilancia. Es un instrumento de control de calidad de la vigilancia de rutina. </w:t>
      </w:r>
    </w:p>
    <w:p w14:paraId="630A883A"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Brote: </w:t>
      </w:r>
      <w:r w:rsidRPr="00AB11D6">
        <w:rPr>
          <w:rFonts w:ascii="Arial" w:eastAsia="Times New Roman" w:hAnsi="Arial" w:cs="Arial"/>
          <w:sz w:val="22"/>
          <w:szCs w:val="22"/>
          <w:lang w:val="es-CO" w:eastAsia="es-ES_tradnl"/>
        </w:rPr>
        <w:t xml:space="preserve">es el aumento inusual en el número de casos o dos o más casos relacionados epidemiológicamente, de aparición súbita y diseminación localizada en un espacio específico. </w:t>
      </w:r>
    </w:p>
    <w:p w14:paraId="2A58F635"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Centro de Operaciones de Emergencia, Eventos y Epidemias en Salud Pública: </w:t>
      </w:r>
      <w:r w:rsidRPr="00AB11D6">
        <w:rPr>
          <w:rFonts w:ascii="Arial" w:eastAsia="Times New Roman" w:hAnsi="Arial" w:cs="Arial"/>
          <w:sz w:val="22"/>
          <w:szCs w:val="22"/>
          <w:lang w:val="es-CO" w:eastAsia="es-ES_tradnl"/>
        </w:rPr>
        <w:t xml:space="preserve">es la combinación de instalaciones, equipamiento, protocolos, procedimientos y comunicaciones que opera en una estructura organizacional común, que tiene como responsabilidad la administración de recursos para el </w:t>
      </w:r>
    </w:p>
    <w:p w14:paraId="62D72A54"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Comité de Vigilancia Epidemiológica: </w:t>
      </w:r>
      <w:r w:rsidRPr="00AB11D6">
        <w:rPr>
          <w:rFonts w:ascii="Arial" w:eastAsia="Times New Roman" w:hAnsi="Arial" w:cs="Arial"/>
          <w:sz w:val="22"/>
          <w:szCs w:val="22"/>
          <w:lang w:val="es-CO" w:eastAsia="es-ES_tradnl"/>
        </w:rPr>
        <w:t xml:space="preserve">espacio de análisis que busca generar insumos para la toma de decisiones concretas, que lleven a acciones para controlar situaciones que ponen en riesgo la salud de la población en las diferentes escalas del territorio. </w:t>
      </w:r>
    </w:p>
    <w:p w14:paraId="3A6C10BE"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Eventos: </w:t>
      </w:r>
      <w:r w:rsidRPr="00AB11D6">
        <w:rPr>
          <w:rFonts w:ascii="Arial" w:eastAsia="Times New Roman" w:hAnsi="Arial" w:cs="Arial"/>
          <w:sz w:val="22"/>
          <w:szCs w:val="22"/>
          <w:lang w:val="es-CO" w:eastAsia="es-ES_tradnl"/>
        </w:rPr>
        <w:t xml:space="preserve">para los efectos del RSI (2005), es la manifestación de una enfermedad o un suceso potencialmente patógeno. </w:t>
      </w:r>
    </w:p>
    <w:p w14:paraId="653DD111" w14:textId="5E14C26A"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Evento de interés en salud pública: </w:t>
      </w:r>
      <w:r w:rsidRPr="00AB11D6">
        <w:rPr>
          <w:rFonts w:ascii="Arial" w:eastAsia="Times New Roman" w:hAnsi="Arial" w:cs="Arial"/>
          <w:sz w:val="22"/>
          <w:szCs w:val="22"/>
          <w:lang w:val="es-CO" w:eastAsia="es-ES_tradnl"/>
        </w:rPr>
        <w:t xml:space="preserve">aquellas enfermedades consideradas como importantes o trascendentes para la salud colectiva por parte del Ministerio de Salud y Protección Social, teniendo en cuenta criterios de frecuencia, gravedad, comportamiento epidemiológico, posibilidades de prevención, costo-efectividad de las intervenciones, e interés público; que, además, requieren ser enfrentados con </w:t>
      </w:r>
    </w:p>
    <w:p w14:paraId="4B8530C2"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Investigación Epidemiológica de Campo: </w:t>
      </w:r>
      <w:r w:rsidRPr="00AB11D6">
        <w:rPr>
          <w:rFonts w:ascii="Arial" w:eastAsia="Times New Roman" w:hAnsi="Arial" w:cs="Arial"/>
          <w:sz w:val="22"/>
          <w:szCs w:val="22"/>
          <w:lang w:val="es-CO" w:eastAsia="es-ES_tradnl"/>
        </w:rPr>
        <w:t xml:space="preserve">es la aplicación de los principios y métodos de la investigación epidemiológica para el estudio de problemas de salud inesperados, para los cuales se demanda una respuesta inmediata y una intervención oportuna en la población. </w:t>
      </w:r>
    </w:p>
    <w:p w14:paraId="4FAC66CE"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Población a riesgo: </w:t>
      </w:r>
      <w:r w:rsidRPr="00AB11D6">
        <w:rPr>
          <w:rFonts w:ascii="Arial" w:eastAsia="Times New Roman" w:hAnsi="Arial" w:cs="Arial"/>
          <w:sz w:val="22"/>
          <w:szCs w:val="22"/>
          <w:lang w:val="es-CO" w:eastAsia="es-ES_tradnl"/>
        </w:rPr>
        <w:t xml:space="preserve">población que, por sus características sociales y dinámicas demográficas, como hacinamiento, población privada de la libertad, población confinada, población migrante, tienen condiciones inherentes de riesgo para el desarrollo de eventos de interés en salud pública y cambios en la morbilidad y mortalidad. </w:t>
      </w:r>
    </w:p>
    <w:p w14:paraId="23F0CEFE"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lastRenderedPageBreak/>
        <w:t xml:space="preserve">Protocolo de Vigilancia en Salud Pública: </w:t>
      </w:r>
      <w:r w:rsidRPr="00AB11D6">
        <w:rPr>
          <w:rFonts w:ascii="Arial" w:eastAsia="Times New Roman" w:hAnsi="Arial" w:cs="Arial"/>
          <w:sz w:val="22"/>
          <w:szCs w:val="22"/>
          <w:lang w:val="es-CO" w:eastAsia="es-ES_tradnl"/>
        </w:rPr>
        <w:t xml:space="preserve">es la guía técnica y operativa que estandariza los criterios, procedimientos y actividades que permiten sistematizar las actividades de vigilancia de los eventos de interés en salud pública. </w:t>
      </w:r>
    </w:p>
    <w:p w14:paraId="6841BE2A"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Red de Vigilancia en Salud Pública: </w:t>
      </w:r>
      <w:r w:rsidRPr="00AB11D6">
        <w:rPr>
          <w:rFonts w:ascii="Arial" w:eastAsia="Times New Roman" w:hAnsi="Arial" w:cs="Arial"/>
          <w:sz w:val="22"/>
          <w:szCs w:val="22"/>
          <w:lang w:val="es-CO" w:eastAsia="es-ES_tradnl"/>
        </w:rPr>
        <w:t xml:space="preserve">conjunto de personas, organizaciones e instituciones integrantes del Sistema General de Seguridad Social en Salud (SGSSS), así como otras organizaciones de interés distintas del sector, cuyas actividades influyen directa o indirectamente en la salud de la población, que de manera sistemática y lógica se articulan y coordinan para hacer posible el intercambio real y material de información útil para el conocimiento, análisis y abordaje de los problemas de salud, así como el intercambio de experiencias, metodologías y recursos, relacionados con las acciones de vigilancia en salud pública. </w:t>
      </w:r>
    </w:p>
    <w:p w14:paraId="4C1EF330" w14:textId="77777777" w:rsidR="00AB11D6" w:rsidRPr="00AB11D6"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Sistema de Alerta Temprana: </w:t>
      </w:r>
      <w:r w:rsidRPr="00AB11D6">
        <w:rPr>
          <w:rFonts w:ascii="Arial" w:eastAsia="Times New Roman" w:hAnsi="Arial" w:cs="Arial"/>
          <w:sz w:val="22"/>
          <w:szCs w:val="22"/>
          <w:lang w:val="es-CO" w:eastAsia="es-ES_tradnl"/>
        </w:rPr>
        <w:t xml:space="preserve">conjunto de capacidades necesarias para generar y difundir información de alerta oportuna y significativa para que los individuos, las comunidades y organizaciones amenazadas por riesgo o peligro en el cual puedan prepararse y actuar adecuadamente y con tiempo suficiente para reducir la posibilidad de daño o pérdida. </w:t>
      </w:r>
    </w:p>
    <w:p w14:paraId="5A6466A8" w14:textId="2684C868" w:rsidR="00AB11D6" w:rsidRPr="00A07E4F" w:rsidRDefault="00AB11D6" w:rsidP="00AB11D6">
      <w:pPr>
        <w:spacing w:before="100" w:beforeAutospacing="1" w:after="100" w:afterAutospacing="1"/>
        <w:jc w:val="both"/>
        <w:rPr>
          <w:rFonts w:ascii="Arial" w:eastAsia="Times New Roman" w:hAnsi="Arial" w:cs="Arial"/>
          <w:sz w:val="22"/>
          <w:szCs w:val="22"/>
          <w:lang w:val="es-CO" w:eastAsia="es-ES_tradnl"/>
        </w:rPr>
      </w:pPr>
      <w:r w:rsidRPr="00AB11D6">
        <w:rPr>
          <w:rFonts w:ascii="Arial" w:eastAsia="Times New Roman" w:hAnsi="Arial" w:cs="Arial"/>
          <w:b/>
          <w:bCs/>
          <w:sz w:val="22"/>
          <w:szCs w:val="22"/>
          <w:lang w:val="es-CO" w:eastAsia="es-ES_tradnl"/>
        </w:rPr>
        <w:t xml:space="preserve">Sistema de Vigilancia en Salud Pública (Sivigila): </w:t>
      </w:r>
      <w:r w:rsidRPr="00AB11D6">
        <w:rPr>
          <w:rFonts w:ascii="Arial" w:eastAsia="Times New Roman" w:hAnsi="Arial" w:cs="Arial"/>
          <w:sz w:val="22"/>
          <w:szCs w:val="22"/>
          <w:lang w:val="es-CO" w:eastAsia="es-ES_tradnl"/>
        </w:rPr>
        <w:t xml:space="preserve">conjunto de usuarios, normas, procedimientos, recursos técnicos, financieros y de talento humano, organizados entre sí para la recopilación, análisis, interpretación, actualización, divulgación y evaluación sistemática y oportuna de la información sobre eventos en salud, para la orientación de las acciones de prevención y control en salud pública. </w:t>
      </w:r>
    </w:p>
    <w:p w14:paraId="1E0148F0" w14:textId="77777777" w:rsidR="00A07E4F" w:rsidRPr="00A07E4F" w:rsidRDefault="00A07E4F" w:rsidP="00A07E4F">
      <w:pPr>
        <w:jc w:val="both"/>
        <w:rPr>
          <w:rFonts w:ascii="Arial" w:hAnsi="Arial" w:cs="Arial"/>
          <w:sz w:val="22"/>
          <w:szCs w:val="22"/>
          <w:lang w:val="es-US"/>
        </w:rPr>
      </w:pPr>
      <w:r w:rsidRPr="00A07E4F">
        <w:rPr>
          <w:rFonts w:ascii="Arial" w:hAnsi="Arial" w:cs="Arial"/>
          <w:b/>
          <w:sz w:val="22"/>
          <w:szCs w:val="22"/>
        </w:rPr>
        <w:t>Estrategia DTI-R</w:t>
      </w:r>
      <w:r w:rsidRPr="00A07E4F">
        <w:rPr>
          <w:rFonts w:ascii="Arial" w:hAnsi="Arial" w:cs="Arial"/>
          <w:sz w:val="22"/>
          <w:szCs w:val="22"/>
        </w:rPr>
        <w:t xml:space="preserve">.  </w:t>
      </w:r>
      <w:r w:rsidRPr="00A07E4F">
        <w:rPr>
          <w:rFonts w:ascii="Arial" w:hAnsi="Arial" w:cs="Arial"/>
          <w:sz w:val="22"/>
          <w:szCs w:val="22"/>
          <w:lang w:val="es-US"/>
        </w:rPr>
        <w:t>Paquete de actividades a ser implementado en el nivel local en los tiempos recomendados para interrumpir transmisión y prevenir su restablecimiento, incluye los procesos de Detección, Diagnóstico, Tratamiento, Investigación y Respuesta.</w:t>
      </w:r>
    </w:p>
    <w:p w14:paraId="3257E03A" w14:textId="77777777" w:rsidR="00A07E4F" w:rsidRPr="00A07E4F" w:rsidRDefault="00A07E4F" w:rsidP="00A07E4F">
      <w:pPr>
        <w:jc w:val="both"/>
        <w:rPr>
          <w:rFonts w:ascii="Arial" w:hAnsi="Arial" w:cs="Arial"/>
          <w:sz w:val="22"/>
          <w:szCs w:val="22"/>
          <w:lang w:val="es-US"/>
        </w:rPr>
      </w:pPr>
    </w:p>
    <w:p w14:paraId="7041DE05"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Estratificación</w:t>
      </w:r>
      <w:r w:rsidRPr="00A07E4F">
        <w:rPr>
          <w:rFonts w:ascii="Arial" w:hAnsi="Arial" w:cs="Arial"/>
          <w:sz w:val="22"/>
          <w:szCs w:val="22"/>
        </w:rPr>
        <w:t>.  La OMS define a la estratificación según el riesgo de malaria como la “clasificación de áreas geográficas o localidades de acuerdo a factores que determinan la receptividad y vulnerabilidad de la transmisión de malaria”</w:t>
      </w:r>
      <w:r w:rsidRPr="00A07E4F">
        <w:rPr>
          <w:rFonts w:ascii="Arial" w:hAnsi="Arial" w:cs="Arial"/>
          <w:sz w:val="22"/>
          <w:szCs w:val="22"/>
          <w:vertAlign w:val="superscript"/>
        </w:rPr>
        <w:t>1</w:t>
      </w:r>
      <w:r w:rsidRPr="00A07E4F">
        <w:rPr>
          <w:rFonts w:ascii="Arial" w:hAnsi="Arial" w:cs="Arial"/>
          <w:sz w:val="22"/>
          <w:szCs w:val="22"/>
        </w:rPr>
        <w:t>.</w:t>
      </w:r>
    </w:p>
    <w:p w14:paraId="29EF5490" w14:textId="77777777" w:rsidR="00A07E4F" w:rsidRPr="00A07E4F" w:rsidRDefault="00A07E4F" w:rsidP="00A07E4F">
      <w:pPr>
        <w:jc w:val="both"/>
        <w:rPr>
          <w:rFonts w:ascii="Arial" w:hAnsi="Arial" w:cs="Arial"/>
          <w:sz w:val="22"/>
          <w:szCs w:val="22"/>
        </w:rPr>
      </w:pPr>
    </w:p>
    <w:p w14:paraId="5D8BDDC5"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Foco de malaria</w:t>
      </w:r>
      <w:r w:rsidRPr="00A07E4F">
        <w:rPr>
          <w:rFonts w:ascii="Arial" w:hAnsi="Arial" w:cs="Arial"/>
          <w:sz w:val="22"/>
          <w:szCs w:val="22"/>
        </w:rPr>
        <w:t>.  Área geográfica definida y circunscrita, con presencia de vectores transmisores y determinantes sociales, económicos, políticos y culturales que favorecen la introducción del parásito, que presenta o ha presentado casos de transmisión autóctona de malaria (adaptación de la definición propuesta por la OMS en la Terminología de Malaria</w:t>
      </w:r>
      <w:r w:rsidRPr="00A07E4F">
        <w:rPr>
          <w:rStyle w:val="Refdenotaalpie"/>
          <w:rFonts w:ascii="Arial" w:hAnsi="Arial" w:cs="Arial"/>
          <w:sz w:val="22"/>
          <w:szCs w:val="22"/>
        </w:rPr>
        <w:footnoteReference w:id="1"/>
      </w:r>
      <w:r w:rsidRPr="00A07E4F">
        <w:rPr>
          <w:rFonts w:ascii="Arial" w:hAnsi="Arial" w:cs="Arial"/>
          <w:sz w:val="22"/>
          <w:szCs w:val="22"/>
        </w:rPr>
        <w:t>).  Los focos pueden ser</w:t>
      </w:r>
      <w:r w:rsidRPr="00A07E4F">
        <w:rPr>
          <w:rStyle w:val="Refdenotaalpie"/>
          <w:rFonts w:ascii="Arial" w:hAnsi="Arial" w:cs="Arial"/>
          <w:sz w:val="22"/>
          <w:szCs w:val="22"/>
        </w:rPr>
        <w:footnoteReference w:id="2"/>
      </w:r>
      <w:r w:rsidRPr="00A07E4F">
        <w:rPr>
          <w:rFonts w:ascii="Arial" w:hAnsi="Arial" w:cs="Arial"/>
          <w:sz w:val="22"/>
          <w:szCs w:val="22"/>
        </w:rPr>
        <w:t>:</w:t>
      </w:r>
    </w:p>
    <w:p w14:paraId="59C7B704" w14:textId="77777777" w:rsidR="00A07E4F" w:rsidRPr="00A07E4F" w:rsidRDefault="00A07E4F" w:rsidP="00A07E4F">
      <w:pPr>
        <w:pStyle w:val="Prrafodelista"/>
        <w:numPr>
          <w:ilvl w:val="0"/>
          <w:numId w:val="1"/>
        </w:numPr>
        <w:spacing w:line="240" w:lineRule="auto"/>
        <w:ind w:left="0"/>
        <w:rPr>
          <w:rFonts w:ascii="Arial" w:hAnsi="Arial" w:cs="Arial"/>
          <w:lang w:val="es-ES"/>
        </w:rPr>
      </w:pPr>
      <w:r w:rsidRPr="00A07E4F">
        <w:rPr>
          <w:rFonts w:ascii="Arial" w:hAnsi="Arial" w:cs="Arial"/>
          <w:i/>
          <w:lang w:val="es-ES"/>
        </w:rPr>
        <w:t>Activos</w:t>
      </w:r>
      <w:r w:rsidRPr="00A07E4F">
        <w:rPr>
          <w:rFonts w:ascii="Arial" w:hAnsi="Arial" w:cs="Arial"/>
          <w:lang w:val="es-ES"/>
        </w:rPr>
        <w:t xml:space="preserve">: </w:t>
      </w:r>
      <w:r w:rsidRPr="00A07E4F">
        <w:rPr>
          <w:rFonts w:ascii="Arial" w:hAnsi="Arial" w:cs="Arial"/>
        </w:rPr>
        <w:t>se han detectado casos autóctonos durante el año calendario en curso.</w:t>
      </w:r>
    </w:p>
    <w:p w14:paraId="5DC4F63C" w14:textId="77777777" w:rsidR="00A07E4F" w:rsidRPr="00A07E4F" w:rsidRDefault="00A07E4F" w:rsidP="00A07E4F">
      <w:pPr>
        <w:pStyle w:val="Prrafodelista"/>
        <w:numPr>
          <w:ilvl w:val="0"/>
          <w:numId w:val="1"/>
        </w:numPr>
        <w:spacing w:line="240" w:lineRule="auto"/>
        <w:ind w:left="0"/>
        <w:rPr>
          <w:rFonts w:ascii="Arial" w:hAnsi="Arial" w:cs="Arial"/>
          <w:lang w:val="es-ES"/>
        </w:rPr>
      </w:pPr>
      <w:r w:rsidRPr="00A07E4F">
        <w:rPr>
          <w:rFonts w:ascii="Arial" w:hAnsi="Arial" w:cs="Arial"/>
          <w:i/>
          <w:lang w:val="es-ES"/>
        </w:rPr>
        <w:t>Residuales</w:t>
      </w:r>
      <w:r w:rsidRPr="00A07E4F">
        <w:rPr>
          <w:rFonts w:ascii="Arial" w:hAnsi="Arial" w:cs="Arial"/>
          <w:lang w:val="es-ES"/>
        </w:rPr>
        <w:t xml:space="preserve">: </w:t>
      </w:r>
      <w:r w:rsidRPr="00A07E4F">
        <w:rPr>
          <w:rFonts w:ascii="Arial" w:hAnsi="Arial" w:cs="Arial"/>
        </w:rPr>
        <w:t>el último caso autóctono se detectó en el año calendario anterior o hasta 3 años antes.</w:t>
      </w:r>
    </w:p>
    <w:p w14:paraId="68273735" w14:textId="77777777" w:rsidR="00A07E4F" w:rsidRPr="00A07E4F" w:rsidRDefault="00A07E4F" w:rsidP="00A07E4F">
      <w:pPr>
        <w:pStyle w:val="Prrafodelista"/>
        <w:numPr>
          <w:ilvl w:val="0"/>
          <w:numId w:val="1"/>
        </w:numPr>
        <w:spacing w:line="240" w:lineRule="auto"/>
        <w:ind w:left="0"/>
        <w:rPr>
          <w:rFonts w:ascii="Arial" w:hAnsi="Arial" w:cs="Arial"/>
          <w:lang w:val="es-ES"/>
        </w:rPr>
      </w:pPr>
      <w:r w:rsidRPr="00A07E4F">
        <w:rPr>
          <w:rFonts w:ascii="Arial" w:hAnsi="Arial" w:cs="Arial"/>
          <w:i/>
          <w:lang w:val="es-ES"/>
        </w:rPr>
        <w:t>Eliminados</w:t>
      </w:r>
      <w:r w:rsidRPr="00A07E4F">
        <w:rPr>
          <w:rFonts w:ascii="Arial" w:hAnsi="Arial" w:cs="Arial"/>
          <w:lang w:val="es-ES"/>
        </w:rPr>
        <w:t xml:space="preserve">: </w:t>
      </w:r>
      <w:r w:rsidRPr="00A07E4F">
        <w:rPr>
          <w:rFonts w:ascii="Arial" w:hAnsi="Arial" w:cs="Arial"/>
        </w:rPr>
        <w:t>sin casos autóctonos por 3 o más años.</w:t>
      </w:r>
    </w:p>
    <w:p w14:paraId="437DDD2C" w14:textId="77777777" w:rsidR="00A07E4F" w:rsidRPr="00A07E4F" w:rsidRDefault="00A07E4F" w:rsidP="00A07E4F">
      <w:pPr>
        <w:jc w:val="both"/>
        <w:rPr>
          <w:rFonts w:ascii="Arial" w:hAnsi="Arial" w:cs="Arial"/>
          <w:sz w:val="22"/>
          <w:szCs w:val="22"/>
        </w:rPr>
      </w:pPr>
    </w:p>
    <w:p w14:paraId="4E9AB08F"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Micro-estratificación</w:t>
      </w:r>
      <w:r w:rsidRPr="00A07E4F">
        <w:rPr>
          <w:rFonts w:ascii="Arial" w:hAnsi="Arial" w:cs="Arial"/>
          <w:sz w:val="22"/>
          <w:szCs w:val="22"/>
        </w:rPr>
        <w:t xml:space="preserve">.  </w:t>
      </w:r>
      <w:r w:rsidRPr="00A07E4F">
        <w:rPr>
          <w:rFonts w:ascii="Arial" w:hAnsi="Arial" w:cs="Arial"/>
          <w:sz w:val="22"/>
          <w:szCs w:val="22"/>
          <w:lang w:val="es-US"/>
        </w:rPr>
        <w:t xml:space="preserve">Es la identificación y caracterización de los focos o conglomerados de localidades (Unidades Operativas de Intervención) que comparten la misma dinámica de transmisión y, por lo tanto, deben ser consideradas en conjunto; implica un ejercicio de </w:t>
      </w:r>
      <w:r w:rsidRPr="00A07E4F">
        <w:rPr>
          <w:rFonts w:ascii="Arial" w:hAnsi="Arial" w:cs="Arial"/>
          <w:sz w:val="22"/>
          <w:szCs w:val="22"/>
          <w:lang w:val="es-US"/>
        </w:rPr>
        <w:lastRenderedPageBreak/>
        <w:t xml:space="preserve">análisis en el nivel local (micro). Estas Unidades Operativas de Intervención formarán los estratos priorizados desde el nivel nacional </w:t>
      </w:r>
    </w:p>
    <w:p w14:paraId="1F74340B"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Micro-planificación</w:t>
      </w:r>
      <w:r w:rsidRPr="00A07E4F">
        <w:rPr>
          <w:rFonts w:ascii="Arial" w:hAnsi="Arial" w:cs="Arial"/>
          <w:sz w:val="22"/>
          <w:szCs w:val="22"/>
        </w:rPr>
        <w:t xml:space="preserve">.  </w:t>
      </w:r>
      <w:r w:rsidRPr="00A07E4F">
        <w:rPr>
          <w:rFonts w:ascii="Arial" w:hAnsi="Arial" w:cs="Arial"/>
          <w:sz w:val="22"/>
          <w:szCs w:val="22"/>
          <w:lang w:val="es-US"/>
        </w:rPr>
        <w:t>Se refiere al plan de respuesta para interrumpir la transmisión en la Unidad Operativa de Intervención, de manera que la estrategia de Detección-Diagnóstico-Tratamiento-Investigación-Respuesta (DTI-R) se implemente de manera oportuna y con calidad desde el nivel local.</w:t>
      </w:r>
    </w:p>
    <w:p w14:paraId="47FD5885" w14:textId="77777777" w:rsidR="00A07E4F" w:rsidRPr="00A07E4F" w:rsidRDefault="00A07E4F" w:rsidP="00A07E4F">
      <w:pPr>
        <w:jc w:val="both"/>
        <w:rPr>
          <w:rFonts w:ascii="Arial" w:hAnsi="Arial" w:cs="Arial"/>
          <w:sz w:val="22"/>
          <w:szCs w:val="22"/>
        </w:rPr>
      </w:pPr>
    </w:p>
    <w:p w14:paraId="5D39CDF1"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Unidad Operativa de Intervención (UNOPI)</w:t>
      </w:r>
      <w:r w:rsidRPr="00A07E4F">
        <w:rPr>
          <w:rFonts w:ascii="Arial" w:hAnsi="Arial" w:cs="Arial"/>
          <w:sz w:val="22"/>
          <w:szCs w:val="22"/>
        </w:rPr>
        <w:t>.  Foco o conjunto de focos en proximidad geográfica, que comparten características relacionadas con la dinámica de transmisión de malaria (económicas, prestación de servicios, movilidad, entre otras), establecidas para organizar y operar la respuesta integral, con énfasis en diagnóstico y tratamiento, por los equipos locales de malaria.</w:t>
      </w:r>
    </w:p>
    <w:p w14:paraId="0D9E7869" w14:textId="77777777" w:rsidR="00A07E4F" w:rsidRPr="00A07E4F" w:rsidRDefault="00A07E4F" w:rsidP="00A07E4F">
      <w:pPr>
        <w:jc w:val="both"/>
        <w:rPr>
          <w:rFonts w:ascii="Arial" w:hAnsi="Arial" w:cs="Arial"/>
          <w:sz w:val="22"/>
          <w:szCs w:val="22"/>
        </w:rPr>
      </w:pPr>
    </w:p>
    <w:p w14:paraId="137E102A"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Equipos Locales de Malaria</w:t>
      </w:r>
      <w:r w:rsidRPr="00A07E4F">
        <w:rPr>
          <w:rFonts w:ascii="Arial" w:hAnsi="Arial" w:cs="Arial"/>
          <w:sz w:val="22"/>
          <w:szCs w:val="22"/>
        </w:rPr>
        <w:t>.  Conjunto de personas responsables de la respuesta integral, incluyendo la estrategia de DTI-R, en las Unidades Operativas de Intervención, conformados, al menos, por los responsables de la red de diagnóstico (puestos de microscopía o de Pruebas de Diagnóstico Rápido – PDR), técnicos operativos del Programa de Enfermedades Transmitidas por Vectores (ETV) y un supervisor.</w:t>
      </w:r>
    </w:p>
    <w:p w14:paraId="663EE1B0" w14:textId="77777777" w:rsidR="00A07E4F" w:rsidRPr="00A07E4F" w:rsidRDefault="00A07E4F" w:rsidP="00A07E4F">
      <w:pPr>
        <w:jc w:val="both"/>
        <w:rPr>
          <w:rFonts w:ascii="Arial" w:hAnsi="Arial" w:cs="Arial"/>
          <w:b/>
          <w:sz w:val="22"/>
          <w:szCs w:val="22"/>
        </w:rPr>
      </w:pPr>
    </w:p>
    <w:p w14:paraId="15651341"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Diagnóstico parasitológico.</w:t>
      </w:r>
      <w:r w:rsidRPr="00A07E4F">
        <w:rPr>
          <w:rFonts w:ascii="Arial" w:hAnsi="Arial" w:cs="Arial"/>
          <w:sz w:val="22"/>
          <w:szCs w:val="22"/>
        </w:rPr>
        <w:t xml:space="preserve"> El diagnóstico de </w:t>
      </w:r>
      <w:proofErr w:type="spellStart"/>
      <w:r w:rsidRPr="00A07E4F">
        <w:rPr>
          <w:rFonts w:ascii="Arial" w:hAnsi="Arial" w:cs="Arial"/>
          <w:sz w:val="22"/>
          <w:szCs w:val="22"/>
        </w:rPr>
        <w:t>hemoparásitos</w:t>
      </w:r>
      <w:proofErr w:type="spellEnd"/>
      <w:r w:rsidRPr="00A07E4F">
        <w:rPr>
          <w:rFonts w:ascii="Arial" w:hAnsi="Arial" w:cs="Arial"/>
          <w:sz w:val="22"/>
          <w:szCs w:val="22"/>
        </w:rPr>
        <w:t xml:space="preserve"> se hace por el laboratorio mediante visualización directa de la especie parasitaria infectante presente en sangre, por medio de examen microscópico de gota gruesa y extendido de sangre como método complementario.</w:t>
      </w:r>
    </w:p>
    <w:p w14:paraId="61A050D2" w14:textId="77777777" w:rsidR="00A07E4F" w:rsidRPr="00A07E4F" w:rsidRDefault="00A07E4F" w:rsidP="00A07E4F">
      <w:pPr>
        <w:jc w:val="both"/>
        <w:rPr>
          <w:rFonts w:ascii="Arial" w:hAnsi="Arial" w:cs="Arial"/>
          <w:sz w:val="22"/>
          <w:szCs w:val="22"/>
        </w:rPr>
      </w:pPr>
    </w:p>
    <w:p w14:paraId="5E496892"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Gota gruesa.</w:t>
      </w:r>
      <w:r w:rsidRPr="00A07E4F">
        <w:rPr>
          <w:rFonts w:ascii="Arial" w:hAnsi="Arial" w:cs="Arial"/>
          <w:sz w:val="22"/>
          <w:szCs w:val="22"/>
        </w:rPr>
        <w:t xml:space="preserve"> Examen de laboratorio para determinar microscópicamente la presencia de </w:t>
      </w:r>
      <w:proofErr w:type="spellStart"/>
      <w:r w:rsidRPr="00A07E4F">
        <w:rPr>
          <w:rFonts w:ascii="Arial" w:hAnsi="Arial" w:cs="Arial"/>
          <w:sz w:val="22"/>
          <w:szCs w:val="22"/>
        </w:rPr>
        <w:t>hemoparásitos</w:t>
      </w:r>
      <w:proofErr w:type="spellEnd"/>
      <w:r w:rsidRPr="00A07E4F">
        <w:rPr>
          <w:rFonts w:ascii="Arial" w:hAnsi="Arial" w:cs="Arial"/>
          <w:sz w:val="22"/>
          <w:szCs w:val="22"/>
        </w:rPr>
        <w:t xml:space="preserve"> en una muestra de sangre concentrada, la cual es coloreada con los derivados de </w:t>
      </w:r>
      <w:proofErr w:type="spellStart"/>
      <w:r w:rsidRPr="00A07E4F">
        <w:rPr>
          <w:rFonts w:ascii="Arial" w:hAnsi="Arial" w:cs="Arial"/>
          <w:sz w:val="22"/>
          <w:szCs w:val="22"/>
        </w:rPr>
        <w:t>Romanowsky</w:t>
      </w:r>
      <w:proofErr w:type="spellEnd"/>
      <w:r w:rsidRPr="00A07E4F">
        <w:rPr>
          <w:rFonts w:ascii="Arial" w:hAnsi="Arial" w:cs="Arial"/>
          <w:sz w:val="22"/>
          <w:szCs w:val="22"/>
        </w:rPr>
        <w:t xml:space="preserve"> y permite la identificación cualitativa y cuantitativa del parásito. La gota gruesa es el método de referencia para el diagnóstico de malaria.</w:t>
      </w:r>
    </w:p>
    <w:p w14:paraId="413D928A" w14:textId="77777777" w:rsidR="00A07E4F" w:rsidRPr="00A07E4F" w:rsidRDefault="00A07E4F" w:rsidP="00A07E4F">
      <w:pPr>
        <w:jc w:val="both"/>
        <w:rPr>
          <w:rFonts w:ascii="Arial" w:hAnsi="Arial" w:cs="Arial"/>
          <w:b/>
          <w:sz w:val="22"/>
          <w:szCs w:val="22"/>
        </w:rPr>
      </w:pPr>
    </w:p>
    <w:p w14:paraId="722B8861"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Extendido de sangre.</w:t>
      </w:r>
      <w:r w:rsidRPr="00A07E4F">
        <w:rPr>
          <w:rFonts w:ascii="Arial" w:hAnsi="Arial" w:cs="Arial"/>
          <w:sz w:val="22"/>
          <w:szCs w:val="22"/>
        </w:rPr>
        <w:t xml:space="preserve"> Película delgada de sangre que se fija en una lámina portaobjeto y que sirve como herramienta complementaria del diagnóstico realizado en la gota gruesa ya que permite la observación microscópica de la morfología globular y parasitaria intacta. Puede ser teñida con cualquier colorante derivado de </w:t>
      </w:r>
      <w:proofErr w:type="spellStart"/>
      <w:r w:rsidRPr="00A07E4F">
        <w:rPr>
          <w:rFonts w:ascii="Arial" w:hAnsi="Arial" w:cs="Arial"/>
          <w:sz w:val="22"/>
          <w:szCs w:val="22"/>
        </w:rPr>
        <w:t>Romanowsky</w:t>
      </w:r>
      <w:proofErr w:type="spellEnd"/>
      <w:r w:rsidRPr="00A07E4F">
        <w:rPr>
          <w:rFonts w:ascii="Arial" w:hAnsi="Arial" w:cs="Arial"/>
          <w:sz w:val="22"/>
          <w:szCs w:val="22"/>
        </w:rPr>
        <w:t>.</w:t>
      </w:r>
    </w:p>
    <w:p w14:paraId="0B1BDFB0" w14:textId="77777777" w:rsidR="00A07E4F" w:rsidRPr="00A07E4F" w:rsidRDefault="00A07E4F" w:rsidP="00A07E4F">
      <w:pPr>
        <w:jc w:val="both"/>
        <w:rPr>
          <w:rFonts w:ascii="Arial" w:hAnsi="Arial" w:cs="Arial"/>
          <w:sz w:val="22"/>
          <w:szCs w:val="22"/>
        </w:rPr>
      </w:pPr>
    </w:p>
    <w:p w14:paraId="47610C86" w14:textId="77777777" w:rsidR="00A07E4F" w:rsidRPr="00A07E4F" w:rsidRDefault="00A07E4F" w:rsidP="00A07E4F">
      <w:pPr>
        <w:jc w:val="both"/>
        <w:rPr>
          <w:rFonts w:ascii="Arial" w:hAnsi="Arial" w:cs="Arial"/>
          <w:sz w:val="22"/>
          <w:szCs w:val="22"/>
        </w:rPr>
      </w:pPr>
      <w:r w:rsidRPr="00A07E4F">
        <w:rPr>
          <w:rFonts w:ascii="Arial" w:hAnsi="Arial" w:cs="Arial"/>
          <w:b/>
          <w:sz w:val="22"/>
          <w:szCs w:val="22"/>
        </w:rPr>
        <w:t xml:space="preserve">Prueba rápida para malaria. </w:t>
      </w:r>
      <w:r w:rsidRPr="00A07E4F">
        <w:rPr>
          <w:rFonts w:ascii="Arial" w:hAnsi="Arial" w:cs="Arial"/>
          <w:sz w:val="22"/>
          <w:szCs w:val="22"/>
        </w:rPr>
        <w:t xml:space="preserve">Prueba </w:t>
      </w:r>
      <w:proofErr w:type="spellStart"/>
      <w:r w:rsidRPr="00A07E4F">
        <w:rPr>
          <w:rFonts w:ascii="Arial" w:hAnsi="Arial" w:cs="Arial"/>
          <w:sz w:val="22"/>
          <w:szCs w:val="22"/>
        </w:rPr>
        <w:t>inmunocromatográfica</w:t>
      </w:r>
      <w:proofErr w:type="spellEnd"/>
      <w:r w:rsidRPr="00A07E4F">
        <w:rPr>
          <w:rFonts w:ascii="Arial" w:hAnsi="Arial" w:cs="Arial"/>
          <w:sz w:val="22"/>
          <w:szCs w:val="22"/>
        </w:rPr>
        <w:t xml:space="preserve"> diseñada para el diagnóstico rápido de malaria, en la cual se detectan antígenos parasitarios específicos. La técnica utiliza anticuerpos monoclonales anclados a una membrana de nitrocelulosa, los cuales capturan el complejo específico antígeno-anticuerpo previamente formado.</w:t>
      </w:r>
    </w:p>
    <w:p w14:paraId="712A433F" w14:textId="77777777" w:rsidR="00A07E4F" w:rsidRPr="00A07E4F" w:rsidRDefault="00A07E4F" w:rsidP="00A07E4F">
      <w:pPr>
        <w:jc w:val="both"/>
        <w:rPr>
          <w:rFonts w:ascii="Arial" w:hAnsi="Arial" w:cs="Arial"/>
          <w:sz w:val="22"/>
          <w:szCs w:val="22"/>
          <w:lang w:val="es-PE"/>
        </w:rPr>
      </w:pPr>
      <w:r w:rsidRPr="00A07E4F">
        <w:rPr>
          <w:rFonts w:ascii="Arial" w:hAnsi="Arial" w:cs="Arial"/>
          <w:b/>
          <w:sz w:val="22"/>
          <w:szCs w:val="22"/>
          <w:lang w:val="es-CO"/>
        </w:rPr>
        <w:t xml:space="preserve">Mosquiteros Tratados con Insecticidas de larga Duración (TILD). </w:t>
      </w:r>
      <w:r w:rsidRPr="00A07E4F">
        <w:rPr>
          <w:rFonts w:ascii="Arial" w:hAnsi="Arial" w:cs="Arial"/>
          <w:bCs/>
          <w:sz w:val="22"/>
          <w:szCs w:val="22"/>
          <w:lang w:val="es-CO"/>
        </w:rPr>
        <w:t>M</w:t>
      </w:r>
      <w:r w:rsidRPr="00A07E4F">
        <w:rPr>
          <w:rFonts w:ascii="Arial" w:hAnsi="Arial" w:cs="Arial"/>
          <w:bCs/>
          <w:sz w:val="22"/>
          <w:szCs w:val="22"/>
          <w:lang w:val="es-PE"/>
        </w:rPr>
        <w:t>o</w:t>
      </w:r>
      <w:r w:rsidRPr="00A07E4F">
        <w:rPr>
          <w:rFonts w:ascii="Arial" w:hAnsi="Arial" w:cs="Arial"/>
          <w:sz w:val="22"/>
          <w:szCs w:val="22"/>
          <w:lang w:val="es-PE"/>
        </w:rPr>
        <w:t xml:space="preserve">squiteros que repelen, incapacitan y/o mata mosquitos que se ponen en contacto con el insecticida impregnado en la tela. </w:t>
      </w:r>
    </w:p>
    <w:p w14:paraId="7D62CE88" w14:textId="77777777" w:rsidR="00A07E4F" w:rsidRPr="00A07E4F" w:rsidRDefault="00A07E4F" w:rsidP="00A07E4F">
      <w:pPr>
        <w:jc w:val="both"/>
        <w:rPr>
          <w:rFonts w:ascii="Arial" w:hAnsi="Arial" w:cs="Arial"/>
          <w:sz w:val="22"/>
          <w:szCs w:val="22"/>
          <w:lang w:val="es-PE"/>
        </w:rPr>
      </w:pPr>
    </w:p>
    <w:p w14:paraId="529A20FB" w14:textId="77777777" w:rsidR="00A07E4F" w:rsidRPr="00A07E4F" w:rsidRDefault="00A07E4F" w:rsidP="00A07E4F">
      <w:pPr>
        <w:jc w:val="both"/>
        <w:rPr>
          <w:rFonts w:ascii="Arial" w:hAnsi="Arial" w:cs="Arial"/>
          <w:color w:val="000000" w:themeColor="text1"/>
          <w:sz w:val="22"/>
          <w:szCs w:val="22"/>
        </w:rPr>
      </w:pPr>
      <w:r w:rsidRPr="00A07E4F">
        <w:rPr>
          <w:rFonts w:ascii="Arial" w:hAnsi="Arial" w:cs="Arial"/>
          <w:b/>
          <w:sz w:val="22"/>
          <w:szCs w:val="22"/>
        </w:rPr>
        <w:t xml:space="preserve">Pruebas biológicas de Resistencia a </w:t>
      </w:r>
      <w:proofErr w:type="spellStart"/>
      <w:r w:rsidRPr="00A07E4F">
        <w:rPr>
          <w:rFonts w:ascii="Arial" w:hAnsi="Arial" w:cs="Arial"/>
          <w:b/>
          <w:sz w:val="22"/>
          <w:szCs w:val="22"/>
        </w:rPr>
        <w:t>Insectidas</w:t>
      </w:r>
      <w:proofErr w:type="spellEnd"/>
      <w:r w:rsidRPr="00A07E4F">
        <w:rPr>
          <w:rFonts w:ascii="Arial" w:hAnsi="Arial" w:cs="Arial"/>
          <w:b/>
          <w:sz w:val="22"/>
          <w:szCs w:val="22"/>
        </w:rPr>
        <w:t xml:space="preserve">. </w:t>
      </w:r>
      <w:r w:rsidRPr="00A07E4F">
        <w:rPr>
          <w:rFonts w:ascii="Arial" w:hAnsi="Arial" w:cs="Arial"/>
          <w:bCs/>
          <w:sz w:val="22"/>
          <w:szCs w:val="22"/>
        </w:rPr>
        <w:t>Consisten en exponer</w:t>
      </w:r>
      <w:r w:rsidRPr="00A07E4F">
        <w:rPr>
          <w:rFonts w:ascii="Arial" w:hAnsi="Arial" w:cs="Arial"/>
          <w:b/>
          <w:sz w:val="22"/>
          <w:szCs w:val="22"/>
        </w:rPr>
        <w:t xml:space="preserve"> </w:t>
      </w:r>
      <w:r w:rsidRPr="00A07E4F">
        <w:rPr>
          <w:rFonts w:ascii="Arial" w:hAnsi="Arial" w:cs="Arial"/>
          <w:color w:val="000000" w:themeColor="text1"/>
          <w:sz w:val="22"/>
          <w:szCs w:val="22"/>
        </w:rPr>
        <w:t>muestras de insectos de una población silvestre a una matriz impregnada con una concentración fija de insecticida, la cual puede ser papel de filtro de acuerdo a metodología OMS o el interior de una botella de vidrio, para la metodología  CDC. La proporción de individuos sobrevivientes a la concentración y tiempo predeterminados, es considerada como resistente.</w:t>
      </w:r>
    </w:p>
    <w:p w14:paraId="7DF01479" w14:textId="77777777" w:rsidR="00A07E4F" w:rsidRPr="00A07E4F" w:rsidRDefault="00A07E4F" w:rsidP="00A07E4F">
      <w:pPr>
        <w:jc w:val="both"/>
        <w:rPr>
          <w:rFonts w:ascii="Arial" w:hAnsi="Arial" w:cs="Arial"/>
          <w:b/>
          <w:sz w:val="22"/>
          <w:szCs w:val="22"/>
        </w:rPr>
      </w:pPr>
    </w:p>
    <w:p w14:paraId="7E4E573F" w14:textId="77777777" w:rsidR="00A07E4F" w:rsidRPr="00A07E4F" w:rsidRDefault="00A07E4F" w:rsidP="00A07E4F">
      <w:pPr>
        <w:autoSpaceDE w:val="0"/>
        <w:autoSpaceDN w:val="0"/>
        <w:adjustRightInd w:val="0"/>
        <w:jc w:val="both"/>
        <w:rPr>
          <w:rFonts w:ascii="Arial" w:hAnsi="Arial" w:cs="Arial"/>
          <w:iCs/>
          <w:sz w:val="22"/>
          <w:szCs w:val="22"/>
          <w:lang w:val="es-CO"/>
        </w:rPr>
      </w:pPr>
      <w:r w:rsidRPr="00A07E4F">
        <w:rPr>
          <w:rFonts w:ascii="Arial" w:hAnsi="Arial" w:cs="Arial"/>
          <w:b/>
          <w:sz w:val="22"/>
          <w:szCs w:val="22"/>
        </w:rPr>
        <w:t xml:space="preserve">Pruebas biológicas de conos para medir </w:t>
      </w:r>
      <w:proofErr w:type="spellStart"/>
      <w:r w:rsidRPr="00A07E4F">
        <w:rPr>
          <w:rFonts w:ascii="Arial" w:hAnsi="Arial" w:cs="Arial"/>
          <w:b/>
          <w:sz w:val="22"/>
          <w:szCs w:val="22"/>
        </w:rPr>
        <w:t>residualidad</w:t>
      </w:r>
      <w:proofErr w:type="spellEnd"/>
      <w:r w:rsidRPr="00A07E4F">
        <w:rPr>
          <w:rFonts w:ascii="Arial" w:hAnsi="Arial" w:cs="Arial"/>
          <w:b/>
          <w:sz w:val="22"/>
          <w:szCs w:val="22"/>
        </w:rPr>
        <w:t xml:space="preserve">. </w:t>
      </w:r>
      <w:r w:rsidRPr="00A07E4F">
        <w:rPr>
          <w:rFonts w:ascii="Arial" w:hAnsi="Arial" w:cs="Arial"/>
          <w:bCs/>
          <w:sz w:val="22"/>
          <w:szCs w:val="22"/>
        </w:rPr>
        <w:t xml:space="preserve">Consisten en introducir   una muestra de hembras de mosquitos en un cono plástico transparente, cuya base es la </w:t>
      </w:r>
      <w:r w:rsidRPr="00A07E4F">
        <w:rPr>
          <w:rFonts w:ascii="Arial" w:hAnsi="Arial" w:cs="Arial"/>
          <w:bCs/>
          <w:sz w:val="22"/>
          <w:szCs w:val="22"/>
        </w:rPr>
        <w:lastRenderedPageBreak/>
        <w:t>superficie tratada. El tiempo de exposición es de tres minutos y la lectura de</w:t>
      </w:r>
      <w:r w:rsidRPr="00A07E4F">
        <w:rPr>
          <w:rFonts w:ascii="Arial" w:hAnsi="Arial" w:cs="Arial"/>
          <w:bCs/>
          <w:iCs/>
          <w:sz w:val="22"/>
          <w:szCs w:val="22"/>
          <w:lang w:val="es-CO"/>
        </w:rPr>
        <w:t xml:space="preserve"> mortalidad se realiza a las 24 horas post exposición</w:t>
      </w:r>
      <w:r w:rsidRPr="00A07E4F">
        <w:rPr>
          <w:rFonts w:ascii="Arial" w:hAnsi="Arial" w:cs="Arial"/>
          <w:iCs/>
          <w:sz w:val="22"/>
          <w:szCs w:val="22"/>
          <w:lang w:val="es-CO"/>
        </w:rPr>
        <w:t>.</w:t>
      </w:r>
    </w:p>
    <w:p w14:paraId="1E75FE4E" w14:textId="77777777" w:rsidR="00A07E4F" w:rsidRPr="00A07E4F" w:rsidRDefault="00A07E4F" w:rsidP="00A07E4F">
      <w:pPr>
        <w:jc w:val="both"/>
        <w:rPr>
          <w:rFonts w:ascii="Arial" w:hAnsi="Arial" w:cs="Arial"/>
          <w:b/>
          <w:sz w:val="22"/>
          <w:szCs w:val="22"/>
          <w:lang w:val="es-CO"/>
        </w:rPr>
      </w:pPr>
    </w:p>
    <w:p w14:paraId="2FA9B7E6" w14:textId="413AF440" w:rsidR="00A07E4F" w:rsidRPr="00A07E4F" w:rsidRDefault="00A07E4F" w:rsidP="00A07E4F">
      <w:pPr>
        <w:jc w:val="both"/>
        <w:rPr>
          <w:rFonts w:ascii="Arial" w:hAnsi="Arial" w:cs="Arial"/>
          <w:sz w:val="22"/>
          <w:szCs w:val="22"/>
        </w:rPr>
      </w:pPr>
      <w:r w:rsidRPr="00A07E4F">
        <w:rPr>
          <w:rFonts w:ascii="Arial" w:hAnsi="Arial" w:cs="Arial"/>
          <w:b/>
          <w:sz w:val="22"/>
          <w:szCs w:val="22"/>
        </w:rPr>
        <w:t>Recuento parasitario</w:t>
      </w:r>
      <w:r w:rsidRPr="00A07E4F">
        <w:rPr>
          <w:rFonts w:ascii="Arial" w:hAnsi="Arial" w:cs="Arial"/>
          <w:sz w:val="22"/>
          <w:szCs w:val="22"/>
        </w:rPr>
        <w:t>: estimación del número de parásitos/µl realizada en la gota gruesa y extendido de sangre periférica para el reporte de resultados específicamente del diagnóstico de malaria.</w:t>
      </w:r>
    </w:p>
    <w:p w14:paraId="0DB921C1" w14:textId="77777777" w:rsidR="00A07E4F" w:rsidRPr="00A07E4F" w:rsidRDefault="00A07E4F" w:rsidP="00A07E4F">
      <w:pPr>
        <w:jc w:val="both"/>
        <w:rPr>
          <w:rFonts w:ascii="Arial" w:hAnsi="Arial" w:cs="Arial"/>
          <w:sz w:val="22"/>
          <w:szCs w:val="22"/>
        </w:rPr>
      </w:pPr>
    </w:p>
    <w:p w14:paraId="1D00C9EC" w14:textId="3C5CFE74" w:rsidR="00A07E4F" w:rsidRPr="00A07E4F" w:rsidRDefault="00A07E4F" w:rsidP="00A07E4F">
      <w:pPr>
        <w:jc w:val="both"/>
        <w:rPr>
          <w:rFonts w:ascii="Arial" w:hAnsi="Arial" w:cs="Arial"/>
          <w:sz w:val="22"/>
          <w:szCs w:val="22"/>
        </w:rPr>
      </w:pPr>
      <w:proofErr w:type="spellStart"/>
      <w:r w:rsidRPr="00A07E4F">
        <w:rPr>
          <w:rFonts w:ascii="Arial" w:hAnsi="Arial" w:cs="Arial"/>
          <w:b/>
          <w:sz w:val="22"/>
          <w:szCs w:val="22"/>
        </w:rPr>
        <w:t>Residualidad</w:t>
      </w:r>
      <w:proofErr w:type="spellEnd"/>
      <w:r w:rsidRPr="00A07E4F">
        <w:rPr>
          <w:rFonts w:ascii="Arial" w:hAnsi="Arial" w:cs="Arial"/>
          <w:b/>
          <w:sz w:val="22"/>
          <w:szCs w:val="22"/>
        </w:rPr>
        <w:t xml:space="preserve">. </w:t>
      </w:r>
      <w:r w:rsidRPr="00A07E4F">
        <w:rPr>
          <w:rFonts w:ascii="Arial" w:hAnsi="Arial" w:cs="Arial"/>
          <w:bCs/>
          <w:sz w:val="22"/>
          <w:szCs w:val="22"/>
        </w:rPr>
        <w:t>P</w:t>
      </w:r>
      <w:r w:rsidRPr="00A07E4F">
        <w:rPr>
          <w:rFonts w:ascii="Arial" w:hAnsi="Arial" w:cs="Arial"/>
          <w:sz w:val="22"/>
          <w:szCs w:val="22"/>
        </w:rPr>
        <w:t>ersistencia o permanencia del insecticida (eficacia) en una superficie, que puede ser una pared o mosquitero.</w:t>
      </w:r>
    </w:p>
    <w:p w14:paraId="424F34A2" w14:textId="77777777" w:rsidR="00A07E4F" w:rsidRPr="00A07E4F" w:rsidRDefault="00A07E4F" w:rsidP="00A07E4F">
      <w:pPr>
        <w:jc w:val="both"/>
        <w:rPr>
          <w:rFonts w:ascii="Arial" w:hAnsi="Arial" w:cs="Arial"/>
          <w:sz w:val="22"/>
          <w:szCs w:val="22"/>
        </w:rPr>
      </w:pPr>
    </w:p>
    <w:p w14:paraId="73A2F2C8" w14:textId="77777777" w:rsidR="00A07E4F" w:rsidRPr="00A07E4F" w:rsidRDefault="00A07E4F" w:rsidP="00A07E4F">
      <w:pPr>
        <w:spacing w:after="60"/>
        <w:jc w:val="both"/>
        <w:rPr>
          <w:rFonts w:ascii="Arial" w:hAnsi="Arial" w:cs="Arial"/>
          <w:i/>
          <w:sz w:val="22"/>
          <w:szCs w:val="22"/>
        </w:rPr>
      </w:pPr>
      <w:r w:rsidRPr="00A07E4F">
        <w:rPr>
          <w:rFonts w:ascii="Arial" w:hAnsi="Arial" w:cs="Arial"/>
          <w:b/>
          <w:bCs/>
          <w:sz w:val="22"/>
          <w:szCs w:val="22"/>
        </w:rPr>
        <w:t xml:space="preserve">Resistencia a insecticidas. </w:t>
      </w:r>
      <w:r w:rsidRPr="00A07E4F">
        <w:rPr>
          <w:rFonts w:ascii="Arial" w:hAnsi="Arial" w:cs="Arial"/>
          <w:bCs/>
          <w:sz w:val="22"/>
          <w:szCs w:val="22"/>
        </w:rPr>
        <w:t>Capacidad que tiene una población de mosquitos de sobrevivir a la exposición de una determinada concentración o dosis de insecticida capaz de eliminar el 100% de una población de referencia susceptible.</w:t>
      </w:r>
    </w:p>
    <w:p w14:paraId="4D48CAE2" w14:textId="77777777" w:rsidR="00A07E4F" w:rsidRPr="00A07E4F" w:rsidRDefault="00A07E4F" w:rsidP="00A07E4F">
      <w:pPr>
        <w:jc w:val="both"/>
        <w:rPr>
          <w:rFonts w:ascii="Arial" w:hAnsi="Arial" w:cs="Arial"/>
          <w:sz w:val="22"/>
          <w:szCs w:val="22"/>
        </w:rPr>
      </w:pPr>
    </w:p>
    <w:p w14:paraId="7C9C0D0D" w14:textId="77777777" w:rsidR="00A07E4F" w:rsidRPr="00A07E4F" w:rsidRDefault="00A07E4F" w:rsidP="00A07E4F">
      <w:pPr>
        <w:jc w:val="both"/>
        <w:rPr>
          <w:rFonts w:ascii="Arial" w:hAnsi="Arial" w:cs="Arial"/>
          <w:b/>
          <w:sz w:val="22"/>
          <w:szCs w:val="22"/>
          <w:lang w:val="es-CO"/>
        </w:rPr>
      </w:pPr>
      <w:r w:rsidRPr="00A07E4F">
        <w:rPr>
          <w:rFonts w:ascii="Arial" w:hAnsi="Arial" w:cs="Arial"/>
          <w:b/>
          <w:bCs/>
          <w:sz w:val="22"/>
          <w:szCs w:val="22"/>
        </w:rPr>
        <w:t xml:space="preserve">Vector de malaria. </w:t>
      </w:r>
      <w:r w:rsidRPr="00A07E4F">
        <w:rPr>
          <w:rFonts w:ascii="Arial" w:hAnsi="Arial" w:cs="Arial"/>
          <w:sz w:val="22"/>
          <w:szCs w:val="22"/>
          <w:lang w:val="es-CO"/>
        </w:rPr>
        <w:t xml:space="preserve">Hembra adulta de mosquito, perteneciente al género </w:t>
      </w:r>
      <w:r w:rsidRPr="00A07E4F">
        <w:rPr>
          <w:rFonts w:ascii="Arial" w:hAnsi="Arial" w:cs="Arial"/>
          <w:i/>
          <w:sz w:val="22"/>
          <w:szCs w:val="22"/>
          <w:lang w:val="es-CO"/>
        </w:rPr>
        <w:t xml:space="preserve">Anopheles, </w:t>
      </w:r>
      <w:r w:rsidRPr="00A07E4F">
        <w:rPr>
          <w:rFonts w:ascii="Arial" w:hAnsi="Arial" w:cs="Arial"/>
          <w:iCs/>
          <w:sz w:val="22"/>
          <w:szCs w:val="22"/>
          <w:lang w:val="es-CO"/>
        </w:rPr>
        <w:t xml:space="preserve">la cual se alimenta </w:t>
      </w:r>
      <w:r w:rsidRPr="00A07E4F">
        <w:rPr>
          <w:rFonts w:ascii="Arial" w:hAnsi="Arial" w:cs="Arial"/>
          <w:sz w:val="22"/>
          <w:szCs w:val="22"/>
          <w:lang w:val="es-CO"/>
        </w:rPr>
        <w:t xml:space="preserve">de </w:t>
      </w:r>
      <w:r w:rsidRPr="00A07E4F">
        <w:rPr>
          <w:rFonts w:ascii="Arial" w:hAnsi="Arial" w:cs="Arial"/>
          <w:sz w:val="22"/>
          <w:szCs w:val="22"/>
        </w:rPr>
        <w:t>la sangre de la persona enferma y</w:t>
      </w:r>
      <w:r w:rsidRPr="00A07E4F">
        <w:rPr>
          <w:rFonts w:ascii="Arial" w:hAnsi="Arial" w:cs="Arial"/>
          <w:sz w:val="22"/>
          <w:szCs w:val="22"/>
          <w:lang w:val="es-CO"/>
        </w:rPr>
        <w:t xml:space="preserve"> posteriormente al picar a otro humano, transmite el parásito a través de la saliva </w:t>
      </w:r>
    </w:p>
    <w:p w14:paraId="09AD9A78" w14:textId="77777777" w:rsidR="00A07E4F" w:rsidRPr="00A07E4F" w:rsidRDefault="00A07E4F" w:rsidP="00A07E4F">
      <w:pPr>
        <w:jc w:val="both"/>
        <w:rPr>
          <w:rFonts w:ascii="Arial" w:hAnsi="Arial" w:cs="Arial"/>
          <w:b/>
          <w:bCs/>
          <w:sz w:val="22"/>
          <w:szCs w:val="22"/>
          <w:lang w:val="es-CO"/>
        </w:rPr>
      </w:pPr>
    </w:p>
    <w:p w14:paraId="640BB30D" w14:textId="77777777" w:rsidR="00A07E4F" w:rsidRPr="00A07E4F" w:rsidRDefault="00A07E4F" w:rsidP="00A07E4F">
      <w:pPr>
        <w:jc w:val="both"/>
        <w:rPr>
          <w:rFonts w:ascii="Arial" w:hAnsi="Arial" w:cs="Arial"/>
          <w:color w:val="000000" w:themeColor="text1"/>
          <w:sz w:val="22"/>
          <w:szCs w:val="22"/>
        </w:rPr>
      </w:pPr>
      <w:r w:rsidRPr="00A07E4F">
        <w:rPr>
          <w:rFonts w:ascii="Arial" w:hAnsi="Arial" w:cs="Arial"/>
          <w:b/>
          <w:bCs/>
          <w:sz w:val="22"/>
          <w:szCs w:val="22"/>
        </w:rPr>
        <w:t xml:space="preserve">Vigilancia Entomológica de Malaria. </w:t>
      </w:r>
      <w:r w:rsidRPr="00A07E4F">
        <w:rPr>
          <w:rFonts w:ascii="Arial" w:hAnsi="Arial" w:cs="Arial"/>
          <w:color w:val="000000" w:themeColor="text1"/>
          <w:sz w:val="22"/>
          <w:szCs w:val="22"/>
        </w:rPr>
        <w:t>proceso continuo de recolección, tabulación, análisis e interpretación de la información sobre algunos aspectos de la biología y bionomía de los vectores de la enfermedad en los focos priorizados, para orientar la selección de intervenciones, evaluar su impacto e inferir los resultados en focos con características similares.</w:t>
      </w:r>
    </w:p>
    <w:p w14:paraId="2FE0E22D" w14:textId="77777777" w:rsidR="00A07E4F" w:rsidRPr="00A07E4F" w:rsidRDefault="00A07E4F" w:rsidP="00A07E4F">
      <w:pPr>
        <w:jc w:val="both"/>
        <w:rPr>
          <w:rFonts w:ascii="Arial" w:hAnsi="Arial" w:cs="Arial"/>
          <w:b/>
          <w:sz w:val="22"/>
          <w:szCs w:val="22"/>
          <w:lang w:val="es-CO"/>
        </w:rPr>
      </w:pPr>
    </w:p>
    <w:p w14:paraId="615193C4" w14:textId="77777777" w:rsidR="00A07E4F" w:rsidRPr="00A07E4F" w:rsidRDefault="00A07E4F" w:rsidP="00A07E4F">
      <w:pPr>
        <w:jc w:val="both"/>
        <w:rPr>
          <w:rFonts w:ascii="Arial" w:hAnsi="Arial" w:cs="Arial"/>
          <w:bCs/>
          <w:sz w:val="22"/>
          <w:szCs w:val="22"/>
          <w:lang w:val="es-CO"/>
        </w:rPr>
      </w:pPr>
      <w:r w:rsidRPr="00A07E4F">
        <w:rPr>
          <w:rFonts w:ascii="Arial" w:hAnsi="Arial" w:cs="Arial"/>
          <w:b/>
          <w:sz w:val="22"/>
          <w:szCs w:val="22"/>
          <w:lang w:val="es-CO"/>
        </w:rPr>
        <w:t xml:space="preserve">Vigilancia en salud pública. </w:t>
      </w:r>
      <w:r w:rsidRPr="00A07E4F">
        <w:rPr>
          <w:rFonts w:ascii="Arial" w:hAnsi="Arial" w:cs="Arial"/>
          <w:bCs/>
          <w:sz w:val="22"/>
          <w:szCs w:val="22"/>
          <w:lang w:val="es-CO"/>
        </w:rPr>
        <w:t xml:space="preserve">Conjunto de procesos sistemáticos y continuos que consisten en la recolección, análisis, interpretación y divulgación de datos y análisis que orientan la toma de decisiones en el marco del control, eliminación o erradicación de cualquier evento de interés en salud pública. </w:t>
      </w:r>
    </w:p>
    <w:p w14:paraId="119EA19E" w14:textId="77777777" w:rsidR="00A07E4F" w:rsidRPr="00A07E4F" w:rsidRDefault="00A07E4F" w:rsidP="00A07E4F">
      <w:pPr>
        <w:adjustRightInd w:val="0"/>
        <w:jc w:val="both"/>
        <w:rPr>
          <w:rFonts w:ascii="Arial" w:hAnsi="Arial" w:cs="Arial"/>
          <w:b/>
          <w:sz w:val="22"/>
          <w:szCs w:val="22"/>
          <w:lang w:val="es-CO"/>
        </w:rPr>
      </w:pPr>
    </w:p>
    <w:p w14:paraId="0DAAF4F5" w14:textId="77777777" w:rsidR="00A07E4F" w:rsidRDefault="00A07E4F" w:rsidP="00A07E4F">
      <w:pPr>
        <w:adjustRightInd w:val="0"/>
        <w:jc w:val="both"/>
        <w:rPr>
          <w:rFonts w:ascii="Arial" w:hAnsi="Arial" w:cs="Arial"/>
          <w:sz w:val="20"/>
          <w:szCs w:val="20"/>
          <w:lang w:val="es-PE"/>
        </w:rPr>
      </w:pPr>
    </w:p>
    <w:p w14:paraId="72840436" w14:textId="77777777" w:rsidR="00A07E4F" w:rsidRPr="00BE56D9" w:rsidRDefault="00A07E4F" w:rsidP="00A07E4F">
      <w:pPr>
        <w:pStyle w:val="Prrafodelista"/>
        <w:spacing w:after="60"/>
        <w:ind w:left="142"/>
        <w:rPr>
          <w:rFonts w:ascii="Arial" w:hAnsi="Arial" w:cs="Arial"/>
          <w:b/>
          <w:i/>
        </w:rPr>
      </w:pPr>
    </w:p>
    <w:p w14:paraId="4DA28813" w14:textId="77777777" w:rsidR="00A07E4F" w:rsidRPr="00BE56D9" w:rsidRDefault="00A07E4F" w:rsidP="00A07E4F">
      <w:pPr>
        <w:adjustRightInd w:val="0"/>
        <w:jc w:val="both"/>
        <w:rPr>
          <w:rFonts w:ascii="Arial" w:hAnsi="Arial" w:cs="Arial"/>
          <w:sz w:val="20"/>
          <w:szCs w:val="20"/>
        </w:rPr>
      </w:pPr>
    </w:p>
    <w:p w14:paraId="6F4B0F80" w14:textId="77777777" w:rsidR="00A07E4F" w:rsidRPr="00BE56D9" w:rsidRDefault="00A07E4F" w:rsidP="00A07E4F">
      <w:pPr>
        <w:ind w:left="708"/>
        <w:jc w:val="both"/>
        <w:rPr>
          <w:rFonts w:ascii="Arial" w:hAnsi="Arial" w:cs="Arial"/>
        </w:rPr>
      </w:pPr>
    </w:p>
    <w:p w14:paraId="2D9E9018" w14:textId="77777777" w:rsidR="00A07E4F" w:rsidRDefault="00A07E4F" w:rsidP="00A07E4F"/>
    <w:p w14:paraId="7B5C74D9" w14:textId="77777777" w:rsidR="00A07E4F" w:rsidRPr="00AB11D6" w:rsidRDefault="00A07E4F" w:rsidP="00AB11D6">
      <w:pPr>
        <w:spacing w:before="100" w:beforeAutospacing="1" w:after="100" w:afterAutospacing="1"/>
        <w:jc w:val="both"/>
        <w:rPr>
          <w:rFonts w:ascii="Times New Roman" w:eastAsia="Times New Roman" w:hAnsi="Times New Roman" w:cs="Times New Roman"/>
          <w:lang w:val="es-CO" w:eastAsia="es-ES_tradnl"/>
        </w:rPr>
      </w:pPr>
    </w:p>
    <w:p w14:paraId="58C31C49" w14:textId="1B67EB32" w:rsidR="00AB11D6" w:rsidRPr="00AB11D6" w:rsidRDefault="00AB11D6" w:rsidP="00AB11D6">
      <w:pPr>
        <w:rPr>
          <w:rFonts w:ascii="Times New Roman" w:eastAsia="Times New Roman" w:hAnsi="Times New Roman" w:cs="Times New Roman"/>
          <w:lang w:val="es-CO" w:eastAsia="es-ES_tradnl"/>
        </w:rPr>
      </w:pPr>
      <w:r w:rsidRPr="00AB11D6">
        <w:rPr>
          <w:rFonts w:ascii="Times New Roman" w:eastAsia="Times New Roman" w:hAnsi="Times New Roman" w:cs="Times New Roman"/>
          <w:lang w:val="es-CO" w:eastAsia="es-ES_tradnl"/>
        </w:rPr>
        <w:fldChar w:fldCharType="begin"/>
      </w:r>
      <w:r w:rsidRPr="00AB11D6">
        <w:rPr>
          <w:rFonts w:ascii="Times New Roman" w:eastAsia="Times New Roman" w:hAnsi="Times New Roman" w:cs="Times New Roman"/>
          <w:lang w:val="es-CO" w:eastAsia="es-ES_tradnl"/>
        </w:rPr>
        <w:instrText xml:space="preserve"> INCLUDEPICTURE "/var/folders/0p/zgq3c7yx5874gk66kbn24kk80000gn/T/com.microsoft.Word/WebArchiveCopyPasteTempFiles/page18image51622464" \* MERGEFORMATINET </w:instrText>
      </w:r>
      <w:r w:rsidRPr="00AB11D6">
        <w:rPr>
          <w:rFonts w:ascii="Times New Roman" w:eastAsia="Times New Roman" w:hAnsi="Times New Roman" w:cs="Times New Roman"/>
          <w:lang w:val="es-CO" w:eastAsia="es-ES_tradnl"/>
        </w:rPr>
        <w:fldChar w:fldCharType="separate"/>
      </w:r>
      <w:r w:rsidRPr="00AB11D6">
        <w:rPr>
          <w:rFonts w:ascii="Times New Roman" w:eastAsia="Times New Roman" w:hAnsi="Times New Roman" w:cs="Times New Roman"/>
          <w:noProof/>
          <w:lang w:val="es-CO" w:eastAsia="es-ES_tradnl"/>
        </w:rPr>
        <w:drawing>
          <wp:inline distT="0" distB="0" distL="0" distR="0" wp14:anchorId="3947D9DB" wp14:editId="18915B4A">
            <wp:extent cx="5472430" cy="154940"/>
            <wp:effectExtent l="0" t="0" r="1270" b="0"/>
            <wp:docPr id="1" name="Imagen 1" descr="page18image5162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8image516224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2430" cy="154940"/>
                    </a:xfrm>
                    <a:prstGeom prst="rect">
                      <a:avLst/>
                    </a:prstGeom>
                    <a:noFill/>
                    <a:ln>
                      <a:noFill/>
                    </a:ln>
                  </pic:spPr>
                </pic:pic>
              </a:graphicData>
            </a:graphic>
          </wp:inline>
        </w:drawing>
      </w:r>
      <w:r w:rsidRPr="00AB11D6">
        <w:rPr>
          <w:rFonts w:ascii="Times New Roman" w:eastAsia="Times New Roman" w:hAnsi="Times New Roman" w:cs="Times New Roman"/>
          <w:lang w:val="es-CO" w:eastAsia="es-ES_tradnl"/>
        </w:rPr>
        <w:fldChar w:fldCharType="end"/>
      </w:r>
    </w:p>
    <w:p w14:paraId="776C976F" w14:textId="77777777" w:rsidR="008D5C75" w:rsidRDefault="008D5C75"/>
    <w:sectPr w:rsidR="008D5C75" w:rsidSect="004245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D771F" w14:textId="77777777" w:rsidR="00132344" w:rsidRDefault="00132344" w:rsidP="00A07E4F">
      <w:r>
        <w:separator/>
      </w:r>
    </w:p>
  </w:endnote>
  <w:endnote w:type="continuationSeparator" w:id="0">
    <w:p w14:paraId="0049B6E7" w14:textId="77777777" w:rsidR="00132344" w:rsidRDefault="00132344" w:rsidP="00A0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95060" w14:textId="77777777" w:rsidR="00132344" w:rsidRDefault="00132344" w:rsidP="00A07E4F">
      <w:r>
        <w:separator/>
      </w:r>
    </w:p>
  </w:footnote>
  <w:footnote w:type="continuationSeparator" w:id="0">
    <w:p w14:paraId="3C6BD4DE" w14:textId="77777777" w:rsidR="00132344" w:rsidRDefault="00132344" w:rsidP="00A07E4F">
      <w:r>
        <w:continuationSeparator/>
      </w:r>
    </w:p>
  </w:footnote>
  <w:footnote w:id="1">
    <w:p w14:paraId="336C32E6" w14:textId="77777777" w:rsidR="00A07E4F" w:rsidRPr="006D70BB" w:rsidRDefault="00A07E4F" w:rsidP="00A07E4F">
      <w:pPr>
        <w:pStyle w:val="Textonotapie"/>
        <w:rPr>
          <w:sz w:val="18"/>
          <w:szCs w:val="18"/>
          <w:lang w:val="en-US"/>
        </w:rPr>
      </w:pPr>
    </w:p>
  </w:footnote>
  <w:footnote w:id="2">
    <w:p w14:paraId="58E96477" w14:textId="28726605" w:rsidR="00A07E4F" w:rsidRPr="006D70BB" w:rsidRDefault="00A07E4F" w:rsidP="00A07E4F">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C4A28"/>
    <w:multiLevelType w:val="hybridMultilevel"/>
    <w:tmpl w:val="2B722D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D6"/>
    <w:rsid w:val="00132344"/>
    <w:rsid w:val="003721F7"/>
    <w:rsid w:val="00424542"/>
    <w:rsid w:val="008D5C75"/>
    <w:rsid w:val="00A07E4F"/>
    <w:rsid w:val="00AB11D6"/>
    <w:rsid w:val="00C227AE"/>
    <w:rsid w:val="00DC71CE"/>
    <w:rsid w:val="00EE46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0E2B610"/>
  <w15:chartTrackingRefBased/>
  <w15:docId w15:val="{F78C9711-B27C-2942-9A20-6D0A4C10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11D6"/>
    <w:pPr>
      <w:spacing w:before="100" w:beforeAutospacing="1" w:after="100" w:afterAutospacing="1"/>
    </w:pPr>
    <w:rPr>
      <w:rFonts w:ascii="Times New Roman" w:eastAsia="Times New Roman" w:hAnsi="Times New Roman" w:cs="Times New Roman"/>
      <w:lang w:val="es-CO" w:eastAsia="es-ES_tradnl"/>
    </w:rPr>
  </w:style>
  <w:style w:type="paragraph" w:styleId="Textonotapie">
    <w:name w:val="footnote text"/>
    <w:aliases w:val="ft,single space,footnote text,Footnote Text Char Char Char Char Char Char Char Char Char Char,Footnote Text Char Char Char Char Char Char Char Char Char Char Char Char,Footnote Text2,ft2,FA Fu,Footnote Text Char Char Char Char Char,Car1,f"/>
    <w:basedOn w:val="Normal"/>
    <w:link w:val="TextonotapieCar"/>
    <w:uiPriority w:val="99"/>
    <w:unhideWhenUsed/>
    <w:qFormat/>
    <w:rsid w:val="00A07E4F"/>
    <w:pPr>
      <w:spacing w:before="120" w:after="120"/>
    </w:pPr>
    <w:rPr>
      <w:rFonts w:ascii="Calibri" w:eastAsia="Calibri" w:hAnsi="Calibri" w:cs="Times New Roman"/>
      <w:sz w:val="20"/>
      <w:szCs w:val="20"/>
      <w:lang w:val="es-ES"/>
    </w:rPr>
  </w:style>
  <w:style w:type="character" w:customStyle="1" w:styleId="TextonotapieCar">
    <w:name w:val="Texto nota pie Car"/>
    <w:aliases w:val="ft Car,single space Car,footnote text Car,Footnote Text Char Char Char Char Char Char Char Char Char Char Car,Footnote Text Char Char Char Char Char Char Char Char Char Char Char Char Car,Footnote Text2 Car,ft2 Car,FA Fu Car,Car1 Car"/>
    <w:basedOn w:val="Fuentedeprrafopredeter"/>
    <w:link w:val="Textonotapie"/>
    <w:uiPriority w:val="99"/>
    <w:rsid w:val="00A07E4F"/>
    <w:rPr>
      <w:rFonts w:ascii="Calibri" w:eastAsia="Calibri" w:hAnsi="Calibri" w:cs="Times New Roman"/>
      <w:sz w:val="20"/>
      <w:szCs w:val="20"/>
      <w:lang w:val="es-ES"/>
    </w:rPr>
  </w:style>
  <w:style w:type="character" w:styleId="Refdenotaalpie">
    <w:name w:val="footnote reference"/>
    <w:aliases w:val="referencia nota al pie,Ref. de nota al pie2,Nota de pie,Pie de pagina,Ref,de nota al pie,Texto de nota al pie,fr,Used by Word for Help footnote symbols,Footnote symbol,Footnote,BVI fnr,Referencia nota al pie,BVI fnr Car,Pie de Página"/>
    <w:uiPriority w:val="99"/>
    <w:unhideWhenUsed/>
    <w:rsid w:val="00A07E4F"/>
    <w:rPr>
      <w:vertAlign w:val="superscript"/>
    </w:rPr>
  </w:style>
  <w:style w:type="paragraph" w:styleId="Prrafodelista">
    <w:name w:val="List Paragraph"/>
    <w:aliases w:val="titulo 3,Bullets,Bolita,EITI list,Cuadrícula media 1 - Énfasis 21,Ha,Bullet List,FooterText,List Paragraph1,HOJA,Párrafo de lista4,BOLADEF,Párrafo de lista3,Párrafo de lista21,BOLA,Nivel 1 OS,Colorful List Accent 1,VIÑETA"/>
    <w:basedOn w:val="Normal"/>
    <w:link w:val="PrrafodelistaCar"/>
    <w:uiPriority w:val="34"/>
    <w:qFormat/>
    <w:rsid w:val="00A07E4F"/>
    <w:pPr>
      <w:spacing w:line="259" w:lineRule="auto"/>
      <w:ind w:left="720"/>
      <w:contextualSpacing/>
      <w:jc w:val="both"/>
    </w:pPr>
    <w:rPr>
      <w:sz w:val="22"/>
      <w:szCs w:val="22"/>
      <w:lang w:val="es-CO"/>
    </w:rPr>
  </w:style>
  <w:style w:type="character" w:customStyle="1" w:styleId="PrrafodelistaCar">
    <w:name w:val="Párrafo de lista Car"/>
    <w:aliases w:val="titulo 3 Car,Bullets Car,Bolita Car,EITI list Car,Cuadrícula media 1 - Énfasis 21 Car,Ha Car,Bullet List Car,FooterText Car,List Paragraph1 Car,HOJA Car,Párrafo de lista4 Car,BOLADEF Car,Párrafo de lista3 Car,Párrafo de lista21 Car"/>
    <w:link w:val="Prrafodelista"/>
    <w:uiPriority w:val="34"/>
    <w:locked/>
    <w:rsid w:val="00A07E4F"/>
    <w:rPr>
      <w:sz w:val="22"/>
      <w:szCs w:val="22"/>
    </w:rPr>
  </w:style>
  <w:style w:type="paragraph" w:customStyle="1" w:styleId="EndNoteBibliography">
    <w:name w:val="EndNote Bibliography"/>
    <w:basedOn w:val="Normal"/>
    <w:link w:val="EndNoteBibliographyChar"/>
    <w:rsid w:val="00A07E4F"/>
    <w:pPr>
      <w:spacing w:after="200"/>
    </w:pPr>
    <w:rPr>
      <w:rFonts w:ascii="Calibri" w:hAnsi="Calibri" w:cs="Calibri"/>
      <w:noProof/>
      <w:sz w:val="22"/>
      <w:szCs w:val="22"/>
      <w:lang w:val="en-US"/>
    </w:rPr>
  </w:style>
  <w:style w:type="character" w:customStyle="1" w:styleId="EndNoteBibliographyChar">
    <w:name w:val="EndNote Bibliography Char"/>
    <w:basedOn w:val="Fuentedeprrafopredeter"/>
    <w:link w:val="EndNoteBibliography"/>
    <w:rsid w:val="00A07E4F"/>
    <w:rPr>
      <w:rFonts w:ascii="Calibri" w:hAnsi="Calibri" w:cs="Calibr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629588">
      <w:bodyDiv w:val="1"/>
      <w:marLeft w:val="0"/>
      <w:marRight w:val="0"/>
      <w:marTop w:val="0"/>
      <w:marBottom w:val="0"/>
      <w:divBdr>
        <w:top w:val="none" w:sz="0" w:space="0" w:color="auto"/>
        <w:left w:val="none" w:sz="0" w:space="0" w:color="auto"/>
        <w:bottom w:val="none" w:sz="0" w:space="0" w:color="auto"/>
        <w:right w:val="none" w:sz="0" w:space="0" w:color="auto"/>
      </w:divBdr>
      <w:divsChild>
        <w:div w:id="421076174">
          <w:marLeft w:val="0"/>
          <w:marRight w:val="0"/>
          <w:marTop w:val="0"/>
          <w:marBottom w:val="0"/>
          <w:divBdr>
            <w:top w:val="none" w:sz="0" w:space="0" w:color="auto"/>
            <w:left w:val="none" w:sz="0" w:space="0" w:color="auto"/>
            <w:bottom w:val="none" w:sz="0" w:space="0" w:color="auto"/>
            <w:right w:val="none" w:sz="0" w:space="0" w:color="auto"/>
          </w:divBdr>
          <w:divsChild>
            <w:div w:id="413160936">
              <w:marLeft w:val="0"/>
              <w:marRight w:val="0"/>
              <w:marTop w:val="0"/>
              <w:marBottom w:val="0"/>
              <w:divBdr>
                <w:top w:val="none" w:sz="0" w:space="0" w:color="auto"/>
                <w:left w:val="none" w:sz="0" w:space="0" w:color="auto"/>
                <w:bottom w:val="none" w:sz="0" w:space="0" w:color="auto"/>
                <w:right w:val="none" w:sz="0" w:space="0" w:color="auto"/>
              </w:divBdr>
              <w:divsChild>
                <w:div w:id="1893879691">
                  <w:marLeft w:val="0"/>
                  <w:marRight w:val="0"/>
                  <w:marTop w:val="0"/>
                  <w:marBottom w:val="0"/>
                  <w:divBdr>
                    <w:top w:val="none" w:sz="0" w:space="0" w:color="auto"/>
                    <w:left w:val="none" w:sz="0" w:space="0" w:color="auto"/>
                    <w:bottom w:val="none" w:sz="0" w:space="0" w:color="auto"/>
                    <w:right w:val="none" w:sz="0" w:space="0" w:color="auto"/>
                  </w:divBdr>
                </w:div>
              </w:divsChild>
            </w:div>
            <w:div w:id="1748303882">
              <w:marLeft w:val="0"/>
              <w:marRight w:val="0"/>
              <w:marTop w:val="0"/>
              <w:marBottom w:val="0"/>
              <w:divBdr>
                <w:top w:val="none" w:sz="0" w:space="0" w:color="auto"/>
                <w:left w:val="none" w:sz="0" w:space="0" w:color="auto"/>
                <w:bottom w:val="none" w:sz="0" w:space="0" w:color="auto"/>
                <w:right w:val="none" w:sz="0" w:space="0" w:color="auto"/>
              </w:divBdr>
              <w:divsChild>
                <w:div w:id="10780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513">
          <w:marLeft w:val="0"/>
          <w:marRight w:val="0"/>
          <w:marTop w:val="0"/>
          <w:marBottom w:val="0"/>
          <w:divBdr>
            <w:top w:val="none" w:sz="0" w:space="0" w:color="auto"/>
            <w:left w:val="none" w:sz="0" w:space="0" w:color="auto"/>
            <w:bottom w:val="none" w:sz="0" w:space="0" w:color="auto"/>
            <w:right w:val="none" w:sz="0" w:space="0" w:color="auto"/>
          </w:divBdr>
          <w:divsChild>
            <w:div w:id="459231598">
              <w:marLeft w:val="0"/>
              <w:marRight w:val="0"/>
              <w:marTop w:val="0"/>
              <w:marBottom w:val="0"/>
              <w:divBdr>
                <w:top w:val="none" w:sz="0" w:space="0" w:color="auto"/>
                <w:left w:val="none" w:sz="0" w:space="0" w:color="auto"/>
                <w:bottom w:val="none" w:sz="0" w:space="0" w:color="auto"/>
                <w:right w:val="none" w:sz="0" w:space="0" w:color="auto"/>
              </w:divBdr>
              <w:divsChild>
                <w:div w:id="434324138">
                  <w:marLeft w:val="0"/>
                  <w:marRight w:val="0"/>
                  <w:marTop w:val="0"/>
                  <w:marBottom w:val="0"/>
                  <w:divBdr>
                    <w:top w:val="none" w:sz="0" w:space="0" w:color="auto"/>
                    <w:left w:val="none" w:sz="0" w:space="0" w:color="auto"/>
                    <w:bottom w:val="none" w:sz="0" w:space="0" w:color="auto"/>
                    <w:right w:val="none" w:sz="0" w:space="0" w:color="auto"/>
                  </w:divBdr>
                </w:div>
              </w:divsChild>
            </w:div>
            <w:div w:id="1032265309">
              <w:marLeft w:val="0"/>
              <w:marRight w:val="0"/>
              <w:marTop w:val="0"/>
              <w:marBottom w:val="0"/>
              <w:divBdr>
                <w:top w:val="none" w:sz="0" w:space="0" w:color="auto"/>
                <w:left w:val="none" w:sz="0" w:space="0" w:color="auto"/>
                <w:bottom w:val="none" w:sz="0" w:space="0" w:color="auto"/>
                <w:right w:val="none" w:sz="0" w:space="0" w:color="auto"/>
              </w:divBdr>
              <w:divsChild>
                <w:div w:id="4748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7444">
          <w:marLeft w:val="0"/>
          <w:marRight w:val="0"/>
          <w:marTop w:val="0"/>
          <w:marBottom w:val="0"/>
          <w:divBdr>
            <w:top w:val="none" w:sz="0" w:space="0" w:color="auto"/>
            <w:left w:val="none" w:sz="0" w:space="0" w:color="auto"/>
            <w:bottom w:val="none" w:sz="0" w:space="0" w:color="auto"/>
            <w:right w:val="none" w:sz="0" w:space="0" w:color="auto"/>
          </w:divBdr>
          <w:divsChild>
            <w:div w:id="1395810291">
              <w:marLeft w:val="0"/>
              <w:marRight w:val="0"/>
              <w:marTop w:val="0"/>
              <w:marBottom w:val="0"/>
              <w:divBdr>
                <w:top w:val="none" w:sz="0" w:space="0" w:color="auto"/>
                <w:left w:val="none" w:sz="0" w:space="0" w:color="auto"/>
                <w:bottom w:val="none" w:sz="0" w:space="0" w:color="auto"/>
                <w:right w:val="none" w:sz="0" w:space="0" w:color="auto"/>
              </w:divBdr>
              <w:divsChild>
                <w:div w:id="538475908">
                  <w:marLeft w:val="0"/>
                  <w:marRight w:val="0"/>
                  <w:marTop w:val="0"/>
                  <w:marBottom w:val="0"/>
                  <w:divBdr>
                    <w:top w:val="none" w:sz="0" w:space="0" w:color="auto"/>
                    <w:left w:val="none" w:sz="0" w:space="0" w:color="auto"/>
                    <w:bottom w:val="none" w:sz="0" w:space="0" w:color="auto"/>
                    <w:right w:val="none" w:sz="0" w:space="0" w:color="auto"/>
                  </w:divBdr>
                </w:div>
              </w:divsChild>
            </w:div>
            <w:div w:id="1092894637">
              <w:marLeft w:val="0"/>
              <w:marRight w:val="0"/>
              <w:marTop w:val="0"/>
              <w:marBottom w:val="0"/>
              <w:divBdr>
                <w:top w:val="none" w:sz="0" w:space="0" w:color="auto"/>
                <w:left w:val="none" w:sz="0" w:space="0" w:color="auto"/>
                <w:bottom w:val="none" w:sz="0" w:space="0" w:color="auto"/>
                <w:right w:val="none" w:sz="0" w:space="0" w:color="auto"/>
              </w:divBdr>
              <w:divsChild>
                <w:div w:id="463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01201">
          <w:marLeft w:val="0"/>
          <w:marRight w:val="0"/>
          <w:marTop w:val="0"/>
          <w:marBottom w:val="0"/>
          <w:divBdr>
            <w:top w:val="none" w:sz="0" w:space="0" w:color="auto"/>
            <w:left w:val="none" w:sz="0" w:space="0" w:color="auto"/>
            <w:bottom w:val="none" w:sz="0" w:space="0" w:color="auto"/>
            <w:right w:val="none" w:sz="0" w:space="0" w:color="auto"/>
          </w:divBdr>
          <w:divsChild>
            <w:div w:id="395015881">
              <w:marLeft w:val="0"/>
              <w:marRight w:val="0"/>
              <w:marTop w:val="0"/>
              <w:marBottom w:val="0"/>
              <w:divBdr>
                <w:top w:val="none" w:sz="0" w:space="0" w:color="auto"/>
                <w:left w:val="none" w:sz="0" w:space="0" w:color="auto"/>
                <w:bottom w:val="none" w:sz="0" w:space="0" w:color="auto"/>
                <w:right w:val="none" w:sz="0" w:space="0" w:color="auto"/>
              </w:divBdr>
              <w:divsChild>
                <w:div w:id="398947757">
                  <w:marLeft w:val="0"/>
                  <w:marRight w:val="0"/>
                  <w:marTop w:val="0"/>
                  <w:marBottom w:val="0"/>
                  <w:divBdr>
                    <w:top w:val="none" w:sz="0" w:space="0" w:color="auto"/>
                    <w:left w:val="none" w:sz="0" w:space="0" w:color="auto"/>
                    <w:bottom w:val="none" w:sz="0" w:space="0" w:color="auto"/>
                    <w:right w:val="none" w:sz="0" w:space="0" w:color="auto"/>
                  </w:divBdr>
                </w:div>
              </w:divsChild>
            </w:div>
            <w:div w:id="1924871810">
              <w:marLeft w:val="0"/>
              <w:marRight w:val="0"/>
              <w:marTop w:val="0"/>
              <w:marBottom w:val="0"/>
              <w:divBdr>
                <w:top w:val="none" w:sz="0" w:space="0" w:color="auto"/>
                <w:left w:val="none" w:sz="0" w:space="0" w:color="auto"/>
                <w:bottom w:val="none" w:sz="0" w:space="0" w:color="auto"/>
                <w:right w:val="none" w:sz="0" w:space="0" w:color="auto"/>
              </w:divBdr>
              <w:divsChild>
                <w:div w:id="6395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7916">
          <w:marLeft w:val="0"/>
          <w:marRight w:val="0"/>
          <w:marTop w:val="0"/>
          <w:marBottom w:val="0"/>
          <w:divBdr>
            <w:top w:val="none" w:sz="0" w:space="0" w:color="auto"/>
            <w:left w:val="none" w:sz="0" w:space="0" w:color="auto"/>
            <w:bottom w:val="none" w:sz="0" w:space="0" w:color="auto"/>
            <w:right w:val="none" w:sz="0" w:space="0" w:color="auto"/>
          </w:divBdr>
          <w:divsChild>
            <w:div w:id="1987080680">
              <w:marLeft w:val="0"/>
              <w:marRight w:val="0"/>
              <w:marTop w:val="0"/>
              <w:marBottom w:val="0"/>
              <w:divBdr>
                <w:top w:val="none" w:sz="0" w:space="0" w:color="auto"/>
                <w:left w:val="none" w:sz="0" w:space="0" w:color="auto"/>
                <w:bottom w:val="none" w:sz="0" w:space="0" w:color="auto"/>
                <w:right w:val="none" w:sz="0" w:space="0" w:color="auto"/>
              </w:divBdr>
              <w:divsChild>
                <w:div w:id="1278105626">
                  <w:marLeft w:val="0"/>
                  <w:marRight w:val="0"/>
                  <w:marTop w:val="0"/>
                  <w:marBottom w:val="0"/>
                  <w:divBdr>
                    <w:top w:val="none" w:sz="0" w:space="0" w:color="auto"/>
                    <w:left w:val="none" w:sz="0" w:space="0" w:color="auto"/>
                    <w:bottom w:val="none" w:sz="0" w:space="0" w:color="auto"/>
                    <w:right w:val="none" w:sz="0" w:space="0" w:color="auto"/>
                  </w:divBdr>
                </w:div>
              </w:divsChild>
            </w:div>
            <w:div w:id="868299887">
              <w:marLeft w:val="0"/>
              <w:marRight w:val="0"/>
              <w:marTop w:val="0"/>
              <w:marBottom w:val="0"/>
              <w:divBdr>
                <w:top w:val="none" w:sz="0" w:space="0" w:color="auto"/>
                <w:left w:val="none" w:sz="0" w:space="0" w:color="auto"/>
                <w:bottom w:val="none" w:sz="0" w:space="0" w:color="auto"/>
                <w:right w:val="none" w:sz="0" w:space="0" w:color="auto"/>
              </w:divBdr>
              <w:divsChild>
                <w:div w:id="101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717">
          <w:marLeft w:val="0"/>
          <w:marRight w:val="0"/>
          <w:marTop w:val="0"/>
          <w:marBottom w:val="0"/>
          <w:divBdr>
            <w:top w:val="none" w:sz="0" w:space="0" w:color="auto"/>
            <w:left w:val="none" w:sz="0" w:space="0" w:color="auto"/>
            <w:bottom w:val="none" w:sz="0" w:space="0" w:color="auto"/>
            <w:right w:val="none" w:sz="0" w:space="0" w:color="auto"/>
          </w:divBdr>
          <w:divsChild>
            <w:div w:id="13389262">
              <w:marLeft w:val="0"/>
              <w:marRight w:val="0"/>
              <w:marTop w:val="0"/>
              <w:marBottom w:val="0"/>
              <w:divBdr>
                <w:top w:val="none" w:sz="0" w:space="0" w:color="auto"/>
                <w:left w:val="none" w:sz="0" w:space="0" w:color="auto"/>
                <w:bottom w:val="none" w:sz="0" w:space="0" w:color="auto"/>
                <w:right w:val="none" w:sz="0" w:space="0" w:color="auto"/>
              </w:divBdr>
              <w:divsChild>
                <w:div w:id="1373533966">
                  <w:marLeft w:val="0"/>
                  <w:marRight w:val="0"/>
                  <w:marTop w:val="0"/>
                  <w:marBottom w:val="0"/>
                  <w:divBdr>
                    <w:top w:val="none" w:sz="0" w:space="0" w:color="auto"/>
                    <w:left w:val="none" w:sz="0" w:space="0" w:color="auto"/>
                    <w:bottom w:val="none" w:sz="0" w:space="0" w:color="auto"/>
                    <w:right w:val="none" w:sz="0" w:space="0" w:color="auto"/>
                  </w:divBdr>
                </w:div>
              </w:divsChild>
            </w:div>
            <w:div w:id="896354406">
              <w:marLeft w:val="0"/>
              <w:marRight w:val="0"/>
              <w:marTop w:val="0"/>
              <w:marBottom w:val="0"/>
              <w:divBdr>
                <w:top w:val="none" w:sz="0" w:space="0" w:color="auto"/>
                <w:left w:val="none" w:sz="0" w:space="0" w:color="auto"/>
                <w:bottom w:val="none" w:sz="0" w:space="0" w:color="auto"/>
                <w:right w:val="none" w:sz="0" w:space="0" w:color="auto"/>
              </w:divBdr>
              <w:divsChild>
                <w:div w:id="1306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4661">
          <w:marLeft w:val="0"/>
          <w:marRight w:val="0"/>
          <w:marTop w:val="0"/>
          <w:marBottom w:val="0"/>
          <w:divBdr>
            <w:top w:val="none" w:sz="0" w:space="0" w:color="auto"/>
            <w:left w:val="none" w:sz="0" w:space="0" w:color="auto"/>
            <w:bottom w:val="none" w:sz="0" w:space="0" w:color="auto"/>
            <w:right w:val="none" w:sz="0" w:space="0" w:color="auto"/>
          </w:divBdr>
          <w:divsChild>
            <w:div w:id="786965777">
              <w:marLeft w:val="0"/>
              <w:marRight w:val="0"/>
              <w:marTop w:val="0"/>
              <w:marBottom w:val="0"/>
              <w:divBdr>
                <w:top w:val="none" w:sz="0" w:space="0" w:color="auto"/>
                <w:left w:val="none" w:sz="0" w:space="0" w:color="auto"/>
                <w:bottom w:val="none" w:sz="0" w:space="0" w:color="auto"/>
                <w:right w:val="none" w:sz="0" w:space="0" w:color="auto"/>
              </w:divBdr>
              <w:divsChild>
                <w:div w:id="7378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2260</Words>
  <Characters>12435</Characters>
  <Application>Microsoft Office Word</Application>
  <DocSecurity>0</DocSecurity>
  <Lines>103</Lines>
  <Paragraphs>29</Paragraphs>
  <ScaleCrop>false</ScaleCrop>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ORTIZ GARZON</dc:creator>
  <cp:keywords/>
  <dc:description/>
  <cp:lastModifiedBy>JUAN DAVID ORTIZ GARZON</cp:lastModifiedBy>
  <cp:revision>2</cp:revision>
  <dcterms:created xsi:type="dcterms:W3CDTF">2021-03-18T16:55:00Z</dcterms:created>
  <dcterms:modified xsi:type="dcterms:W3CDTF">2021-03-18T16:55:00Z</dcterms:modified>
</cp:coreProperties>
</file>