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672E0" w14:textId="77777777" w:rsidR="00D208ED" w:rsidRPr="004535AF" w:rsidRDefault="00720E70">
      <w:r w:rsidRPr="004535AF">
        <w:rPr>
          <w:noProof/>
        </w:rPr>
        <w:drawing>
          <wp:anchor distT="0" distB="0" distL="114300" distR="114300" simplePos="0" relativeHeight="251670528" behindDoc="0" locked="0" layoutInCell="1" allowOverlap="1" wp14:anchorId="5E258F9F" wp14:editId="6203B5CE">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43628C7B" wp14:editId="36B4330F">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0E51DCDC" w14:textId="77777777" w:rsidR="00D208ED" w:rsidRPr="004535AF" w:rsidRDefault="00F75178">
      <w:r w:rsidRPr="004535AF">
        <w:rPr>
          <w:noProof/>
        </w:rPr>
        <mc:AlternateContent>
          <mc:Choice Requires="wps">
            <w:drawing>
              <wp:anchor distT="0" distB="0" distL="114300" distR="114300" simplePos="0" relativeHeight="251672576" behindDoc="0" locked="0" layoutInCell="1" allowOverlap="1" wp14:anchorId="3A17A143" wp14:editId="379266E0">
                <wp:simplePos x="0" y="0"/>
                <wp:positionH relativeFrom="column">
                  <wp:posOffset>131977</wp:posOffset>
                </wp:positionH>
                <wp:positionV relativeFrom="paragraph">
                  <wp:posOffset>5336806</wp:posOffset>
                </wp:positionV>
                <wp:extent cx="5986130" cy="73364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986130" cy="733646"/>
                        </a:xfrm>
                        <a:prstGeom prst="rect">
                          <a:avLst/>
                        </a:prstGeom>
                        <a:noFill/>
                        <a:ln w="6350">
                          <a:noFill/>
                        </a:ln>
                      </wps:spPr>
                      <wps:txbx>
                        <w:txbxContent>
                          <w:p w14:paraId="42E347AD" w14:textId="56E4EE1A"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C07311" w:rsidRPr="00C07311">
                              <w:rPr>
                                <w:rFonts w:cs="Arial"/>
                                <w:color w:val="FFFFFF" w:themeColor="background1"/>
                                <w:sz w:val="32"/>
                                <w:szCs w:val="32"/>
                                <w:lang w:val="es-ES"/>
                              </w:rPr>
                              <w:t>3 Resistencia a insecticidas y las pruebas biológicas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7A143" id="_x0000_t202" coordsize="21600,21600" o:spt="202" path="m,l,21600r21600,l21600,xe">
                <v:stroke joinstyle="miter"/>
                <v:path gradientshapeok="t" o:connecttype="rect"/>
              </v:shapetype>
              <v:shape id="Cuadro de texto 16" o:spid="_x0000_s1026" type="#_x0000_t202" style="position:absolute;left:0;text-align:left;margin-left:10.4pt;margin-top:420.2pt;width:471.3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" filled="f" stroked="f" strokeweight=".5pt">
                <v:textbox>
                  <w:txbxContent>
                    <w:p w14:paraId="42E347AD" w14:textId="56E4EE1A"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C07311" w:rsidRPr="00C07311">
                        <w:rPr>
                          <w:rFonts w:cs="Arial"/>
                          <w:color w:val="FFFFFF" w:themeColor="background1"/>
                          <w:sz w:val="32"/>
                          <w:szCs w:val="32"/>
                          <w:lang w:val="es-ES"/>
                        </w:rPr>
                        <w:t>3 Resistencia a insecticidas y las pruebas biológicas</w:t>
                      </w:r>
                    </w:p>
                  </w:txbxContent>
                </v:textbox>
              </v:shape>
            </w:pict>
          </mc:Fallback>
        </mc:AlternateContent>
      </w:r>
      <w:r w:rsidRPr="004535AF">
        <w:rPr>
          <w:noProof/>
        </w:rPr>
        <mc:AlternateContent>
          <mc:Choice Requires="wps">
            <w:drawing>
              <wp:anchor distT="0" distB="0" distL="114300" distR="114300" simplePos="0" relativeHeight="251665408" behindDoc="0" locked="0" layoutInCell="1" allowOverlap="1" wp14:anchorId="0681698F" wp14:editId="2DBB3FAF">
                <wp:simplePos x="0" y="0"/>
                <wp:positionH relativeFrom="column">
                  <wp:posOffset>131977</wp:posOffset>
                </wp:positionH>
                <wp:positionV relativeFrom="paragraph">
                  <wp:posOffset>4837076</wp:posOffset>
                </wp:positionV>
                <wp:extent cx="6177516"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177516" cy="344805"/>
                        </a:xfrm>
                        <a:prstGeom prst="rect">
                          <a:avLst/>
                        </a:prstGeom>
                        <a:noFill/>
                        <a:ln w="6350">
                          <a:noFill/>
                        </a:ln>
                      </wps:spPr>
                      <wps:txbx>
                        <w:txbxContent>
                          <w:p w14:paraId="02BB3BE6" w14:textId="552D6DA0"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C07311" w:rsidRPr="00C07311">
                              <w:rPr>
                                <w:rFonts w:cs="Arial"/>
                                <w:color w:val="FFFFFF" w:themeColor="background1"/>
                                <w:sz w:val="32"/>
                                <w:szCs w:val="32"/>
                                <w:lang w:val="es-ES"/>
                              </w:rPr>
                              <w:t>5: Vigilancia entomológica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698F" id="Cuadro de texto 6" o:spid="_x0000_s1027" type="#_x0000_t202" style="position:absolute;left:0;text-align:left;margin-left:10.4pt;margin-top:380.85pt;width:486.4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" filled="f" stroked="f" strokeweight=".5pt">
                <v:textbox>
                  <w:txbxContent>
                    <w:p w14:paraId="02BB3BE6" w14:textId="552D6DA0"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C07311" w:rsidRPr="00C07311">
                        <w:rPr>
                          <w:rFonts w:cs="Arial"/>
                          <w:color w:val="FFFFFF" w:themeColor="background1"/>
                          <w:sz w:val="32"/>
                          <w:szCs w:val="32"/>
                          <w:lang w:val="es-ES"/>
                        </w:rPr>
                        <w:t>5: Vigilancia entomológica de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0386E0EA" wp14:editId="686F174B">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CDB7"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08DD917C" wp14:editId="3722F17A">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5E99284C"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917C"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5E99284C"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5296AE56" wp14:editId="79AAEAFC">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0A3B4"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2D05CC45" wp14:editId="527A3D52">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D712A"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592A388"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1598A0C7" w14:textId="77777777" w:rsidR="004535AF" w:rsidRPr="001F1EE2" w:rsidRDefault="004535AF" w:rsidP="004535AF">
      <w:pPr>
        <w:rPr>
          <w:rFonts w:cs="Arial"/>
        </w:rPr>
      </w:pPr>
    </w:p>
    <w:p w14:paraId="1B5CBC40" w14:textId="77777777" w:rsidR="004535AF" w:rsidRPr="001F1EE2" w:rsidRDefault="004535AF" w:rsidP="004535AF">
      <w:pPr>
        <w:rPr>
          <w:rFonts w:cs="Arial"/>
        </w:rPr>
      </w:pPr>
    </w:p>
    <w:p w14:paraId="4FAEA171" w14:textId="77777777" w:rsidR="004535AF" w:rsidRPr="001F1EE2" w:rsidRDefault="004535AF" w:rsidP="004535AF">
      <w:pPr>
        <w:rPr>
          <w:rFonts w:cs="Arial"/>
        </w:rPr>
      </w:pPr>
      <w:r w:rsidRPr="001F1EE2">
        <w:rPr>
          <w:rFonts w:cs="Arial"/>
        </w:rPr>
        <w:t>Índice de ilustraciones</w:t>
      </w:r>
    </w:p>
    <w:p w14:paraId="79743CBF" w14:textId="77777777" w:rsidR="004535AF" w:rsidRPr="001F1EE2" w:rsidRDefault="004535AF" w:rsidP="004535AF">
      <w:pPr>
        <w:rPr>
          <w:rFonts w:cs="Arial"/>
        </w:rPr>
      </w:pPr>
    </w:p>
    <w:p w14:paraId="14BD9813" w14:textId="09CF7939" w:rsidR="00C07311" w:rsidRDefault="00C07311">
      <w:pPr>
        <w:pStyle w:val="Tabladeilustraciones"/>
        <w:tabs>
          <w:tab w:val="right" w:leader="dot" w:pos="9350"/>
        </w:tabs>
        <w:rPr>
          <w:rFonts w:asciiTheme="minorHAnsi" w:eastAsiaTheme="minorEastAsia" w:hAnsiTheme="minorHAnsi"/>
          <w:noProof/>
          <w:szCs w:val="22"/>
          <w:lang w:eastAsia="es-CO"/>
        </w:rPr>
      </w:pPr>
      <w:r>
        <w:rPr>
          <w:rFonts w:cs="Arial"/>
        </w:rPr>
        <w:fldChar w:fldCharType="begin"/>
      </w:r>
      <w:r>
        <w:rPr>
          <w:rFonts w:cs="Arial"/>
        </w:rPr>
        <w:instrText xml:space="preserve"> TOC \h \z \c "Figura " </w:instrText>
      </w:r>
      <w:r>
        <w:rPr>
          <w:rFonts w:cs="Arial"/>
        </w:rPr>
        <w:fldChar w:fldCharType="separate"/>
      </w:r>
      <w:hyperlink w:anchor="_Toc66435995" w:history="1">
        <w:r w:rsidRPr="00BE5AC1">
          <w:rPr>
            <w:rStyle w:val="Hipervnculo"/>
            <w:noProof/>
          </w:rPr>
          <w:t>Figura  1 Formación de una población de mosquitos, resistente a insecticidas</w:t>
        </w:r>
        <w:r>
          <w:rPr>
            <w:noProof/>
            <w:webHidden/>
          </w:rPr>
          <w:tab/>
        </w:r>
        <w:r>
          <w:rPr>
            <w:noProof/>
            <w:webHidden/>
          </w:rPr>
          <w:fldChar w:fldCharType="begin"/>
        </w:r>
        <w:r>
          <w:rPr>
            <w:noProof/>
            <w:webHidden/>
          </w:rPr>
          <w:instrText xml:space="preserve"> PAGEREF _Toc66435995 \h </w:instrText>
        </w:r>
        <w:r>
          <w:rPr>
            <w:noProof/>
            <w:webHidden/>
          </w:rPr>
        </w:r>
        <w:r>
          <w:rPr>
            <w:noProof/>
            <w:webHidden/>
          </w:rPr>
          <w:fldChar w:fldCharType="separate"/>
        </w:r>
        <w:r>
          <w:rPr>
            <w:noProof/>
            <w:webHidden/>
          </w:rPr>
          <w:t>2</w:t>
        </w:r>
        <w:r>
          <w:rPr>
            <w:noProof/>
            <w:webHidden/>
          </w:rPr>
          <w:fldChar w:fldCharType="end"/>
        </w:r>
      </w:hyperlink>
    </w:p>
    <w:p w14:paraId="487FC0C8" w14:textId="5D84FD7A" w:rsidR="00C07311" w:rsidRDefault="00C07311">
      <w:pPr>
        <w:pStyle w:val="Tabladeilustraciones"/>
        <w:tabs>
          <w:tab w:val="right" w:leader="dot" w:pos="9350"/>
        </w:tabs>
        <w:rPr>
          <w:rFonts w:asciiTheme="minorHAnsi" w:eastAsiaTheme="minorEastAsia" w:hAnsiTheme="minorHAnsi"/>
          <w:noProof/>
          <w:szCs w:val="22"/>
          <w:lang w:eastAsia="es-CO"/>
        </w:rPr>
      </w:pPr>
      <w:hyperlink w:anchor="_Toc66435996" w:history="1">
        <w:r w:rsidRPr="00BE5AC1">
          <w:rPr>
            <w:rStyle w:val="Hipervnculo"/>
            <w:noProof/>
          </w:rPr>
          <w:t>Figura  2 Causas y mecanismos de resistencia a insecticidas</w:t>
        </w:r>
        <w:r>
          <w:rPr>
            <w:noProof/>
            <w:webHidden/>
          </w:rPr>
          <w:tab/>
        </w:r>
        <w:r>
          <w:rPr>
            <w:noProof/>
            <w:webHidden/>
          </w:rPr>
          <w:fldChar w:fldCharType="begin"/>
        </w:r>
        <w:r>
          <w:rPr>
            <w:noProof/>
            <w:webHidden/>
          </w:rPr>
          <w:instrText xml:space="preserve"> PAGEREF _Toc66435996 \h </w:instrText>
        </w:r>
        <w:r>
          <w:rPr>
            <w:noProof/>
            <w:webHidden/>
          </w:rPr>
        </w:r>
        <w:r>
          <w:rPr>
            <w:noProof/>
            <w:webHidden/>
          </w:rPr>
          <w:fldChar w:fldCharType="separate"/>
        </w:r>
        <w:r>
          <w:rPr>
            <w:noProof/>
            <w:webHidden/>
          </w:rPr>
          <w:t>4</w:t>
        </w:r>
        <w:r>
          <w:rPr>
            <w:noProof/>
            <w:webHidden/>
          </w:rPr>
          <w:fldChar w:fldCharType="end"/>
        </w:r>
      </w:hyperlink>
    </w:p>
    <w:p w14:paraId="6813951E" w14:textId="25D63F6C" w:rsidR="00C07311" w:rsidRDefault="00C07311">
      <w:pPr>
        <w:pStyle w:val="Tabladeilustraciones"/>
        <w:tabs>
          <w:tab w:val="right" w:leader="dot" w:pos="9350"/>
        </w:tabs>
        <w:rPr>
          <w:rFonts w:asciiTheme="minorHAnsi" w:eastAsiaTheme="minorEastAsia" w:hAnsiTheme="minorHAnsi"/>
          <w:noProof/>
          <w:szCs w:val="22"/>
          <w:lang w:eastAsia="es-CO"/>
        </w:rPr>
      </w:pPr>
      <w:hyperlink w:anchor="_Toc66435997" w:history="1">
        <w:r w:rsidRPr="00BE5AC1">
          <w:rPr>
            <w:rStyle w:val="Hipervnculo"/>
            <w:noProof/>
          </w:rPr>
          <w:t>Figura  3 Metodologías OMS y CDC para determinar Resistencia a insecticidas</w:t>
        </w:r>
        <w:r>
          <w:rPr>
            <w:noProof/>
            <w:webHidden/>
          </w:rPr>
          <w:tab/>
        </w:r>
        <w:r>
          <w:rPr>
            <w:noProof/>
            <w:webHidden/>
          </w:rPr>
          <w:fldChar w:fldCharType="begin"/>
        </w:r>
        <w:r>
          <w:rPr>
            <w:noProof/>
            <w:webHidden/>
          </w:rPr>
          <w:instrText xml:space="preserve"> PAGEREF _Toc66435997 \h </w:instrText>
        </w:r>
        <w:r>
          <w:rPr>
            <w:noProof/>
            <w:webHidden/>
          </w:rPr>
        </w:r>
        <w:r>
          <w:rPr>
            <w:noProof/>
            <w:webHidden/>
          </w:rPr>
          <w:fldChar w:fldCharType="separate"/>
        </w:r>
        <w:r>
          <w:rPr>
            <w:noProof/>
            <w:webHidden/>
          </w:rPr>
          <w:t>4</w:t>
        </w:r>
        <w:r>
          <w:rPr>
            <w:noProof/>
            <w:webHidden/>
          </w:rPr>
          <w:fldChar w:fldCharType="end"/>
        </w:r>
      </w:hyperlink>
    </w:p>
    <w:p w14:paraId="524C7F48" w14:textId="0C0A0874" w:rsidR="00C07311" w:rsidRDefault="00C07311">
      <w:pPr>
        <w:pStyle w:val="Tabladeilustraciones"/>
        <w:tabs>
          <w:tab w:val="right" w:leader="dot" w:pos="9350"/>
        </w:tabs>
        <w:rPr>
          <w:rFonts w:asciiTheme="minorHAnsi" w:eastAsiaTheme="minorEastAsia" w:hAnsiTheme="minorHAnsi"/>
          <w:noProof/>
          <w:szCs w:val="22"/>
          <w:lang w:eastAsia="es-CO"/>
        </w:rPr>
      </w:pPr>
      <w:hyperlink w:anchor="_Toc66435998" w:history="1">
        <w:r w:rsidRPr="00BE5AC1">
          <w:rPr>
            <w:rStyle w:val="Hipervnculo"/>
            <w:noProof/>
          </w:rPr>
          <w:t>Figura  4 Montaje de bioensayo con Tubos OMS</w:t>
        </w:r>
        <w:r>
          <w:rPr>
            <w:noProof/>
            <w:webHidden/>
          </w:rPr>
          <w:tab/>
        </w:r>
        <w:r>
          <w:rPr>
            <w:noProof/>
            <w:webHidden/>
          </w:rPr>
          <w:fldChar w:fldCharType="begin"/>
        </w:r>
        <w:r>
          <w:rPr>
            <w:noProof/>
            <w:webHidden/>
          </w:rPr>
          <w:instrText xml:space="preserve"> PAGEREF _Toc66435998 \h </w:instrText>
        </w:r>
        <w:r>
          <w:rPr>
            <w:noProof/>
            <w:webHidden/>
          </w:rPr>
        </w:r>
        <w:r>
          <w:rPr>
            <w:noProof/>
            <w:webHidden/>
          </w:rPr>
          <w:fldChar w:fldCharType="separate"/>
        </w:r>
        <w:r>
          <w:rPr>
            <w:noProof/>
            <w:webHidden/>
          </w:rPr>
          <w:t>5</w:t>
        </w:r>
        <w:r>
          <w:rPr>
            <w:noProof/>
            <w:webHidden/>
          </w:rPr>
          <w:fldChar w:fldCharType="end"/>
        </w:r>
      </w:hyperlink>
    </w:p>
    <w:p w14:paraId="5BBBCFC3" w14:textId="345B58D4" w:rsidR="00C07311" w:rsidRDefault="00C07311">
      <w:pPr>
        <w:pStyle w:val="Tabladeilustraciones"/>
        <w:tabs>
          <w:tab w:val="right" w:leader="dot" w:pos="9350"/>
        </w:tabs>
        <w:rPr>
          <w:rFonts w:asciiTheme="minorHAnsi" w:eastAsiaTheme="minorEastAsia" w:hAnsiTheme="minorHAnsi"/>
          <w:noProof/>
          <w:szCs w:val="22"/>
          <w:lang w:eastAsia="es-CO"/>
        </w:rPr>
      </w:pPr>
      <w:hyperlink w:anchor="_Toc66435999" w:history="1">
        <w:r w:rsidRPr="00BE5AC1">
          <w:rPr>
            <w:rStyle w:val="Hipervnculo"/>
            <w:noProof/>
          </w:rPr>
          <w:t>Figura  5 Montaje de bioensayo con botellas CDC</w:t>
        </w:r>
        <w:r>
          <w:rPr>
            <w:noProof/>
            <w:webHidden/>
          </w:rPr>
          <w:tab/>
        </w:r>
        <w:r>
          <w:rPr>
            <w:noProof/>
            <w:webHidden/>
          </w:rPr>
          <w:fldChar w:fldCharType="begin"/>
        </w:r>
        <w:r>
          <w:rPr>
            <w:noProof/>
            <w:webHidden/>
          </w:rPr>
          <w:instrText xml:space="preserve"> PAGEREF _Toc66435999 \h </w:instrText>
        </w:r>
        <w:r>
          <w:rPr>
            <w:noProof/>
            <w:webHidden/>
          </w:rPr>
        </w:r>
        <w:r>
          <w:rPr>
            <w:noProof/>
            <w:webHidden/>
          </w:rPr>
          <w:fldChar w:fldCharType="separate"/>
        </w:r>
        <w:r>
          <w:rPr>
            <w:noProof/>
            <w:webHidden/>
          </w:rPr>
          <w:t>6</w:t>
        </w:r>
        <w:r>
          <w:rPr>
            <w:noProof/>
            <w:webHidden/>
          </w:rPr>
          <w:fldChar w:fldCharType="end"/>
        </w:r>
      </w:hyperlink>
    </w:p>
    <w:p w14:paraId="15464A3B" w14:textId="4F1E472D" w:rsidR="004535AF" w:rsidRDefault="00C07311" w:rsidP="004535AF">
      <w:pPr>
        <w:rPr>
          <w:rFonts w:cs="Arial"/>
        </w:rPr>
      </w:pPr>
      <w:r>
        <w:rPr>
          <w:rFonts w:cs="Arial"/>
        </w:rPr>
        <w:fldChar w:fldCharType="end"/>
      </w:r>
    </w:p>
    <w:p w14:paraId="449A8064" w14:textId="77777777" w:rsidR="004535AF" w:rsidRDefault="004535AF" w:rsidP="004535AF">
      <w:pPr>
        <w:rPr>
          <w:rFonts w:cs="Arial"/>
        </w:rPr>
      </w:pPr>
    </w:p>
    <w:p w14:paraId="763C56B0"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03D6A064"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5BD3D8F2" w14:textId="77777777" w:rsidR="004535AF" w:rsidRPr="001F1EE2" w:rsidRDefault="004535AF" w:rsidP="004535AF">
          <w:pPr>
            <w:pStyle w:val="TtuloTDC"/>
          </w:pPr>
          <w:r w:rsidRPr="001F1EE2">
            <w:t>Contenido</w:t>
          </w:r>
        </w:p>
        <w:p w14:paraId="2D427196" w14:textId="6769384A" w:rsidR="00C07311"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436000" w:history="1">
            <w:r w:rsidR="00C07311" w:rsidRPr="004F19EC">
              <w:rPr>
                <w:rStyle w:val="Hipervnculo"/>
                <w:noProof/>
              </w:rPr>
              <w:t>Unidad 3. Resistencia a insecticidas y las pruebas biológicas.</w:t>
            </w:r>
            <w:r w:rsidR="00C07311">
              <w:rPr>
                <w:noProof/>
                <w:webHidden/>
              </w:rPr>
              <w:tab/>
            </w:r>
            <w:r w:rsidR="00C07311">
              <w:rPr>
                <w:noProof/>
                <w:webHidden/>
              </w:rPr>
              <w:fldChar w:fldCharType="begin"/>
            </w:r>
            <w:r w:rsidR="00C07311">
              <w:rPr>
                <w:noProof/>
                <w:webHidden/>
              </w:rPr>
              <w:instrText xml:space="preserve"> PAGEREF _Toc66436000 \h </w:instrText>
            </w:r>
            <w:r w:rsidR="00C07311">
              <w:rPr>
                <w:noProof/>
                <w:webHidden/>
              </w:rPr>
            </w:r>
            <w:r w:rsidR="00C07311">
              <w:rPr>
                <w:noProof/>
                <w:webHidden/>
              </w:rPr>
              <w:fldChar w:fldCharType="separate"/>
            </w:r>
            <w:r w:rsidR="00C07311">
              <w:rPr>
                <w:noProof/>
                <w:webHidden/>
              </w:rPr>
              <w:t>1</w:t>
            </w:r>
            <w:r w:rsidR="00C07311">
              <w:rPr>
                <w:noProof/>
                <w:webHidden/>
              </w:rPr>
              <w:fldChar w:fldCharType="end"/>
            </w:r>
          </w:hyperlink>
        </w:p>
        <w:p w14:paraId="690C6094" w14:textId="3346328E" w:rsidR="00C07311" w:rsidRDefault="00C07311">
          <w:pPr>
            <w:pStyle w:val="TDC2"/>
            <w:tabs>
              <w:tab w:val="right" w:leader="dot" w:pos="8828"/>
            </w:tabs>
            <w:rPr>
              <w:rFonts w:asciiTheme="minorHAnsi" w:eastAsiaTheme="minorEastAsia" w:hAnsiTheme="minorHAnsi"/>
              <w:noProof/>
              <w:szCs w:val="22"/>
              <w:lang w:eastAsia="es-CO"/>
            </w:rPr>
          </w:pPr>
          <w:hyperlink w:anchor="_Toc66436001" w:history="1">
            <w:r w:rsidRPr="004F19EC">
              <w:rPr>
                <w:rStyle w:val="Hipervnculo"/>
                <w:noProof/>
              </w:rPr>
              <w:t>Resultado de aprendizaje</w:t>
            </w:r>
            <w:r>
              <w:rPr>
                <w:noProof/>
                <w:webHidden/>
              </w:rPr>
              <w:tab/>
            </w:r>
            <w:r>
              <w:rPr>
                <w:noProof/>
                <w:webHidden/>
              </w:rPr>
              <w:fldChar w:fldCharType="begin"/>
            </w:r>
            <w:r>
              <w:rPr>
                <w:noProof/>
                <w:webHidden/>
              </w:rPr>
              <w:instrText xml:space="preserve"> PAGEREF _Toc66436001 \h </w:instrText>
            </w:r>
            <w:r>
              <w:rPr>
                <w:noProof/>
                <w:webHidden/>
              </w:rPr>
            </w:r>
            <w:r>
              <w:rPr>
                <w:noProof/>
                <w:webHidden/>
              </w:rPr>
              <w:fldChar w:fldCharType="separate"/>
            </w:r>
            <w:r>
              <w:rPr>
                <w:noProof/>
                <w:webHidden/>
              </w:rPr>
              <w:t>1</w:t>
            </w:r>
            <w:r>
              <w:rPr>
                <w:noProof/>
                <w:webHidden/>
              </w:rPr>
              <w:fldChar w:fldCharType="end"/>
            </w:r>
          </w:hyperlink>
        </w:p>
        <w:p w14:paraId="1AE20CD9" w14:textId="459E9150" w:rsidR="00C07311" w:rsidRDefault="00C07311">
          <w:pPr>
            <w:pStyle w:val="TDC2"/>
            <w:tabs>
              <w:tab w:val="right" w:leader="dot" w:pos="8828"/>
            </w:tabs>
            <w:rPr>
              <w:rFonts w:asciiTheme="minorHAnsi" w:eastAsiaTheme="minorEastAsia" w:hAnsiTheme="minorHAnsi"/>
              <w:noProof/>
              <w:szCs w:val="22"/>
              <w:lang w:eastAsia="es-CO"/>
            </w:rPr>
          </w:pPr>
          <w:hyperlink w:anchor="_Toc66436002" w:history="1">
            <w:r w:rsidRPr="004F19EC">
              <w:rPr>
                <w:rStyle w:val="Hipervnculo"/>
                <w:noProof/>
              </w:rPr>
              <w:t>Conceptos básicos de resistencia a insecticidas</w:t>
            </w:r>
            <w:r>
              <w:rPr>
                <w:noProof/>
                <w:webHidden/>
              </w:rPr>
              <w:tab/>
            </w:r>
            <w:r>
              <w:rPr>
                <w:noProof/>
                <w:webHidden/>
              </w:rPr>
              <w:fldChar w:fldCharType="begin"/>
            </w:r>
            <w:r>
              <w:rPr>
                <w:noProof/>
                <w:webHidden/>
              </w:rPr>
              <w:instrText xml:space="preserve"> PAGEREF _Toc66436002 \h </w:instrText>
            </w:r>
            <w:r>
              <w:rPr>
                <w:noProof/>
                <w:webHidden/>
              </w:rPr>
            </w:r>
            <w:r>
              <w:rPr>
                <w:noProof/>
                <w:webHidden/>
              </w:rPr>
              <w:fldChar w:fldCharType="separate"/>
            </w:r>
            <w:r>
              <w:rPr>
                <w:noProof/>
                <w:webHidden/>
              </w:rPr>
              <w:t>1</w:t>
            </w:r>
            <w:r>
              <w:rPr>
                <w:noProof/>
                <w:webHidden/>
              </w:rPr>
              <w:fldChar w:fldCharType="end"/>
            </w:r>
          </w:hyperlink>
        </w:p>
        <w:p w14:paraId="6D1396B4" w14:textId="71942C81" w:rsidR="00C07311" w:rsidRDefault="00C07311">
          <w:pPr>
            <w:pStyle w:val="TDC3"/>
            <w:tabs>
              <w:tab w:val="right" w:leader="dot" w:pos="8828"/>
            </w:tabs>
            <w:rPr>
              <w:rFonts w:asciiTheme="minorHAnsi" w:eastAsiaTheme="minorEastAsia" w:hAnsiTheme="minorHAnsi"/>
              <w:noProof/>
              <w:szCs w:val="22"/>
              <w:lang w:eastAsia="es-CO"/>
            </w:rPr>
          </w:pPr>
          <w:hyperlink w:anchor="_Toc66436003" w:history="1">
            <w:r w:rsidRPr="004F19EC">
              <w:rPr>
                <w:rStyle w:val="Hipervnculo"/>
                <w:noProof/>
              </w:rPr>
              <w:t>Formación de una población de vectores resistente a insecticidas</w:t>
            </w:r>
            <w:r>
              <w:rPr>
                <w:noProof/>
                <w:webHidden/>
              </w:rPr>
              <w:tab/>
            </w:r>
            <w:r>
              <w:rPr>
                <w:noProof/>
                <w:webHidden/>
              </w:rPr>
              <w:fldChar w:fldCharType="begin"/>
            </w:r>
            <w:r>
              <w:rPr>
                <w:noProof/>
                <w:webHidden/>
              </w:rPr>
              <w:instrText xml:space="preserve"> PAGEREF _Toc66436003 \h </w:instrText>
            </w:r>
            <w:r>
              <w:rPr>
                <w:noProof/>
                <w:webHidden/>
              </w:rPr>
            </w:r>
            <w:r>
              <w:rPr>
                <w:noProof/>
                <w:webHidden/>
              </w:rPr>
              <w:fldChar w:fldCharType="separate"/>
            </w:r>
            <w:r>
              <w:rPr>
                <w:noProof/>
                <w:webHidden/>
              </w:rPr>
              <w:t>1</w:t>
            </w:r>
            <w:r>
              <w:rPr>
                <w:noProof/>
                <w:webHidden/>
              </w:rPr>
              <w:fldChar w:fldCharType="end"/>
            </w:r>
          </w:hyperlink>
        </w:p>
        <w:p w14:paraId="2389683C" w14:textId="75D90105" w:rsidR="00C07311" w:rsidRDefault="00C07311">
          <w:pPr>
            <w:pStyle w:val="TDC3"/>
            <w:tabs>
              <w:tab w:val="right" w:leader="dot" w:pos="8828"/>
            </w:tabs>
            <w:rPr>
              <w:rFonts w:asciiTheme="minorHAnsi" w:eastAsiaTheme="minorEastAsia" w:hAnsiTheme="minorHAnsi"/>
              <w:noProof/>
              <w:szCs w:val="22"/>
              <w:lang w:eastAsia="es-CO"/>
            </w:rPr>
          </w:pPr>
          <w:hyperlink w:anchor="_Toc66436004" w:history="1">
            <w:r w:rsidRPr="004F19EC">
              <w:rPr>
                <w:rStyle w:val="Hipervnculo"/>
                <w:noProof/>
              </w:rPr>
              <w:t>Causas de la resistencia</w:t>
            </w:r>
            <w:r>
              <w:rPr>
                <w:noProof/>
                <w:webHidden/>
              </w:rPr>
              <w:tab/>
            </w:r>
            <w:r>
              <w:rPr>
                <w:noProof/>
                <w:webHidden/>
              </w:rPr>
              <w:fldChar w:fldCharType="begin"/>
            </w:r>
            <w:r>
              <w:rPr>
                <w:noProof/>
                <w:webHidden/>
              </w:rPr>
              <w:instrText xml:space="preserve"> PAGEREF _Toc66436004 \h </w:instrText>
            </w:r>
            <w:r>
              <w:rPr>
                <w:noProof/>
                <w:webHidden/>
              </w:rPr>
            </w:r>
            <w:r>
              <w:rPr>
                <w:noProof/>
                <w:webHidden/>
              </w:rPr>
              <w:fldChar w:fldCharType="separate"/>
            </w:r>
            <w:r>
              <w:rPr>
                <w:noProof/>
                <w:webHidden/>
              </w:rPr>
              <w:t>3</w:t>
            </w:r>
            <w:r>
              <w:rPr>
                <w:noProof/>
                <w:webHidden/>
              </w:rPr>
              <w:fldChar w:fldCharType="end"/>
            </w:r>
          </w:hyperlink>
        </w:p>
        <w:p w14:paraId="69708E8D" w14:textId="3186C89C" w:rsidR="00C07311" w:rsidRDefault="00C07311">
          <w:pPr>
            <w:pStyle w:val="TDC3"/>
            <w:tabs>
              <w:tab w:val="right" w:leader="dot" w:pos="8828"/>
            </w:tabs>
            <w:rPr>
              <w:rFonts w:asciiTheme="minorHAnsi" w:eastAsiaTheme="minorEastAsia" w:hAnsiTheme="minorHAnsi"/>
              <w:noProof/>
              <w:szCs w:val="22"/>
              <w:lang w:eastAsia="es-CO"/>
            </w:rPr>
          </w:pPr>
          <w:hyperlink w:anchor="_Toc66436005" w:history="1">
            <w:r w:rsidRPr="004F19EC">
              <w:rPr>
                <w:rStyle w:val="Hipervnculo"/>
                <w:noProof/>
              </w:rPr>
              <w:t>Mecanismos de resistencia</w:t>
            </w:r>
            <w:r>
              <w:rPr>
                <w:noProof/>
                <w:webHidden/>
              </w:rPr>
              <w:tab/>
            </w:r>
            <w:r>
              <w:rPr>
                <w:noProof/>
                <w:webHidden/>
              </w:rPr>
              <w:fldChar w:fldCharType="begin"/>
            </w:r>
            <w:r>
              <w:rPr>
                <w:noProof/>
                <w:webHidden/>
              </w:rPr>
              <w:instrText xml:space="preserve"> PAGEREF _Toc66436005 \h </w:instrText>
            </w:r>
            <w:r>
              <w:rPr>
                <w:noProof/>
                <w:webHidden/>
              </w:rPr>
            </w:r>
            <w:r>
              <w:rPr>
                <w:noProof/>
                <w:webHidden/>
              </w:rPr>
              <w:fldChar w:fldCharType="separate"/>
            </w:r>
            <w:r>
              <w:rPr>
                <w:noProof/>
                <w:webHidden/>
              </w:rPr>
              <w:t>3</w:t>
            </w:r>
            <w:r>
              <w:rPr>
                <w:noProof/>
                <w:webHidden/>
              </w:rPr>
              <w:fldChar w:fldCharType="end"/>
            </w:r>
          </w:hyperlink>
        </w:p>
        <w:p w14:paraId="1E199F60" w14:textId="126A9E2F" w:rsidR="00C07311" w:rsidRDefault="00C07311">
          <w:pPr>
            <w:pStyle w:val="TDC2"/>
            <w:tabs>
              <w:tab w:val="right" w:leader="dot" w:pos="8828"/>
            </w:tabs>
            <w:rPr>
              <w:rFonts w:asciiTheme="minorHAnsi" w:eastAsiaTheme="minorEastAsia" w:hAnsiTheme="minorHAnsi"/>
              <w:noProof/>
              <w:szCs w:val="22"/>
              <w:lang w:eastAsia="es-CO"/>
            </w:rPr>
          </w:pPr>
          <w:hyperlink w:anchor="_Toc66436006" w:history="1">
            <w:r w:rsidRPr="004F19EC">
              <w:rPr>
                <w:rStyle w:val="Hipervnculo"/>
                <w:noProof/>
              </w:rPr>
              <w:t>Metodologías para detectar la resistencia</w:t>
            </w:r>
            <w:r>
              <w:rPr>
                <w:noProof/>
                <w:webHidden/>
              </w:rPr>
              <w:tab/>
            </w:r>
            <w:r>
              <w:rPr>
                <w:noProof/>
                <w:webHidden/>
              </w:rPr>
              <w:fldChar w:fldCharType="begin"/>
            </w:r>
            <w:r>
              <w:rPr>
                <w:noProof/>
                <w:webHidden/>
              </w:rPr>
              <w:instrText xml:space="preserve"> PAGEREF _Toc66436006 \h </w:instrText>
            </w:r>
            <w:r>
              <w:rPr>
                <w:noProof/>
                <w:webHidden/>
              </w:rPr>
            </w:r>
            <w:r>
              <w:rPr>
                <w:noProof/>
                <w:webHidden/>
              </w:rPr>
              <w:fldChar w:fldCharType="separate"/>
            </w:r>
            <w:r>
              <w:rPr>
                <w:noProof/>
                <w:webHidden/>
              </w:rPr>
              <w:t>4</w:t>
            </w:r>
            <w:r>
              <w:rPr>
                <w:noProof/>
                <w:webHidden/>
              </w:rPr>
              <w:fldChar w:fldCharType="end"/>
            </w:r>
          </w:hyperlink>
        </w:p>
        <w:p w14:paraId="5803EBC8" w14:textId="2E7E3F8D" w:rsidR="00C07311" w:rsidRDefault="00C07311">
          <w:pPr>
            <w:pStyle w:val="TDC3"/>
            <w:tabs>
              <w:tab w:val="right" w:leader="dot" w:pos="8828"/>
            </w:tabs>
            <w:rPr>
              <w:rFonts w:asciiTheme="minorHAnsi" w:eastAsiaTheme="minorEastAsia" w:hAnsiTheme="minorHAnsi"/>
              <w:noProof/>
              <w:szCs w:val="22"/>
              <w:lang w:eastAsia="es-CO"/>
            </w:rPr>
          </w:pPr>
          <w:hyperlink w:anchor="_Toc66436007" w:history="1">
            <w:r w:rsidRPr="004F19EC">
              <w:rPr>
                <w:rStyle w:val="Hipervnculo"/>
                <w:noProof/>
              </w:rPr>
              <w:t>¿Cómo se determina la susceptibilidad o resistencia a insecticidas?</w:t>
            </w:r>
            <w:r>
              <w:rPr>
                <w:noProof/>
                <w:webHidden/>
              </w:rPr>
              <w:tab/>
            </w:r>
            <w:r>
              <w:rPr>
                <w:noProof/>
                <w:webHidden/>
              </w:rPr>
              <w:fldChar w:fldCharType="begin"/>
            </w:r>
            <w:r>
              <w:rPr>
                <w:noProof/>
                <w:webHidden/>
              </w:rPr>
              <w:instrText xml:space="preserve"> PAGEREF _Toc66436007 \h </w:instrText>
            </w:r>
            <w:r>
              <w:rPr>
                <w:noProof/>
                <w:webHidden/>
              </w:rPr>
            </w:r>
            <w:r>
              <w:rPr>
                <w:noProof/>
                <w:webHidden/>
              </w:rPr>
              <w:fldChar w:fldCharType="separate"/>
            </w:r>
            <w:r>
              <w:rPr>
                <w:noProof/>
                <w:webHidden/>
              </w:rPr>
              <w:t>4</w:t>
            </w:r>
            <w:r>
              <w:rPr>
                <w:noProof/>
                <w:webHidden/>
              </w:rPr>
              <w:fldChar w:fldCharType="end"/>
            </w:r>
          </w:hyperlink>
        </w:p>
        <w:p w14:paraId="2979438E" w14:textId="62F85B2C" w:rsidR="00C07311" w:rsidRDefault="00C07311">
          <w:pPr>
            <w:pStyle w:val="TDC3"/>
            <w:tabs>
              <w:tab w:val="right" w:leader="dot" w:pos="8828"/>
            </w:tabs>
            <w:rPr>
              <w:rFonts w:asciiTheme="minorHAnsi" w:eastAsiaTheme="minorEastAsia" w:hAnsiTheme="minorHAnsi"/>
              <w:noProof/>
              <w:szCs w:val="22"/>
              <w:lang w:eastAsia="es-CO"/>
            </w:rPr>
          </w:pPr>
          <w:hyperlink w:anchor="_Toc66436008" w:history="1">
            <w:r w:rsidRPr="004F19EC">
              <w:rPr>
                <w:rStyle w:val="Hipervnculo"/>
                <w:noProof/>
              </w:rPr>
              <w:t>Pruebas biológicas OMS</w:t>
            </w:r>
            <w:r>
              <w:rPr>
                <w:noProof/>
                <w:webHidden/>
              </w:rPr>
              <w:tab/>
            </w:r>
            <w:r>
              <w:rPr>
                <w:noProof/>
                <w:webHidden/>
              </w:rPr>
              <w:fldChar w:fldCharType="begin"/>
            </w:r>
            <w:r>
              <w:rPr>
                <w:noProof/>
                <w:webHidden/>
              </w:rPr>
              <w:instrText xml:space="preserve"> PAGEREF _Toc66436008 \h </w:instrText>
            </w:r>
            <w:r>
              <w:rPr>
                <w:noProof/>
                <w:webHidden/>
              </w:rPr>
            </w:r>
            <w:r>
              <w:rPr>
                <w:noProof/>
                <w:webHidden/>
              </w:rPr>
              <w:fldChar w:fldCharType="separate"/>
            </w:r>
            <w:r>
              <w:rPr>
                <w:noProof/>
                <w:webHidden/>
              </w:rPr>
              <w:t>5</w:t>
            </w:r>
            <w:r>
              <w:rPr>
                <w:noProof/>
                <w:webHidden/>
              </w:rPr>
              <w:fldChar w:fldCharType="end"/>
            </w:r>
          </w:hyperlink>
        </w:p>
        <w:p w14:paraId="2C2167A4" w14:textId="4767993E" w:rsidR="00C07311" w:rsidRDefault="00C07311">
          <w:pPr>
            <w:pStyle w:val="TDC3"/>
            <w:tabs>
              <w:tab w:val="right" w:leader="dot" w:pos="8828"/>
            </w:tabs>
            <w:rPr>
              <w:rFonts w:asciiTheme="minorHAnsi" w:eastAsiaTheme="minorEastAsia" w:hAnsiTheme="minorHAnsi"/>
              <w:noProof/>
              <w:szCs w:val="22"/>
              <w:lang w:eastAsia="es-CO"/>
            </w:rPr>
          </w:pPr>
          <w:hyperlink w:anchor="_Toc66436009" w:history="1">
            <w:r w:rsidRPr="004F19EC">
              <w:rPr>
                <w:rStyle w:val="Hipervnculo"/>
                <w:noProof/>
              </w:rPr>
              <w:t>Pruebas biológicas CDC</w:t>
            </w:r>
            <w:r>
              <w:rPr>
                <w:noProof/>
                <w:webHidden/>
              </w:rPr>
              <w:tab/>
            </w:r>
            <w:r>
              <w:rPr>
                <w:noProof/>
                <w:webHidden/>
              </w:rPr>
              <w:fldChar w:fldCharType="begin"/>
            </w:r>
            <w:r>
              <w:rPr>
                <w:noProof/>
                <w:webHidden/>
              </w:rPr>
              <w:instrText xml:space="preserve"> PAGEREF _Toc66436009 \h </w:instrText>
            </w:r>
            <w:r>
              <w:rPr>
                <w:noProof/>
                <w:webHidden/>
              </w:rPr>
            </w:r>
            <w:r>
              <w:rPr>
                <w:noProof/>
                <w:webHidden/>
              </w:rPr>
              <w:fldChar w:fldCharType="separate"/>
            </w:r>
            <w:r>
              <w:rPr>
                <w:noProof/>
                <w:webHidden/>
              </w:rPr>
              <w:t>6</w:t>
            </w:r>
            <w:r>
              <w:rPr>
                <w:noProof/>
                <w:webHidden/>
              </w:rPr>
              <w:fldChar w:fldCharType="end"/>
            </w:r>
          </w:hyperlink>
        </w:p>
        <w:p w14:paraId="2A437B0C" w14:textId="1891DC3E" w:rsidR="004535AF" w:rsidRDefault="004535AF" w:rsidP="004535AF">
          <w:pPr>
            <w:rPr>
              <w:bCs/>
            </w:rPr>
          </w:pPr>
          <w:r>
            <w:rPr>
              <w:b/>
              <w:bCs/>
            </w:rPr>
            <w:fldChar w:fldCharType="end"/>
          </w:r>
        </w:p>
      </w:sdtContent>
    </w:sdt>
    <w:p w14:paraId="79D4410A" w14:textId="77777777" w:rsidR="004535AF" w:rsidRDefault="004535AF" w:rsidP="004535AF">
      <w:pPr>
        <w:rPr>
          <w:rFonts w:cs="Arial"/>
        </w:rPr>
      </w:pPr>
    </w:p>
    <w:p w14:paraId="5ED019FC" w14:textId="77777777" w:rsidR="004535AF" w:rsidRDefault="004535AF" w:rsidP="004535AF">
      <w:pPr>
        <w:tabs>
          <w:tab w:val="left" w:pos="812"/>
        </w:tabs>
        <w:rPr>
          <w:rFonts w:cs="Arial"/>
        </w:rPr>
      </w:pPr>
      <w:r>
        <w:rPr>
          <w:rFonts w:cs="Arial"/>
        </w:rPr>
        <w:tab/>
      </w:r>
    </w:p>
    <w:p w14:paraId="7081D467" w14:textId="77777777" w:rsidR="004535AF" w:rsidRDefault="004535AF" w:rsidP="004535AF">
      <w:pPr>
        <w:tabs>
          <w:tab w:val="left" w:pos="812"/>
        </w:tabs>
        <w:rPr>
          <w:rFonts w:cs="Arial"/>
        </w:rPr>
      </w:pPr>
    </w:p>
    <w:p w14:paraId="3FBE56EC" w14:textId="77777777" w:rsidR="004535AF" w:rsidRDefault="004535AF" w:rsidP="004535AF">
      <w:pPr>
        <w:tabs>
          <w:tab w:val="left" w:pos="812"/>
        </w:tabs>
        <w:rPr>
          <w:rFonts w:cs="Arial"/>
        </w:rPr>
      </w:pPr>
    </w:p>
    <w:p w14:paraId="04197DF8" w14:textId="77777777" w:rsidR="004535AF" w:rsidRDefault="004535AF" w:rsidP="004535AF"/>
    <w:p w14:paraId="61024B97" w14:textId="77777777" w:rsidR="004535AF" w:rsidRDefault="004535AF" w:rsidP="004535AF"/>
    <w:p w14:paraId="301AB80C"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0C13762F" w14:textId="77777777" w:rsidR="00BD0900" w:rsidRPr="004535AF" w:rsidRDefault="00BD0900" w:rsidP="004535AF"/>
    <w:p w14:paraId="1CB84A50" w14:textId="77777777" w:rsidR="00C07311" w:rsidRPr="008A7EE9" w:rsidRDefault="00C07311" w:rsidP="00C07311">
      <w:pPr>
        <w:pStyle w:val="Ttulo"/>
      </w:pPr>
      <w:r w:rsidRPr="008A7EE9">
        <w:t>CURSO: CONCEPTOS BÁSICOS DE LA ESTRATEGIA DE ELIMINACIÓN DE LA MALARIA</w:t>
      </w:r>
    </w:p>
    <w:p w14:paraId="6507A6EB" w14:textId="77777777" w:rsidR="00C07311" w:rsidRPr="008A7EE9" w:rsidRDefault="00C07311" w:rsidP="00C07311">
      <w:pPr>
        <w:pStyle w:val="Subttulo"/>
      </w:pPr>
      <w:r w:rsidRPr="008A7EE9">
        <w:t>MODULO 5: Vigilancia entomológica de la malaria</w:t>
      </w:r>
    </w:p>
    <w:p w14:paraId="719B66A0" w14:textId="77777777" w:rsidR="00C07311" w:rsidRPr="001F1EE2" w:rsidRDefault="00C07311" w:rsidP="00C07311">
      <w:pPr>
        <w:pStyle w:val="Ttulo1"/>
      </w:pPr>
      <w:bookmarkStart w:id="0" w:name="_Toc64879715"/>
      <w:bookmarkStart w:id="1" w:name="_Toc66436000"/>
      <w:r w:rsidRPr="008A7EE9">
        <w:t>Unidad 3. Resistencia a insecticidas y las pruebas biológicas.</w:t>
      </w:r>
      <w:bookmarkEnd w:id="0"/>
      <w:bookmarkEnd w:id="1"/>
    </w:p>
    <w:p w14:paraId="71BCFF7C" w14:textId="77777777" w:rsidR="00C07311" w:rsidRDefault="00C07311" w:rsidP="00C07311">
      <w:pPr>
        <w:pStyle w:val="Ttulo2"/>
      </w:pPr>
      <w:bookmarkStart w:id="2" w:name="_Toc64879716"/>
      <w:bookmarkStart w:id="3" w:name="_Toc66436001"/>
      <w:r>
        <w:t>Resultado de aprendizaje</w:t>
      </w:r>
      <w:bookmarkEnd w:id="2"/>
      <w:bookmarkEnd w:id="3"/>
    </w:p>
    <w:p w14:paraId="7AA21F85" w14:textId="77777777" w:rsidR="00C07311" w:rsidRPr="001F1EE2" w:rsidRDefault="00C07311" w:rsidP="00C07311">
      <w:r w:rsidRPr="008A7EE9">
        <w:t>Identificar generalidades de la Vigilancia entomológica en los territorios de acuerdo con los lineamientos nacionales vigentes</w:t>
      </w:r>
    </w:p>
    <w:p w14:paraId="38A02BAD" w14:textId="77777777" w:rsidR="00C07311" w:rsidRDefault="00C07311" w:rsidP="00C07311">
      <w:pPr>
        <w:pStyle w:val="Ttulo2"/>
      </w:pPr>
      <w:bookmarkStart w:id="4" w:name="_Toc64879717"/>
      <w:bookmarkStart w:id="5" w:name="_Toc66436002"/>
      <w:r>
        <w:t>Conceptos básicos de resistencia a insecticidas</w:t>
      </w:r>
      <w:bookmarkEnd w:id="4"/>
      <w:bookmarkEnd w:id="5"/>
    </w:p>
    <w:p w14:paraId="73B85726" w14:textId="77777777" w:rsidR="00C07311" w:rsidRDefault="00C07311" w:rsidP="00C07311">
      <w:pPr>
        <w:pStyle w:val="Ttulo3"/>
      </w:pPr>
      <w:bookmarkStart w:id="6" w:name="_Toc64879718"/>
      <w:bookmarkStart w:id="7" w:name="_Toc66436003"/>
      <w:r>
        <w:t>Formación de una población de vectores resistente a insecticidas</w:t>
      </w:r>
      <w:bookmarkEnd w:id="6"/>
      <w:bookmarkEnd w:id="7"/>
    </w:p>
    <w:p w14:paraId="01F43BB4" w14:textId="77777777" w:rsidR="00C07311" w:rsidRDefault="00C07311" w:rsidP="00C07311">
      <w:pPr>
        <w:pStyle w:val="Ttulo4"/>
      </w:pPr>
      <w:r>
        <w:t>¿Qué es la resistencia a insecticidas?</w:t>
      </w:r>
    </w:p>
    <w:p w14:paraId="11A31547" w14:textId="77777777" w:rsidR="00C07311" w:rsidRDefault="00C07311" w:rsidP="00C07311">
      <w:r>
        <w:t xml:space="preserve">La resistencia fisiológica a insecticidas es la habilidad de una población de insectos para tolerar dosis de insecticidas que serían letales para la mayoría de los individuos de una población normal de la misma especie </w:t>
      </w:r>
      <w:sdt>
        <w:sdtPr>
          <w:id w:val="482289491"/>
          <w:citation/>
        </w:sdtPr>
        <w:sdtContent>
          <w:r>
            <w:fldChar w:fldCharType="begin"/>
          </w:r>
          <w:r>
            <w:instrText xml:space="preserve"> CITATION Naj01 \l 9226 </w:instrText>
          </w:r>
          <w:r>
            <w:fldChar w:fldCharType="separate"/>
          </w:r>
          <w:r>
            <w:rPr>
              <w:noProof/>
            </w:rPr>
            <w:t>(1)</w:t>
          </w:r>
          <w:r>
            <w:fldChar w:fldCharType="end"/>
          </w:r>
        </w:sdtContent>
      </w:sdt>
      <w:r>
        <w:t xml:space="preserve"> </w:t>
      </w:r>
      <w:sdt>
        <w:sdtPr>
          <w:id w:val="292187386"/>
          <w:citation/>
        </w:sdtPr>
        <w:sdtContent>
          <w:r>
            <w:fldChar w:fldCharType="begin"/>
          </w:r>
          <w:r>
            <w:instrText xml:space="preserve"> CITATION LSa08 \l 9226 </w:instrText>
          </w:r>
          <w:r>
            <w:fldChar w:fldCharType="separate"/>
          </w:r>
          <w:r>
            <w:rPr>
              <w:noProof/>
            </w:rPr>
            <w:t>(2)</w:t>
          </w:r>
          <w:r>
            <w:fldChar w:fldCharType="end"/>
          </w:r>
        </w:sdtContent>
      </w:sdt>
      <w:r>
        <w:t>. En este sentido y debido a que la resistencia es un fenómeno que ocurre en una población, su ocurrencia se da en un lugar y tiempo específico, por lo tanto, no es posible generalizar para una especie del vector, área geográfica muy amplia como municipio o país, ni de manera permanente en el tiempo.</w:t>
      </w:r>
    </w:p>
    <w:p w14:paraId="3873F0B4" w14:textId="77777777" w:rsidR="00C07311" w:rsidRDefault="00C07311" w:rsidP="00C07311">
      <w:r>
        <w:t xml:space="preserve">Los resultados de resistencia en las pruebas biológicas permiten generar alerta sobre una posible resistencia, la cual se confirma ante la falla sistemática de las intervenciones de control vectorial basadas en insecticidas, que en el caso de malaria corresponde a MTILD o RRI </w:t>
      </w:r>
      <w:sdt>
        <w:sdtPr>
          <w:id w:val="-1544752701"/>
          <w:citation/>
        </w:sdtPr>
        <w:sdtContent>
          <w:r>
            <w:fldChar w:fldCharType="begin"/>
          </w:r>
          <w:r>
            <w:instrText xml:space="preserve"> CITATION Org20 \l 9226 </w:instrText>
          </w:r>
          <w:r>
            <w:fldChar w:fldCharType="separate"/>
          </w:r>
          <w:r>
            <w:rPr>
              <w:noProof/>
            </w:rPr>
            <w:t>(3)</w:t>
          </w:r>
          <w:r>
            <w:fldChar w:fldCharType="end"/>
          </w:r>
        </w:sdtContent>
      </w:sdt>
    </w:p>
    <w:p w14:paraId="52E604CD" w14:textId="77777777" w:rsidR="00C07311" w:rsidRDefault="00C07311" w:rsidP="00C07311">
      <w:pPr>
        <w:pStyle w:val="Ttulo4"/>
      </w:pPr>
      <w:r>
        <w:lastRenderedPageBreak/>
        <w:t>¿Cómo se forma una población de mosquitos resistentes?</w:t>
      </w:r>
    </w:p>
    <w:p w14:paraId="5D531D63" w14:textId="77777777" w:rsidR="00C07311" w:rsidRDefault="00C07311" w:rsidP="00C07311">
      <w:r>
        <w:t>En la figura 1, encontrará la explicación gráfica de lo que se explica a continuación:</w:t>
      </w:r>
    </w:p>
    <w:p w14:paraId="589B54E7" w14:textId="77777777" w:rsidR="00C07311" w:rsidRDefault="00C07311" w:rsidP="00C07311">
      <w:pPr>
        <w:pStyle w:val="Prrafodelista"/>
        <w:numPr>
          <w:ilvl w:val="0"/>
          <w:numId w:val="1"/>
        </w:numPr>
      </w:pPr>
      <w:r>
        <w:t xml:space="preserve">En la población pueden encontrarse de manera natural mosquitos que presentan algún mecanismo de resistencia en particular, denominada en la gráfica como RR y RS </w:t>
      </w:r>
      <w:sdt>
        <w:sdtPr>
          <w:id w:val="1750229592"/>
          <w:citation/>
        </w:sdtPr>
        <w:sdtContent>
          <w:r>
            <w:fldChar w:fldCharType="begin"/>
          </w:r>
          <w:r>
            <w:instrText xml:space="preserve"> CITATION Naj01 \l 9226 </w:instrText>
          </w:r>
          <w:r>
            <w:fldChar w:fldCharType="separate"/>
          </w:r>
          <w:r>
            <w:rPr>
              <w:noProof/>
            </w:rPr>
            <w:t>(1)</w:t>
          </w:r>
          <w:r>
            <w:fldChar w:fldCharType="end"/>
          </w:r>
        </w:sdtContent>
      </w:sdt>
    </w:p>
    <w:p w14:paraId="5A14F802" w14:textId="77777777" w:rsidR="00C07311" w:rsidRDefault="00C07311" w:rsidP="00C07311">
      <w:pPr>
        <w:pStyle w:val="Prrafodelista"/>
        <w:numPr>
          <w:ilvl w:val="0"/>
          <w:numId w:val="1"/>
        </w:numPr>
      </w:pPr>
      <w:r>
        <w:t xml:space="preserve">Estos mosquitos se ven favorecidos ante a la presión ejercida por el insecticida, pues sobreviven, generando nueva descendencia con esta condición </w:t>
      </w:r>
      <w:sdt>
        <w:sdtPr>
          <w:id w:val="-1800598763"/>
          <w:citation/>
        </w:sdtPr>
        <w:sdtContent>
          <w:r>
            <w:fldChar w:fldCharType="begin"/>
          </w:r>
          <w:r>
            <w:instrText xml:space="preserve"> CITATION LSa08 \l 9226 </w:instrText>
          </w:r>
          <w:r>
            <w:fldChar w:fldCharType="separate"/>
          </w:r>
          <w:r>
            <w:rPr>
              <w:noProof/>
            </w:rPr>
            <w:t>(2)</w:t>
          </w:r>
          <w:r>
            <w:fldChar w:fldCharType="end"/>
          </w:r>
        </w:sdtContent>
      </w:sdt>
      <w:r>
        <w:t xml:space="preserve">. </w:t>
      </w:r>
    </w:p>
    <w:p w14:paraId="717B599D" w14:textId="77777777" w:rsidR="00C07311" w:rsidRDefault="00C07311" w:rsidP="00C07311">
      <w:pPr>
        <w:pStyle w:val="Prrafodelista"/>
        <w:numPr>
          <w:ilvl w:val="0"/>
          <w:numId w:val="1"/>
        </w:numPr>
      </w:pPr>
      <w:r>
        <w:t xml:space="preserve">Al continuar la presión o intervenciones de control con la misma molécula insecticida por un tiempo controlado, los individuos resistentes que sobreviven generaran nuevos individuos con esta característica </w:t>
      </w:r>
      <w:sdt>
        <w:sdtPr>
          <w:id w:val="-1633094624"/>
          <w:citation/>
        </w:sdtPr>
        <w:sdtContent>
          <w:r>
            <w:fldChar w:fldCharType="begin"/>
          </w:r>
          <w:r>
            <w:instrText xml:space="preserve"> CITATION Org20 \l 9226 </w:instrText>
          </w:r>
          <w:r>
            <w:fldChar w:fldCharType="separate"/>
          </w:r>
          <w:r>
            <w:rPr>
              <w:noProof/>
            </w:rPr>
            <w:t>(3)</w:t>
          </w:r>
          <w:r>
            <w:fldChar w:fldCharType="end"/>
          </w:r>
        </w:sdtContent>
      </w:sdt>
      <w:r>
        <w:t>.</w:t>
      </w:r>
    </w:p>
    <w:p w14:paraId="2429C3AA" w14:textId="77777777" w:rsidR="00C07311" w:rsidRPr="001F1EE2" w:rsidRDefault="00C07311" w:rsidP="00C07311">
      <w:pPr>
        <w:pStyle w:val="Prrafodelista"/>
        <w:numPr>
          <w:ilvl w:val="0"/>
          <w:numId w:val="1"/>
        </w:numPr>
      </w:pPr>
      <w:r>
        <w:t>Su número se incrementa dentro de la población, hasta que finalmente se tendrá como resultado una población resistente. (figura 1).</w:t>
      </w:r>
    </w:p>
    <w:p w14:paraId="71440C53" w14:textId="77777777" w:rsidR="00C07311" w:rsidRDefault="00C07311" w:rsidP="00C07311">
      <w:pPr>
        <w:pStyle w:val="Descripcin"/>
        <w:keepNext/>
      </w:pPr>
      <w:bookmarkStart w:id="8" w:name="_Toc64878526"/>
      <w:bookmarkStart w:id="9" w:name="_Toc66435995"/>
      <w:r>
        <w:t xml:space="preserve">Figura  </w:t>
      </w:r>
      <w:r>
        <w:fldChar w:fldCharType="begin"/>
      </w:r>
      <w:r>
        <w:instrText xml:space="preserve"> SEQ Figura_ \* ARABIC </w:instrText>
      </w:r>
      <w:r>
        <w:fldChar w:fldCharType="separate"/>
      </w:r>
      <w:r>
        <w:rPr>
          <w:noProof/>
        </w:rPr>
        <w:t>1</w:t>
      </w:r>
      <w:r>
        <w:rPr>
          <w:noProof/>
        </w:rPr>
        <w:fldChar w:fldCharType="end"/>
      </w:r>
      <w:r>
        <w:t xml:space="preserve"> </w:t>
      </w:r>
      <w:r w:rsidRPr="007D5B42">
        <w:t>Formación de una población de mosquitos, resistente a insecticidas</w:t>
      </w:r>
      <w:bookmarkEnd w:id="8"/>
      <w:bookmarkEnd w:id="9"/>
    </w:p>
    <w:p w14:paraId="5A99B580" w14:textId="77777777" w:rsidR="00C07311" w:rsidRDefault="00C07311" w:rsidP="00C07311">
      <w:r>
        <w:rPr>
          <w:noProof/>
        </w:rPr>
        <w:drawing>
          <wp:inline distT="0" distB="0" distL="0" distR="0" wp14:anchorId="091D7600" wp14:editId="4A44A69B">
            <wp:extent cx="5943600" cy="3493770"/>
            <wp:effectExtent l="0" t="0" r="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3600" cy="3493770"/>
                    </a:xfrm>
                    <a:prstGeom prst="rect">
                      <a:avLst/>
                    </a:prstGeom>
                  </pic:spPr>
                </pic:pic>
              </a:graphicData>
            </a:graphic>
          </wp:inline>
        </w:drawing>
      </w:r>
    </w:p>
    <w:p w14:paraId="55D4D853" w14:textId="77777777" w:rsidR="00C07311" w:rsidRDefault="00C07311" w:rsidP="00C07311">
      <w:pPr>
        <w:jc w:val="center"/>
      </w:pPr>
      <w:r>
        <w:t>Fuente: construcción propia</w:t>
      </w:r>
    </w:p>
    <w:p w14:paraId="617BC669" w14:textId="77777777" w:rsidR="00C07311" w:rsidRPr="001F1EE2" w:rsidRDefault="00C07311" w:rsidP="00C07311">
      <w:r>
        <w:rPr>
          <w:rFonts w:cs="Arial"/>
          <w:noProof/>
          <w:szCs w:val="22"/>
        </w:rPr>
        <mc:AlternateContent>
          <mc:Choice Requires="wps">
            <w:drawing>
              <wp:anchor distT="0" distB="0" distL="114300" distR="114300" simplePos="0" relativeHeight="251675648" behindDoc="0" locked="0" layoutInCell="1" allowOverlap="1" wp14:anchorId="46B86286" wp14:editId="2AA87CD5">
                <wp:simplePos x="0" y="0"/>
                <wp:positionH relativeFrom="margin">
                  <wp:align>left</wp:align>
                </wp:positionH>
                <wp:positionV relativeFrom="paragraph">
                  <wp:posOffset>-1905</wp:posOffset>
                </wp:positionV>
                <wp:extent cx="5626735" cy="1185333"/>
                <wp:effectExtent l="0" t="0" r="12065" b="15240"/>
                <wp:wrapNone/>
                <wp:docPr id="29" name="Rectángulo: esquinas redondeadas 29"/>
                <wp:cNvGraphicFramePr/>
                <a:graphic xmlns:a="http://schemas.openxmlformats.org/drawingml/2006/main">
                  <a:graphicData uri="http://schemas.microsoft.com/office/word/2010/wordprocessingShape">
                    <wps:wsp>
                      <wps:cNvSpPr/>
                      <wps:spPr>
                        <a:xfrm>
                          <a:off x="0" y="0"/>
                          <a:ext cx="5626735" cy="1185333"/>
                        </a:xfrm>
                        <a:prstGeom prst="roundRect">
                          <a:avLst/>
                        </a:prstGeom>
                        <a:solidFill>
                          <a:schemeClr val="accent1">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18545" w14:textId="77777777" w:rsidR="00C07311" w:rsidRPr="00525EB7" w:rsidRDefault="00C07311" w:rsidP="00C07311">
                            <w:pPr>
                              <w:rPr>
                                <w:color w:val="000000" w:themeColor="text1"/>
                                <w:sz w:val="18"/>
                                <w:szCs w:val="18"/>
                              </w:rPr>
                            </w:pPr>
                            <w:r w:rsidRPr="00525EB7">
                              <w:rPr>
                                <w:noProof/>
                                <w:color w:val="000000" w:themeColor="text1"/>
                                <w:sz w:val="18"/>
                                <w:szCs w:val="18"/>
                              </w:rPr>
                              <w:drawing>
                                <wp:inline distT="0" distB="0" distL="0" distR="0" wp14:anchorId="3B403075" wp14:editId="288FDC16">
                                  <wp:extent cx="254000" cy="254000"/>
                                  <wp:effectExtent l="0" t="0" r="0" b="0"/>
                                  <wp:docPr id="21" name="Gráfico 21"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w:t>
                            </w:r>
                            <w:r w:rsidRPr="008A7EE9">
                              <w:rPr>
                                <w:color w:val="000000" w:themeColor="text1"/>
                                <w:sz w:val="18"/>
                                <w:szCs w:val="18"/>
                              </w:rPr>
                              <w:t>la resistencia a un determinado insecticida es una característica heredada que se manifiesta en la población. Por lo tanto, la vigilancia de la resistencia a insecticidas permite detectar el incremento de los individuos resistentes dentro de una población y tomar medidas oportunas, como la suspensión temporal del insecticida, con el fin de preservar su eficacia.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86286" id="Rectángulo: esquinas redondeadas 29" o:spid="_x0000_s1029" style="position:absolute;left:0;text-align:left;margin-left:0;margin-top:-.15pt;width:443.05pt;height:93.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" fillcolor="#d9e2f3 [660]" strokecolor="#1f3763 [1604]" strokeweight="1pt">
                <v:stroke joinstyle="miter"/>
                <v:textbox>
                  <w:txbxContent>
                    <w:p w14:paraId="02418545" w14:textId="77777777" w:rsidR="00C07311" w:rsidRPr="00525EB7" w:rsidRDefault="00C07311" w:rsidP="00C07311">
                      <w:pPr>
                        <w:rPr>
                          <w:color w:val="000000" w:themeColor="text1"/>
                          <w:sz w:val="18"/>
                          <w:szCs w:val="18"/>
                        </w:rPr>
                      </w:pPr>
                      <w:r w:rsidRPr="00525EB7">
                        <w:rPr>
                          <w:noProof/>
                          <w:color w:val="000000" w:themeColor="text1"/>
                          <w:sz w:val="18"/>
                          <w:szCs w:val="18"/>
                        </w:rPr>
                        <w:drawing>
                          <wp:inline distT="0" distB="0" distL="0" distR="0" wp14:anchorId="3B403075" wp14:editId="288FDC16">
                            <wp:extent cx="254000" cy="254000"/>
                            <wp:effectExtent l="0" t="0" r="0" b="0"/>
                            <wp:docPr id="21" name="Gráfico 21"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w:t>
                      </w:r>
                      <w:r w:rsidRPr="008A7EE9">
                        <w:rPr>
                          <w:color w:val="000000" w:themeColor="text1"/>
                          <w:sz w:val="18"/>
                          <w:szCs w:val="18"/>
                        </w:rPr>
                        <w:t>la resistencia a un determinado insecticida es una característica heredada que se manifiesta en la población. Por lo tanto, la vigilancia de la resistencia a insecticidas permite detectar el incremento de los individuos resistentes dentro de una población y tomar medidas oportunas, como la suspensión temporal del insecticida, con el fin de preservar su eficacia.</w:t>
                      </w:r>
                    </w:p>
                  </w:txbxContent>
                </v:textbox>
                <w10:wrap anchorx="margin"/>
              </v:roundrect>
            </w:pict>
          </mc:Fallback>
        </mc:AlternateContent>
      </w:r>
    </w:p>
    <w:p w14:paraId="64779750" w14:textId="77777777" w:rsidR="00C07311" w:rsidRPr="001F1EE2" w:rsidRDefault="00C07311" w:rsidP="00C07311"/>
    <w:p w14:paraId="5AF4CADA" w14:textId="77777777" w:rsidR="00C07311" w:rsidRPr="001F1EE2" w:rsidRDefault="00C07311" w:rsidP="00C07311"/>
    <w:p w14:paraId="7C16F185" w14:textId="77777777" w:rsidR="00C07311" w:rsidRDefault="00C07311" w:rsidP="00C07311"/>
    <w:p w14:paraId="173C83D7" w14:textId="77777777" w:rsidR="00C07311" w:rsidRPr="001F1EE2" w:rsidRDefault="00C07311" w:rsidP="00C07311"/>
    <w:p w14:paraId="079A80C9" w14:textId="77777777" w:rsidR="00C07311" w:rsidRDefault="00C07311" w:rsidP="00C07311">
      <w:pPr>
        <w:pStyle w:val="Ttulo3"/>
      </w:pPr>
      <w:bookmarkStart w:id="10" w:name="_Toc64879719"/>
      <w:bookmarkStart w:id="11" w:name="_Toc66436004"/>
      <w:r>
        <w:t>Causas de la resistencia</w:t>
      </w:r>
      <w:bookmarkEnd w:id="10"/>
      <w:bookmarkEnd w:id="11"/>
    </w:p>
    <w:p w14:paraId="4D4B62E7" w14:textId="77777777" w:rsidR="00C07311" w:rsidRDefault="00C07311" w:rsidP="00C07311">
      <w:pPr>
        <w:pStyle w:val="Ttulo4"/>
      </w:pPr>
      <w:r>
        <w:t>¿Por qué una población del vector se vuelve resistente a insecticidas?</w:t>
      </w:r>
    </w:p>
    <w:p w14:paraId="7FDDABA4" w14:textId="3717BB01" w:rsidR="00C07311" w:rsidRDefault="00C07311" w:rsidP="00C07311">
      <w:r>
        <w:t xml:space="preserve">Como comentamos anteriormente, la base de la resistencia a insecticidas es genética, sin embargo, existen algunos factores biológicos característicos de los mosquitos, como una tasa reproductiva alta y ciclos de vida cortos, que permiten que el mecanismo de resistencia se herede a la siguiente generación de manera más rápida. </w:t>
      </w:r>
    </w:p>
    <w:p w14:paraId="760EAC7C" w14:textId="77777777" w:rsidR="00C07311" w:rsidRDefault="00C07311" w:rsidP="00C07311">
      <w:r>
        <w:t>Por otra parte, el tipo de insecticida también incide en la aparición de la resistencia, bien sea por su persistencia que hace que el producto permanezca por más tiempo en el ambiente y lo que propicia que diferentes generaciones de mosquitos tengan contacto con el insecticida; porque las moléculas de los ingredientes activos de los productos comerciales utilizados por las comunidades o la agricultura son los mismos que los utilizados en salud pública;  o cuando  moléculas diferentes comparten el sitio de acción en el insecto, lo que puede generar una resistencia cruzada, es decir que un mismo mecanismo de acción genera  resistencia a más de un insecticida.</w:t>
      </w:r>
    </w:p>
    <w:p w14:paraId="2BFBFF45" w14:textId="77777777" w:rsidR="00C07311" w:rsidRPr="001F1EE2" w:rsidRDefault="00C07311" w:rsidP="00C07311">
      <w:r>
        <w:rPr>
          <w:rFonts w:cs="Arial"/>
          <w:noProof/>
          <w:szCs w:val="22"/>
        </w:rPr>
        <mc:AlternateContent>
          <mc:Choice Requires="wps">
            <w:drawing>
              <wp:anchor distT="0" distB="0" distL="114300" distR="114300" simplePos="0" relativeHeight="251676672" behindDoc="0" locked="0" layoutInCell="1" allowOverlap="1" wp14:anchorId="1CC9BC2A" wp14:editId="0244675C">
                <wp:simplePos x="0" y="0"/>
                <wp:positionH relativeFrom="margin">
                  <wp:align>left</wp:align>
                </wp:positionH>
                <wp:positionV relativeFrom="paragraph">
                  <wp:posOffset>627592</wp:posOffset>
                </wp:positionV>
                <wp:extent cx="5626735" cy="795866"/>
                <wp:effectExtent l="0" t="0" r="12065" b="23495"/>
                <wp:wrapNone/>
                <wp:docPr id="1" name="Rectángulo: esquinas redondeadas 1"/>
                <wp:cNvGraphicFramePr/>
                <a:graphic xmlns:a="http://schemas.openxmlformats.org/drawingml/2006/main">
                  <a:graphicData uri="http://schemas.microsoft.com/office/word/2010/wordprocessingShape">
                    <wps:wsp>
                      <wps:cNvSpPr/>
                      <wps:spPr>
                        <a:xfrm>
                          <a:off x="0" y="0"/>
                          <a:ext cx="5626735" cy="795866"/>
                        </a:xfrm>
                        <a:prstGeom prst="roundRect">
                          <a:avLst/>
                        </a:prstGeom>
                        <a:solidFill>
                          <a:schemeClr val="accent1">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AFAD4" w14:textId="77777777" w:rsidR="00C07311" w:rsidRPr="00525EB7" w:rsidRDefault="00C07311" w:rsidP="00C07311">
                            <w:pPr>
                              <w:rPr>
                                <w:color w:val="000000" w:themeColor="text1"/>
                                <w:sz w:val="18"/>
                                <w:szCs w:val="18"/>
                              </w:rPr>
                            </w:pPr>
                            <w:r w:rsidRPr="00525EB7">
                              <w:rPr>
                                <w:noProof/>
                                <w:color w:val="000000" w:themeColor="text1"/>
                                <w:sz w:val="18"/>
                                <w:szCs w:val="18"/>
                              </w:rPr>
                              <w:drawing>
                                <wp:inline distT="0" distB="0" distL="0" distR="0" wp14:anchorId="2899D1AE" wp14:editId="300DCE83">
                                  <wp:extent cx="254000" cy="254000"/>
                                  <wp:effectExtent l="0" t="0" r="0" b="0"/>
                                  <wp:docPr id="22" name="Gráfico 22"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w:t>
                            </w:r>
                            <w:r w:rsidRPr="008A7EE9">
                              <w:rPr>
                                <w:color w:val="000000" w:themeColor="text1"/>
                                <w:sz w:val="18"/>
                                <w:szCs w:val="18"/>
                              </w:rPr>
                              <w:t>Nosotros podemos influir sobre los factores operativos de la resistencia, garantizando que las intervenciones químicas se realicen con calidad. Lo cual se logra mediante la preparación adecuada de los productos, uso de equipos calibrados y una aplicación correcta</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9BC2A" id="Rectángulo: esquinas redondeadas 1" o:spid="_x0000_s1030" style="position:absolute;left:0;text-align:left;margin-left:0;margin-top:49.4pt;width:443.05pt;height:62.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" fillcolor="#d9e2f3 [660]" strokecolor="#1f3763 [1604]" strokeweight="1pt">
                <v:stroke joinstyle="miter"/>
                <v:textbox>
                  <w:txbxContent>
                    <w:p w14:paraId="31FAFAD4" w14:textId="77777777" w:rsidR="00C07311" w:rsidRPr="00525EB7" w:rsidRDefault="00C07311" w:rsidP="00C07311">
                      <w:pPr>
                        <w:rPr>
                          <w:color w:val="000000" w:themeColor="text1"/>
                          <w:sz w:val="18"/>
                          <w:szCs w:val="18"/>
                        </w:rPr>
                      </w:pPr>
                      <w:r w:rsidRPr="00525EB7">
                        <w:rPr>
                          <w:noProof/>
                          <w:color w:val="000000" w:themeColor="text1"/>
                          <w:sz w:val="18"/>
                          <w:szCs w:val="18"/>
                        </w:rPr>
                        <w:drawing>
                          <wp:inline distT="0" distB="0" distL="0" distR="0" wp14:anchorId="2899D1AE" wp14:editId="300DCE83">
                            <wp:extent cx="254000" cy="254000"/>
                            <wp:effectExtent l="0" t="0" r="0" b="0"/>
                            <wp:docPr id="22" name="Gráfico 22"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w:t>
                      </w:r>
                      <w:r w:rsidRPr="008A7EE9">
                        <w:rPr>
                          <w:color w:val="000000" w:themeColor="text1"/>
                          <w:sz w:val="18"/>
                          <w:szCs w:val="18"/>
                        </w:rPr>
                        <w:t>Nosotros podemos influir sobre los factores operativos de la resistencia, garantizando que las intervenciones químicas se realicen con calidad. Lo cual se logra mediante la preparación adecuada de los productos, uso de equipos calibrados y una aplicación correcta</w:t>
                      </w:r>
                      <w:r>
                        <w:rPr>
                          <w:color w:val="000000" w:themeColor="text1"/>
                          <w:sz w:val="18"/>
                          <w:szCs w:val="18"/>
                        </w:rPr>
                        <w:t>.</w:t>
                      </w:r>
                    </w:p>
                  </w:txbxContent>
                </v:textbox>
                <w10:wrap anchorx="margin"/>
              </v:roundrect>
            </w:pict>
          </mc:Fallback>
        </mc:AlternateContent>
      </w:r>
      <w:r>
        <w:t>Adicionalmente a los factores biológicos, genéticos y de los mismos productos que ya mencionamos se encuentran los de tipo operativo, relacionados con fallas en la dosificación, calibración o mal estado de los equipos de aplicación.</w:t>
      </w:r>
    </w:p>
    <w:p w14:paraId="7D7CB508" w14:textId="77777777" w:rsidR="00C07311" w:rsidRPr="001F1EE2" w:rsidRDefault="00C07311" w:rsidP="00C07311"/>
    <w:p w14:paraId="3439F23D" w14:textId="77777777" w:rsidR="00C07311" w:rsidRPr="001F1EE2" w:rsidRDefault="00C07311" w:rsidP="00C07311"/>
    <w:p w14:paraId="2E0ECB3A" w14:textId="77777777" w:rsidR="00C07311" w:rsidRPr="001F1EE2" w:rsidRDefault="00C07311" w:rsidP="00C07311"/>
    <w:p w14:paraId="08974B56" w14:textId="77777777" w:rsidR="00C07311" w:rsidRDefault="00C07311" w:rsidP="00C07311">
      <w:pPr>
        <w:pStyle w:val="Ttulo3"/>
      </w:pPr>
      <w:bookmarkStart w:id="12" w:name="_Toc64879720"/>
      <w:bookmarkStart w:id="13" w:name="_Toc66436005"/>
      <w:r>
        <w:t>Mecanismos de resistencia</w:t>
      </w:r>
      <w:bookmarkEnd w:id="12"/>
      <w:bookmarkEnd w:id="13"/>
    </w:p>
    <w:p w14:paraId="2F31DEDC" w14:textId="77777777" w:rsidR="00C07311" w:rsidRDefault="00C07311" w:rsidP="00C07311">
      <w:r>
        <w:t xml:space="preserve">Los mecanismos responsables de la resistencia pueden ser de tipo: comportamental, cuando se genera algún cambio de comportamiento del vector que le permite evadir el control, por ejemplo, cambiar el sitio de reposo </w:t>
      </w:r>
      <w:proofErr w:type="spellStart"/>
      <w:r>
        <w:t>endofílico</w:t>
      </w:r>
      <w:proofErr w:type="spellEnd"/>
      <w:r>
        <w:t xml:space="preserve"> a </w:t>
      </w:r>
      <w:proofErr w:type="spellStart"/>
      <w:r>
        <w:t>exofílico</w:t>
      </w:r>
      <w:proofErr w:type="spellEnd"/>
      <w:r>
        <w:t xml:space="preserve">; </w:t>
      </w:r>
      <w:proofErr w:type="spellStart"/>
      <w:r>
        <w:t>fisilógico</w:t>
      </w:r>
      <w:proofErr w:type="spellEnd"/>
      <w:r>
        <w:t xml:space="preserve">, conferido por un incremento en las enzimas que metabolizan el insecticida; o por la modificación en el sitio de acción del insecticida </w:t>
      </w:r>
      <w:sdt>
        <w:sdtPr>
          <w:id w:val="-1856572039"/>
          <w:citation/>
        </w:sdtPr>
        <w:sdtContent>
          <w:r>
            <w:fldChar w:fldCharType="begin"/>
          </w:r>
          <w:r>
            <w:instrText xml:space="preserve"> CITATION Org20 \l 9226 </w:instrText>
          </w:r>
          <w:r>
            <w:fldChar w:fldCharType="separate"/>
          </w:r>
          <w:r>
            <w:rPr>
              <w:noProof/>
            </w:rPr>
            <w:t>(3)</w:t>
          </w:r>
          <w:r>
            <w:fldChar w:fldCharType="end"/>
          </w:r>
        </w:sdtContent>
      </w:sdt>
      <w:r>
        <w:t>.</w:t>
      </w:r>
    </w:p>
    <w:p w14:paraId="273F75BD" w14:textId="77777777" w:rsidR="00C07311" w:rsidRPr="001F1EE2" w:rsidRDefault="00C07311" w:rsidP="00C07311">
      <w:r>
        <w:t>En la figura 2 encontrará un resumen de lo visto anteriormente, en relación con las causas de resistencia.</w:t>
      </w:r>
    </w:p>
    <w:p w14:paraId="4894A901" w14:textId="77777777" w:rsidR="00C07311" w:rsidRDefault="00C07311" w:rsidP="00C07311">
      <w:pPr>
        <w:pStyle w:val="Descripcin"/>
        <w:keepNext/>
      </w:pPr>
      <w:bookmarkStart w:id="14" w:name="_Toc64878527"/>
      <w:bookmarkStart w:id="15" w:name="_Toc66435996"/>
      <w:r>
        <w:lastRenderedPageBreak/>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BC4349">
        <w:t>Causas y mecanismos de resistencia a insecticidas</w:t>
      </w:r>
      <w:bookmarkEnd w:id="14"/>
      <w:bookmarkEnd w:id="15"/>
    </w:p>
    <w:p w14:paraId="0A2460EF" w14:textId="77777777" w:rsidR="00C07311" w:rsidRDefault="00C07311" w:rsidP="00C07311">
      <w:pPr>
        <w:jc w:val="center"/>
      </w:pPr>
      <w:r>
        <w:rPr>
          <w:noProof/>
        </w:rPr>
        <w:drawing>
          <wp:inline distT="0" distB="0" distL="0" distR="0" wp14:anchorId="153DEE92" wp14:editId="5E6969AA">
            <wp:extent cx="5466345" cy="2897108"/>
            <wp:effectExtent l="0" t="0" r="1270" b="0"/>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513191" cy="2921936"/>
                    </a:xfrm>
                    <a:prstGeom prst="rect">
                      <a:avLst/>
                    </a:prstGeom>
                  </pic:spPr>
                </pic:pic>
              </a:graphicData>
            </a:graphic>
          </wp:inline>
        </w:drawing>
      </w:r>
    </w:p>
    <w:p w14:paraId="30A774EF" w14:textId="77777777" w:rsidR="00C07311" w:rsidRDefault="00C07311" w:rsidP="00C07311">
      <w:pPr>
        <w:pStyle w:val="Ttulo2"/>
      </w:pPr>
      <w:bookmarkStart w:id="16" w:name="_Toc64879721"/>
      <w:bookmarkStart w:id="17" w:name="_Toc66436006"/>
      <w:r>
        <w:t>Metodologías para detectar la resistencia</w:t>
      </w:r>
      <w:bookmarkEnd w:id="16"/>
      <w:bookmarkEnd w:id="17"/>
    </w:p>
    <w:p w14:paraId="233DD2F0" w14:textId="77777777" w:rsidR="00C07311" w:rsidRDefault="00C07311" w:rsidP="00C07311">
      <w:pPr>
        <w:pStyle w:val="Ttulo3"/>
      </w:pPr>
      <w:bookmarkStart w:id="18" w:name="_Toc64879722"/>
      <w:bookmarkStart w:id="19" w:name="_Toc66436007"/>
      <w:r>
        <w:t>¿Cómo se determina la susceptibilidad o resistencia a insecticidas?</w:t>
      </w:r>
      <w:bookmarkEnd w:id="18"/>
      <w:bookmarkEnd w:id="19"/>
      <w:r>
        <w:t xml:space="preserve"> </w:t>
      </w:r>
    </w:p>
    <w:p w14:paraId="15D1FA10" w14:textId="77777777" w:rsidR="00C07311" w:rsidRDefault="00C07311" w:rsidP="00C07311">
      <w:r>
        <w:t xml:space="preserve">Existen dos métodos más utilizados para la detección de resistencia son: el método de papeles impregnados propuesto por la Organización Mundial de la Salud </w:t>
      </w:r>
      <w:sdt>
        <w:sdtPr>
          <w:id w:val="236067336"/>
          <w:citation/>
        </w:sdtPr>
        <w:sdtContent>
          <w:r>
            <w:fldChar w:fldCharType="begin"/>
          </w:r>
          <w:r>
            <w:instrText xml:space="preserve"> CITATION Org17 \l 9226 </w:instrText>
          </w:r>
          <w:r>
            <w:fldChar w:fldCharType="separate"/>
          </w:r>
          <w:r>
            <w:rPr>
              <w:noProof/>
            </w:rPr>
            <w:t>(4)</w:t>
          </w:r>
          <w:r>
            <w:fldChar w:fldCharType="end"/>
          </w:r>
        </w:sdtContent>
      </w:sdt>
      <w:r>
        <w:t xml:space="preserve"> y el de botellas de vidrio impregnadas, estandarizado por el Centro para el Control y Prevención de Enfermedades de Estados Unidos </w:t>
      </w:r>
      <w:sdt>
        <w:sdtPr>
          <w:id w:val="646556870"/>
          <w:citation/>
        </w:sdtPr>
        <w:sdtContent>
          <w:r>
            <w:fldChar w:fldCharType="begin"/>
          </w:r>
          <w:r>
            <w:instrText xml:space="preserve"> CITATION Cen21 \l 9226 </w:instrText>
          </w:r>
          <w:r>
            <w:fldChar w:fldCharType="separate"/>
          </w:r>
          <w:r>
            <w:rPr>
              <w:noProof/>
            </w:rPr>
            <w:t>(5)</w:t>
          </w:r>
          <w:r>
            <w:fldChar w:fldCharType="end"/>
          </w:r>
        </w:sdtContent>
      </w:sdt>
      <w:r>
        <w:t>.</w:t>
      </w:r>
    </w:p>
    <w:p w14:paraId="3372E61F" w14:textId="77777777" w:rsidR="00C07311" w:rsidRDefault="00C07311" w:rsidP="00C07311">
      <w:pPr>
        <w:pStyle w:val="Descripcin"/>
        <w:keepNext/>
      </w:pPr>
      <w:bookmarkStart w:id="20" w:name="_Toc64878528"/>
      <w:bookmarkStart w:id="21" w:name="_Toc66435997"/>
      <w:r>
        <w:t xml:space="preserve">Figura  </w:t>
      </w:r>
      <w:r>
        <w:fldChar w:fldCharType="begin"/>
      </w:r>
      <w:r>
        <w:instrText xml:space="preserve"> SEQ Figura_ \* ARABIC </w:instrText>
      </w:r>
      <w:r>
        <w:fldChar w:fldCharType="separate"/>
      </w:r>
      <w:r>
        <w:rPr>
          <w:noProof/>
        </w:rPr>
        <w:t>3</w:t>
      </w:r>
      <w:r>
        <w:rPr>
          <w:noProof/>
        </w:rPr>
        <w:fldChar w:fldCharType="end"/>
      </w:r>
      <w:r>
        <w:t xml:space="preserve"> </w:t>
      </w:r>
      <w:r w:rsidRPr="006A732C">
        <w:t>Metodologías OMS y CDC para determinar Resistencia a insecticidas</w:t>
      </w:r>
      <w:bookmarkEnd w:id="20"/>
      <w:bookmarkEnd w:id="21"/>
    </w:p>
    <w:p w14:paraId="59F2F07A" w14:textId="77777777" w:rsidR="00C07311" w:rsidRPr="001F1EE2" w:rsidRDefault="00C07311" w:rsidP="00C07311">
      <w:pPr>
        <w:jc w:val="center"/>
      </w:pPr>
      <w:r>
        <w:rPr>
          <w:noProof/>
        </w:rPr>
        <w:drawing>
          <wp:inline distT="0" distB="0" distL="0" distR="0" wp14:anchorId="10B955BC" wp14:editId="5B9E68C6">
            <wp:extent cx="5006566" cy="2525973"/>
            <wp:effectExtent l="0" t="0" r="381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7875" cy="2546815"/>
                    </a:xfrm>
                    <a:prstGeom prst="rect">
                      <a:avLst/>
                    </a:prstGeom>
                    <a:noFill/>
                    <a:ln>
                      <a:noFill/>
                    </a:ln>
                  </pic:spPr>
                </pic:pic>
              </a:graphicData>
            </a:graphic>
          </wp:inline>
        </w:drawing>
      </w:r>
    </w:p>
    <w:p w14:paraId="58006185" w14:textId="77777777" w:rsidR="00C07311" w:rsidRDefault="00C07311" w:rsidP="00C07311">
      <w:pPr>
        <w:jc w:val="center"/>
      </w:pPr>
      <w:r>
        <w:t>Fuente: Grupo entomología – INS</w:t>
      </w:r>
    </w:p>
    <w:p w14:paraId="21AA060F" w14:textId="77777777" w:rsidR="00C07311" w:rsidRDefault="00C07311" w:rsidP="00C07311">
      <w:r>
        <w:lastRenderedPageBreak/>
        <w:t>A continuación, revisaremos en detalle cada una de estas metodologías</w:t>
      </w:r>
    </w:p>
    <w:p w14:paraId="12B71FA7" w14:textId="77777777" w:rsidR="00C07311" w:rsidRDefault="00C07311" w:rsidP="00C07311">
      <w:pPr>
        <w:pStyle w:val="Ttulo3"/>
      </w:pPr>
      <w:bookmarkStart w:id="22" w:name="_Toc64879723"/>
      <w:bookmarkStart w:id="23" w:name="_Toc66436008"/>
      <w:r>
        <w:t>Pruebas biológicas OMS</w:t>
      </w:r>
      <w:bookmarkEnd w:id="22"/>
      <w:bookmarkEnd w:id="23"/>
    </w:p>
    <w:p w14:paraId="164617F9" w14:textId="77777777" w:rsidR="00C07311" w:rsidRDefault="00C07311" w:rsidP="00C07311">
      <w:r>
        <w:t>Las pruebas biológicas de susceptibilidad a insecticidas de la OMS miden la mortalidad de los mosquitos al ser expuestos a una dosis discriminante de determinado insecticida (OMS, 2017), consisten en el doble de la concentración que mata el 99.9% (CL99,9) de una cepa de laboratorio susceptible o una población de mosquitos silvestre susceptible en 24 horas.</w:t>
      </w:r>
    </w:p>
    <w:p w14:paraId="1A1257D1" w14:textId="77777777" w:rsidR="00C07311" w:rsidRPr="00B21DBF" w:rsidRDefault="00C07311" w:rsidP="00C07311">
      <w:r>
        <w:t xml:space="preserve">La metodología OMS, utiliza papeles impregnados con insecticida que actúan como matriz, sobre la cual se exponen los mosquitos adultos durante un tiempo único de una hora (con excepción del organofosforado </w:t>
      </w:r>
      <w:proofErr w:type="spellStart"/>
      <w:r>
        <w:t>fenitrotion</w:t>
      </w:r>
      <w:proofErr w:type="spellEnd"/>
      <w:r>
        <w:t xml:space="preserve"> al cual se exponen durante 2 horas </w:t>
      </w:r>
      <w:sdt>
        <w:sdtPr>
          <w:id w:val="-1021854067"/>
          <w:citation/>
        </w:sdtPr>
        <w:sdtContent>
          <w:r>
            <w:fldChar w:fldCharType="begin"/>
          </w:r>
          <w:r>
            <w:instrText xml:space="preserve"> CITATION Org17 \l 9226 </w:instrText>
          </w:r>
          <w:r>
            <w:fldChar w:fldCharType="separate"/>
          </w:r>
          <w:r>
            <w:rPr>
              <w:noProof/>
            </w:rPr>
            <w:t>(4)</w:t>
          </w:r>
          <w:r>
            <w:fldChar w:fldCharType="end"/>
          </w:r>
        </w:sdtContent>
      </w:sdt>
      <w:r>
        <w:t xml:space="preserve"> y posteriormente de un tiempo de reposo de 24 horas, se lee la mortalidad.</w:t>
      </w:r>
    </w:p>
    <w:p w14:paraId="4CBFB4C8" w14:textId="77777777" w:rsidR="00C07311" w:rsidRDefault="00C07311" w:rsidP="00C07311">
      <w:pPr>
        <w:pStyle w:val="Descripcin"/>
        <w:keepNext/>
      </w:pPr>
      <w:bookmarkStart w:id="24" w:name="_Toc64878529"/>
      <w:bookmarkStart w:id="25" w:name="_Toc66435998"/>
      <w:r>
        <w:t xml:space="preserve">Figura  </w:t>
      </w:r>
      <w:r>
        <w:fldChar w:fldCharType="begin"/>
      </w:r>
      <w:r>
        <w:instrText xml:space="preserve"> SEQ Figura_ \* ARABIC </w:instrText>
      </w:r>
      <w:r>
        <w:fldChar w:fldCharType="separate"/>
      </w:r>
      <w:r>
        <w:rPr>
          <w:noProof/>
        </w:rPr>
        <w:t>4</w:t>
      </w:r>
      <w:r>
        <w:rPr>
          <w:noProof/>
        </w:rPr>
        <w:fldChar w:fldCharType="end"/>
      </w:r>
      <w:r>
        <w:t xml:space="preserve"> </w:t>
      </w:r>
      <w:r w:rsidRPr="00067FA4">
        <w:t>Montaje de bioensayo con Tubos OMS</w:t>
      </w:r>
      <w:bookmarkEnd w:id="24"/>
      <w:bookmarkEnd w:id="25"/>
    </w:p>
    <w:p w14:paraId="71873DE9" w14:textId="77777777" w:rsidR="00C07311" w:rsidRPr="001F1EE2" w:rsidRDefault="00C07311" w:rsidP="00C07311">
      <w:r w:rsidRPr="00AA5E07">
        <w:rPr>
          <w:noProof/>
        </w:rPr>
        <w:drawing>
          <wp:inline distT="0" distB="0" distL="0" distR="0" wp14:anchorId="6C4807BE" wp14:editId="225DFDDC">
            <wp:extent cx="5879681" cy="2722034"/>
            <wp:effectExtent l="0" t="0" r="6985" b="2540"/>
            <wp:docPr id="18" name="Picture 2">
              <a:extLst xmlns:a="http://schemas.openxmlformats.org/drawingml/2006/main">
                <a:ext uri="{FF2B5EF4-FFF2-40B4-BE49-F238E27FC236}">
                  <a16:creationId xmlns:a16="http://schemas.microsoft.com/office/drawing/2014/main" id="{47A6A3AE-0959-485D-A910-9B2EAEF87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47A6A3AE-0959-485D-A910-9B2EAEF8726B}"/>
                        </a:ext>
                      </a:extLst>
                    </pic:cNvPr>
                    <pic:cNvPicPr>
                      <a:picLocks noChangeAspect="1" noChangeArrowheads="1"/>
                    </pic:cNvPicPr>
                  </pic:nvPicPr>
                  <pic:blipFill rotWithShape="1">
                    <a:blip r:embed="rId28" cstate="email"/>
                    <a:srcRect/>
                    <a:stretch/>
                  </pic:blipFill>
                  <pic:spPr bwMode="auto">
                    <a:xfrm>
                      <a:off x="0" y="0"/>
                      <a:ext cx="5956461" cy="2757580"/>
                    </a:xfrm>
                    <a:prstGeom prst="roundRect">
                      <a:avLst>
                        <a:gd name="adj" fmla="val 8594"/>
                      </a:avLst>
                    </a:prstGeom>
                    <a:solidFill>
                      <a:srgbClr val="FFFFFF">
                        <a:shade val="85000"/>
                      </a:srgbClr>
                    </a:solidFill>
                    <a:ln>
                      <a:noFill/>
                    </a:ln>
                    <a:effectLst/>
                  </pic:spPr>
                </pic:pic>
              </a:graphicData>
            </a:graphic>
          </wp:inline>
        </w:drawing>
      </w:r>
    </w:p>
    <w:p w14:paraId="6C5F0B01" w14:textId="77777777" w:rsidR="00C07311" w:rsidRDefault="00C07311" w:rsidP="00C07311">
      <w:pPr>
        <w:jc w:val="center"/>
      </w:pPr>
      <w:r>
        <w:t>Fuente: Grupo entomología – INS</w:t>
      </w:r>
    </w:p>
    <w:p w14:paraId="15360CD8" w14:textId="77777777" w:rsidR="00C07311" w:rsidRDefault="00C07311" w:rsidP="00C07311">
      <w:pPr>
        <w:pStyle w:val="Ttulo4"/>
      </w:pPr>
      <w:r>
        <w:t>Interpretación de los resultados</w:t>
      </w:r>
    </w:p>
    <w:p w14:paraId="55976819" w14:textId="77777777" w:rsidR="00C07311" w:rsidRDefault="00C07311" w:rsidP="00C07311">
      <w:r>
        <w:t>La interpretación se basa en los porcentajes de mortalidad así:</w:t>
      </w:r>
    </w:p>
    <w:p w14:paraId="2C8178AD" w14:textId="77777777" w:rsidR="00C07311" w:rsidRDefault="00C07311" w:rsidP="00C07311">
      <w:r>
        <w:t>Mortalidad entre:</w:t>
      </w:r>
    </w:p>
    <w:p w14:paraId="7DFF4668" w14:textId="77777777" w:rsidR="00C07311" w:rsidRDefault="00C07311" w:rsidP="00C07311">
      <w:pPr>
        <w:pStyle w:val="Prrafodelista"/>
        <w:numPr>
          <w:ilvl w:val="0"/>
          <w:numId w:val="2"/>
        </w:numPr>
      </w:pPr>
      <w:r>
        <w:t>98-100%: susceptible</w:t>
      </w:r>
    </w:p>
    <w:p w14:paraId="453D0183" w14:textId="77777777" w:rsidR="00C07311" w:rsidRDefault="00C07311" w:rsidP="00C07311">
      <w:pPr>
        <w:pStyle w:val="Prrafodelista"/>
        <w:numPr>
          <w:ilvl w:val="0"/>
          <w:numId w:val="2"/>
        </w:numPr>
      </w:pPr>
      <w:r>
        <w:t>˂ 98% posible resistencia:</w:t>
      </w:r>
    </w:p>
    <w:p w14:paraId="506FD0A3" w14:textId="77777777" w:rsidR="00C07311" w:rsidRDefault="00C07311" w:rsidP="00C07311">
      <w:pPr>
        <w:pStyle w:val="Prrafodelista"/>
        <w:numPr>
          <w:ilvl w:val="1"/>
          <w:numId w:val="2"/>
        </w:numPr>
      </w:pPr>
      <w:r>
        <w:t>SI la mortalidad se encuentra entre 90-97%, posible resistencia que se debe confirmar mediante pruebas bioquímicas y moleculares</w:t>
      </w:r>
    </w:p>
    <w:p w14:paraId="6CA3D315" w14:textId="77777777" w:rsidR="00C07311" w:rsidRPr="001F1EE2" w:rsidRDefault="00C07311" w:rsidP="00C07311">
      <w:pPr>
        <w:pStyle w:val="Prrafodelista"/>
        <w:numPr>
          <w:ilvl w:val="0"/>
          <w:numId w:val="2"/>
        </w:numPr>
      </w:pPr>
      <w:r>
        <w:t>˂ 90%resistencia confirmada</w:t>
      </w:r>
    </w:p>
    <w:p w14:paraId="63E5AC9C" w14:textId="77777777" w:rsidR="00C07311" w:rsidRPr="001F1EE2" w:rsidRDefault="00C07311" w:rsidP="00C07311">
      <w:pPr>
        <w:pStyle w:val="Ttulo3"/>
      </w:pPr>
      <w:bookmarkStart w:id="26" w:name="_Toc64879724"/>
      <w:bookmarkStart w:id="27" w:name="_Toc66436009"/>
      <w:r w:rsidRPr="00B21DBF">
        <w:lastRenderedPageBreak/>
        <w:t>Pruebas biológicas CDC</w:t>
      </w:r>
      <w:bookmarkEnd w:id="26"/>
      <w:bookmarkEnd w:id="27"/>
    </w:p>
    <w:p w14:paraId="7D1BD0BB" w14:textId="77777777" w:rsidR="00C07311" w:rsidRDefault="00C07311" w:rsidP="00C07311">
      <w:pPr>
        <w:pStyle w:val="Descripcin"/>
        <w:keepNext/>
      </w:pPr>
      <w:bookmarkStart w:id="28" w:name="_Toc64878530"/>
      <w:bookmarkStart w:id="29" w:name="_Toc66435999"/>
      <w:r>
        <w:t xml:space="preserve">Figura  </w:t>
      </w:r>
      <w:r>
        <w:fldChar w:fldCharType="begin"/>
      </w:r>
      <w:r>
        <w:instrText xml:space="preserve"> SEQ Figura_ \* ARABIC </w:instrText>
      </w:r>
      <w:r>
        <w:fldChar w:fldCharType="separate"/>
      </w:r>
      <w:r>
        <w:rPr>
          <w:noProof/>
        </w:rPr>
        <w:t>5</w:t>
      </w:r>
      <w:r>
        <w:rPr>
          <w:noProof/>
        </w:rPr>
        <w:fldChar w:fldCharType="end"/>
      </w:r>
      <w:r>
        <w:t xml:space="preserve"> </w:t>
      </w:r>
      <w:r w:rsidRPr="00010CBA">
        <w:t>Montaje de bioensayo con botellas CDC</w:t>
      </w:r>
      <w:bookmarkEnd w:id="28"/>
      <w:bookmarkEnd w:id="29"/>
    </w:p>
    <w:p w14:paraId="2F23A400" w14:textId="77777777" w:rsidR="00C07311" w:rsidRDefault="00C07311" w:rsidP="00C07311">
      <w:r>
        <w:rPr>
          <w:noProof/>
        </w:rPr>
        <w:drawing>
          <wp:inline distT="0" distB="0" distL="0" distR="0" wp14:anchorId="0AE0A1E3" wp14:editId="66AF4772">
            <wp:extent cx="5943600" cy="1807634"/>
            <wp:effectExtent l="0" t="0" r="0" b="2540"/>
            <wp:docPr id="19" name="Imagen 1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Diagram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958877" cy="1812280"/>
                    </a:xfrm>
                    <a:prstGeom prst="rect">
                      <a:avLst/>
                    </a:prstGeom>
                  </pic:spPr>
                </pic:pic>
              </a:graphicData>
            </a:graphic>
          </wp:inline>
        </w:drawing>
      </w:r>
    </w:p>
    <w:p w14:paraId="05575677" w14:textId="77777777" w:rsidR="00C07311" w:rsidRDefault="00C07311" w:rsidP="00C07311">
      <w:pPr>
        <w:jc w:val="center"/>
      </w:pPr>
      <w:r>
        <w:t>Fuente: Grupo entomología – INS</w:t>
      </w:r>
    </w:p>
    <w:p w14:paraId="029CCB22" w14:textId="77777777" w:rsidR="00C07311" w:rsidRDefault="00C07311" w:rsidP="00C07311">
      <w:r>
        <w:t xml:space="preserve">La metodología de las botellas impregnadas fue estandarizada por el Centro para el Control y Prevención de Enfermedades Tropicales de Atlanta (CDC). Consiste en someter una muestra de mosquitos adultos sobre una superficie de vidrio </w:t>
      </w:r>
      <w:sdt>
        <w:sdtPr>
          <w:id w:val="1368564435"/>
          <w:citation/>
        </w:sdtPr>
        <w:sdtContent>
          <w:r>
            <w:fldChar w:fldCharType="begin"/>
          </w:r>
          <w:r>
            <w:instrText xml:space="preserve"> CITATION Cen21 \l 9226 </w:instrText>
          </w:r>
          <w:r>
            <w:fldChar w:fldCharType="separate"/>
          </w:r>
          <w:r>
            <w:rPr>
              <w:noProof/>
            </w:rPr>
            <w:t>(5)</w:t>
          </w:r>
          <w:r>
            <w:fldChar w:fldCharType="end"/>
          </w:r>
        </w:sdtContent>
      </w:sdt>
      <w:r>
        <w:t xml:space="preserve">. El objetivo de esta técnica es medir el tiempo que tarda la dosis diagnóstica de un insecticida en llegar al sitio blanco de acción en el organismo del mosquito </w:t>
      </w:r>
      <w:sdt>
        <w:sdtPr>
          <w:id w:val="952912337"/>
          <w:citation/>
        </w:sdtPr>
        <w:sdtContent>
          <w:r>
            <w:fldChar w:fldCharType="begin"/>
          </w:r>
          <w:r>
            <w:instrText xml:space="preserve"> CITATION OCA00 \l 9226 </w:instrText>
          </w:r>
          <w:r>
            <w:fldChar w:fldCharType="separate"/>
          </w:r>
          <w:r>
            <w:rPr>
              <w:noProof/>
            </w:rPr>
            <w:t>(6)</w:t>
          </w:r>
          <w:r>
            <w:fldChar w:fldCharType="end"/>
          </w:r>
        </w:sdtContent>
      </w:sdt>
      <w:r>
        <w:t xml:space="preserve">. La dosis diagnóstica corresponde a la menor concentración de un insecticida que intoxica el 100% de individuos de una población susceptible en el menor tiempo posible, denominado tiempo diagnóstico. </w:t>
      </w:r>
    </w:p>
    <w:p w14:paraId="542977CB" w14:textId="77777777" w:rsidR="00C07311" w:rsidRDefault="00C07311" w:rsidP="00C07311">
      <w:pPr>
        <w:pStyle w:val="Ttulo4"/>
      </w:pPr>
      <w:r>
        <w:t>Interpretación:</w:t>
      </w:r>
    </w:p>
    <w:p w14:paraId="55E5998A" w14:textId="77777777" w:rsidR="00C07311" w:rsidRDefault="00C07311" w:rsidP="00C07311">
      <w:r>
        <w:t>Mortalidad ˂ 98% posible resistencia, que se debe complementar con pruebas de mecanismos de resistencia.</w:t>
      </w:r>
    </w:p>
    <w:p w14:paraId="64401819" w14:textId="77777777" w:rsidR="00C07311" w:rsidRDefault="00C07311" w:rsidP="00C07311">
      <w:pPr>
        <w:pStyle w:val="Ttulo4"/>
      </w:pPr>
      <w:r>
        <w:t>¿Como se aplican estas pruebas?</w:t>
      </w:r>
    </w:p>
    <w:p w14:paraId="09E9768A" w14:textId="77777777" w:rsidR="00C07311" w:rsidRDefault="00C07311" w:rsidP="00C07311">
      <w:r>
        <w:t>Para conocer las metodologías para determinación de la susceptibilidad a insecticidas, lo invitamos a revisar el siguiente material complementario:</w:t>
      </w:r>
    </w:p>
    <w:p w14:paraId="5C753E7C" w14:textId="77777777" w:rsidR="00C07311" w:rsidRDefault="00C07311" w:rsidP="00C07311">
      <w:pPr>
        <w:pStyle w:val="Prrafodelista"/>
        <w:numPr>
          <w:ilvl w:val="0"/>
          <w:numId w:val="3"/>
        </w:numPr>
      </w:pPr>
      <w:r>
        <w:t>Organización Mundial de la Salud (OMS). Procedimientos de las pruebas para la vigilancia de la resistencia a los insecticidas en los mosquitos vectores del paludismo. Segunda edición. Ginebra: Organización Mundial de la Salud; 2017.</w:t>
      </w:r>
    </w:p>
    <w:p w14:paraId="18EAF749" w14:textId="77777777" w:rsidR="00C07311" w:rsidRPr="001F1EE2" w:rsidRDefault="00C07311" w:rsidP="00C07311">
      <w:pPr>
        <w:pStyle w:val="Prrafodelista"/>
        <w:numPr>
          <w:ilvl w:val="0"/>
          <w:numId w:val="3"/>
        </w:numPr>
      </w:pPr>
      <w:r>
        <w:t xml:space="preserve">Center </w:t>
      </w:r>
      <w:proofErr w:type="spellStart"/>
      <w:r>
        <w:t>for</w:t>
      </w:r>
      <w:proofErr w:type="spellEnd"/>
      <w:r>
        <w:t xml:space="preserve"> </w:t>
      </w:r>
      <w:proofErr w:type="spellStart"/>
      <w:r>
        <w:t>Disease</w:t>
      </w:r>
      <w:proofErr w:type="spellEnd"/>
      <w:r>
        <w:t xml:space="preserve"> Control and </w:t>
      </w:r>
      <w:proofErr w:type="spellStart"/>
      <w:r>
        <w:t>Prevention</w:t>
      </w:r>
      <w:proofErr w:type="spellEnd"/>
      <w:r>
        <w:t>. Instrucciones para la Evaluación de la Resistencia a Insecticida en Vectores mediante del Ensayo Biológico de la Botella de los CDC. CDC, Atlanta. Disponible en: http://www.cdc.gov/malaria/resources/pdf/fsp/ir_manual/ir_cdc_bioassay_es.pdf; fecha de consulta: enero 08 de 2021).</w:t>
      </w:r>
    </w:p>
    <w:p w14:paraId="4F46FB51" w14:textId="77777777" w:rsidR="004535AF" w:rsidRDefault="004535AF"/>
    <w:p w14:paraId="71243D92" w14:textId="77777777" w:rsidR="004535AF" w:rsidRDefault="004535AF">
      <w:pPr>
        <w:sectPr w:rsidR="004535AF" w:rsidSect="00E220E9">
          <w:headerReference w:type="default" r:id="rId30"/>
          <w:footerReference w:type="default" r:id="rId31"/>
          <w:pgSz w:w="12240" w:h="15840"/>
          <w:pgMar w:top="1418" w:right="1701" w:bottom="1985" w:left="1701" w:header="709" w:footer="680" w:gutter="0"/>
          <w:pgNumType w:start="1"/>
          <w:cols w:space="708"/>
          <w:docGrid w:linePitch="360"/>
        </w:sectPr>
      </w:pPr>
    </w:p>
    <w:p w14:paraId="165B0081"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p w14:paraId="1C363DBA" w14:textId="77777777" w:rsidR="00C07311" w:rsidRDefault="004535AF" w:rsidP="00C07311">
      <w:pPr>
        <w:pStyle w:val="Bibliografa"/>
        <w:rPr>
          <w:noProof/>
          <w:vanish/>
          <w:sz w:val="24"/>
        </w:rPr>
      </w:pPr>
      <w:r w:rsidRPr="001F1EE2">
        <w:rPr>
          <w:rFonts w:cs="Arial"/>
          <w:sz w:val="21"/>
          <w:szCs w:val="21"/>
        </w:rPr>
        <w:fldChar w:fldCharType="begin"/>
      </w:r>
      <w:r w:rsidRPr="001F1EE2">
        <w:rPr>
          <w:rFonts w:cs="Arial"/>
          <w:sz w:val="21"/>
          <w:szCs w:val="21"/>
        </w:rPr>
        <w:instrText xml:space="preserve"> BIBLIOGRAPHY  \l 9226 </w:instrText>
      </w:r>
      <w:r w:rsidRPr="001F1EE2">
        <w:rPr>
          <w:rFonts w:cs="Arial"/>
          <w:sz w:val="21"/>
          <w:szCs w:val="21"/>
        </w:rPr>
        <w:fldChar w:fldCharType="separate"/>
      </w:r>
      <w:r w:rsidR="00C07311">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
        <w:gridCol w:w="9101"/>
      </w:tblGrid>
      <w:tr w:rsidR="00C07311" w14:paraId="6B77552B" w14:textId="77777777" w:rsidTr="00C07311">
        <w:trPr>
          <w:tblCellSpacing w:w="15" w:type="dxa"/>
        </w:trPr>
        <w:tc>
          <w:tcPr>
            <w:tcW w:w="0" w:type="auto"/>
            <w:hideMark/>
          </w:tcPr>
          <w:p w14:paraId="67EADC57" w14:textId="77777777" w:rsidR="00C07311" w:rsidRDefault="00C07311">
            <w:pPr>
              <w:pStyle w:val="Bibliografa"/>
              <w:jc w:val="right"/>
              <w:rPr>
                <w:noProof/>
              </w:rPr>
            </w:pPr>
            <w:r>
              <w:rPr>
                <w:noProof/>
              </w:rPr>
              <w:t>1.</w:t>
            </w:r>
          </w:p>
        </w:tc>
        <w:tc>
          <w:tcPr>
            <w:tcW w:w="0" w:type="auto"/>
            <w:hideMark/>
          </w:tcPr>
          <w:p w14:paraId="3813D24B" w14:textId="77777777" w:rsidR="00C07311" w:rsidRDefault="00C07311">
            <w:pPr>
              <w:pStyle w:val="Bibliografa"/>
              <w:rPr>
                <w:noProof/>
              </w:rPr>
            </w:pPr>
            <w:r>
              <w:rPr>
                <w:noProof/>
              </w:rPr>
              <w:t>Najera J.A ZM. Insecticides for indoor residual spraying: World Health Organization; 2001.</w:t>
            </w:r>
          </w:p>
        </w:tc>
      </w:tr>
      <w:tr w:rsidR="00C07311" w14:paraId="341A60A9" w14:textId="77777777" w:rsidTr="00C07311">
        <w:trPr>
          <w:tblCellSpacing w:w="15" w:type="dxa"/>
        </w:trPr>
        <w:tc>
          <w:tcPr>
            <w:tcW w:w="0" w:type="auto"/>
            <w:hideMark/>
          </w:tcPr>
          <w:p w14:paraId="5C0B4F3A" w14:textId="77777777" w:rsidR="00C07311" w:rsidRDefault="00C07311">
            <w:pPr>
              <w:pStyle w:val="Bibliografa"/>
              <w:jc w:val="right"/>
              <w:rPr>
                <w:noProof/>
              </w:rPr>
            </w:pPr>
            <w:r>
              <w:rPr>
                <w:noProof/>
              </w:rPr>
              <w:t>2.</w:t>
            </w:r>
          </w:p>
        </w:tc>
        <w:tc>
          <w:tcPr>
            <w:tcW w:w="0" w:type="auto"/>
            <w:hideMark/>
          </w:tcPr>
          <w:p w14:paraId="38EB409C" w14:textId="77777777" w:rsidR="00C07311" w:rsidRDefault="00C07311">
            <w:pPr>
              <w:pStyle w:val="Bibliografa"/>
              <w:rPr>
                <w:noProof/>
              </w:rPr>
            </w:pPr>
            <w:r>
              <w:rPr>
                <w:noProof/>
              </w:rPr>
              <w:t>L S. Estado de la susceptibilidad a insecticidas de poblaciones naturales de Aedes aegypti Linnaeus, 1762 vector del dengue y Anopheles darlingi Root, 1926 vector primario de malaria (Diptera: Culicidae) en cinco departamentos de Colombia Bogotá: Universidad Nacional de Colombia; 2008.</w:t>
            </w:r>
          </w:p>
        </w:tc>
      </w:tr>
      <w:tr w:rsidR="00C07311" w14:paraId="3688E235" w14:textId="77777777" w:rsidTr="00C07311">
        <w:trPr>
          <w:tblCellSpacing w:w="15" w:type="dxa"/>
        </w:trPr>
        <w:tc>
          <w:tcPr>
            <w:tcW w:w="0" w:type="auto"/>
            <w:hideMark/>
          </w:tcPr>
          <w:p w14:paraId="72FB11E0" w14:textId="77777777" w:rsidR="00C07311" w:rsidRDefault="00C07311">
            <w:pPr>
              <w:pStyle w:val="Bibliografa"/>
              <w:jc w:val="right"/>
              <w:rPr>
                <w:noProof/>
              </w:rPr>
            </w:pPr>
            <w:r>
              <w:rPr>
                <w:noProof/>
              </w:rPr>
              <w:t>3.</w:t>
            </w:r>
          </w:p>
        </w:tc>
        <w:tc>
          <w:tcPr>
            <w:tcW w:w="0" w:type="auto"/>
            <w:hideMark/>
          </w:tcPr>
          <w:p w14:paraId="24E9C074" w14:textId="45A4418F" w:rsidR="00C07311" w:rsidRDefault="00C07311">
            <w:pPr>
              <w:pStyle w:val="Bibliografa"/>
              <w:rPr>
                <w:noProof/>
              </w:rPr>
            </w:pPr>
            <w:r>
              <w:rPr>
                <w:noProof/>
              </w:rPr>
              <w:t xml:space="preserve">Organización Mundial de la Salud. [Directrices para el control de vectores de paludismo].; 2020. Available from: </w:t>
            </w:r>
            <w:hyperlink r:id="rId32" w:history="1">
              <w:r>
                <w:rPr>
                  <w:rStyle w:val="Hipervnculo"/>
                  <w:noProof/>
                </w:rPr>
                <w:t>https://www.who.int/malaria/publications/atoz</w:t>
              </w:r>
            </w:hyperlink>
            <w:r>
              <w:rPr>
                <w:noProof/>
              </w:rPr>
              <w:t>.</w:t>
            </w:r>
          </w:p>
        </w:tc>
      </w:tr>
      <w:tr w:rsidR="00C07311" w14:paraId="710B79C0" w14:textId="77777777" w:rsidTr="00C07311">
        <w:trPr>
          <w:tblCellSpacing w:w="15" w:type="dxa"/>
        </w:trPr>
        <w:tc>
          <w:tcPr>
            <w:tcW w:w="0" w:type="auto"/>
            <w:hideMark/>
          </w:tcPr>
          <w:p w14:paraId="3C5ACA58" w14:textId="77777777" w:rsidR="00C07311" w:rsidRDefault="00C07311">
            <w:pPr>
              <w:pStyle w:val="Bibliografa"/>
              <w:jc w:val="right"/>
              <w:rPr>
                <w:noProof/>
              </w:rPr>
            </w:pPr>
            <w:r>
              <w:rPr>
                <w:noProof/>
              </w:rPr>
              <w:t>4.</w:t>
            </w:r>
          </w:p>
        </w:tc>
        <w:tc>
          <w:tcPr>
            <w:tcW w:w="0" w:type="auto"/>
            <w:hideMark/>
          </w:tcPr>
          <w:p w14:paraId="02116990" w14:textId="77777777" w:rsidR="00C07311" w:rsidRDefault="00C07311">
            <w:pPr>
              <w:pStyle w:val="Bibliografa"/>
              <w:rPr>
                <w:noProof/>
              </w:rPr>
            </w:pPr>
            <w:r>
              <w:rPr>
                <w:noProof/>
              </w:rPr>
              <w:t>Organización Mundial de la Salud (OMS). Procedimientos de las pruebas para la vigilancia de la resistencia a los insecticidas en los mosquitos vectores del paludismo. segunda ed. Ginebra; 2017.</w:t>
            </w:r>
          </w:p>
        </w:tc>
      </w:tr>
      <w:tr w:rsidR="00C07311" w14:paraId="58E6D6EB" w14:textId="77777777" w:rsidTr="00C07311">
        <w:trPr>
          <w:tblCellSpacing w:w="15" w:type="dxa"/>
        </w:trPr>
        <w:tc>
          <w:tcPr>
            <w:tcW w:w="0" w:type="auto"/>
            <w:hideMark/>
          </w:tcPr>
          <w:p w14:paraId="604A9CAF" w14:textId="77777777" w:rsidR="00C07311" w:rsidRDefault="00C07311">
            <w:pPr>
              <w:pStyle w:val="Bibliografa"/>
              <w:jc w:val="right"/>
              <w:rPr>
                <w:noProof/>
              </w:rPr>
            </w:pPr>
            <w:r>
              <w:rPr>
                <w:noProof/>
              </w:rPr>
              <w:t>5.</w:t>
            </w:r>
          </w:p>
        </w:tc>
        <w:tc>
          <w:tcPr>
            <w:tcW w:w="0" w:type="auto"/>
            <w:hideMark/>
          </w:tcPr>
          <w:p w14:paraId="2969BF91" w14:textId="4973D547" w:rsidR="00C07311" w:rsidRDefault="00C07311">
            <w:pPr>
              <w:pStyle w:val="Bibliografa"/>
              <w:rPr>
                <w:noProof/>
              </w:rPr>
            </w:pPr>
            <w:r>
              <w:rPr>
                <w:noProof/>
              </w:rPr>
              <w:t xml:space="preserve">Center for Disease Control and Prevention. [Instrucciones para la evaluación de la resistencia a insecticida en vectores mediante del ensayo biológico de la botella de los CDC]. [cited 2021 enero 8. Available from: </w:t>
            </w:r>
            <w:hyperlink r:id="rId33" w:history="1">
              <w:r>
                <w:rPr>
                  <w:rStyle w:val="Hipervnculo"/>
                  <w:noProof/>
                </w:rPr>
                <w:t>http://www.cdc.gov/malaria/resources/pdf/fsp/ir_manual/ir_cdc_bioassay_es.pdf</w:t>
              </w:r>
            </w:hyperlink>
            <w:r>
              <w:rPr>
                <w:noProof/>
              </w:rPr>
              <w:t>.</w:t>
            </w:r>
          </w:p>
        </w:tc>
      </w:tr>
      <w:tr w:rsidR="00C07311" w14:paraId="1B2EE8FA" w14:textId="77777777" w:rsidTr="00C07311">
        <w:trPr>
          <w:tblCellSpacing w:w="15" w:type="dxa"/>
        </w:trPr>
        <w:tc>
          <w:tcPr>
            <w:tcW w:w="0" w:type="auto"/>
            <w:hideMark/>
          </w:tcPr>
          <w:p w14:paraId="2ACFECE2" w14:textId="77777777" w:rsidR="00C07311" w:rsidRDefault="00C07311">
            <w:pPr>
              <w:pStyle w:val="Bibliografa"/>
              <w:jc w:val="right"/>
              <w:rPr>
                <w:noProof/>
              </w:rPr>
            </w:pPr>
            <w:r>
              <w:rPr>
                <w:noProof/>
              </w:rPr>
              <w:t>6.</w:t>
            </w:r>
          </w:p>
        </w:tc>
        <w:tc>
          <w:tcPr>
            <w:tcW w:w="0" w:type="auto"/>
            <w:hideMark/>
          </w:tcPr>
          <w:p w14:paraId="05BF6914" w14:textId="77777777" w:rsidR="00C07311" w:rsidRDefault="00C07311">
            <w:pPr>
              <w:pStyle w:val="Bibliografa"/>
              <w:rPr>
                <w:noProof/>
              </w:rPr>
            </w:pPr>
            <w:r>
              <w:rPr>
                <w:noProof/>
              </w:rPr>
              <w:t>OCAMPO C, BOGDON W, ORREGO C, TORO G, MONTOYA-LERMA. Insecticide susceptibility in Anopheles pseudopunctipennis from Colombia: comparison between bioassays and biochemical assays. In Assoc JAMC.. Colombia; 2000. p. 331-338.</w:t>
            </w:r>
          </w:p>
        </w:tc>
      </w:tr>
    </w:tbl>
    <w:p w14:paraId="71AC87F3" w14:textId="77777777" w:rsidR="00C07311" w:rsidRDefault="00C07311" w:rsidP="00C07311">
      <w:pPr>
        <w:pStyle w:val="Bibliografa"/>
        <w:rPr>
          <w:rFonts w:eastAsiaTheme="minorEastAsia"/>
          <w:noProof/>
          <w:vanish/>
        </w:rPr>
      </w:pPr>
      <w:r>
        <w:rPr>
          <w:noProof/>
          <w:vanish/>
        </w:rPr>
        <w:t>x</w:t>
      </w:r>
    </w:p>
    <w:p w14:paraId="3C2F0F15" w14:textId="26CDF106" w:rsidR="004535AF" w:rsidRPr="001F1EE2" w:rsidRDefault="004535AF" w:rsidP="00C07311">
      <w:pPr>
        <w:rPr>
          <w:rFonts w:cs="Arial"/>
          <w:sz w:val="21"/>
          <w:szCs w:val="21"/>
        </w:rPr>
      </w:pPr>
      <w:r w:rsidRPr="001F1EE2">
        <w:rPr>
          <w:rFonts w:cs="Arial"/>
          <w:sz w:val="21"/>
          <w:szCs w:val="21"/>
        </w:rPr>
        <w:fldChar w:fldCharType="end"/>
      </w:r>
    </w:p>
    <w:p w14:paraId="746277A3" w14:textId="77777777" w:rsidR="004535AF" w:rsidRPr="001F1EE2" w:rsidRDefault="004535AF" w:rsidP="004535AF">
      <w:pPr>
        <w:rPr>
          <w:rFonts w:cs="Arial"/>
        </w:rPr>
      </w:pPr>
    </w:p>
    <w:p w14:paraId="00948E59" w14:textId="77777777" w:rsidR="004535AF" w:rsidRPr="004535AF" w:rsidRDefault="004535AF"/>
    <w:sectPr w:rsidR="004535AF" w:rsidRPr="004535AF" w:rsidSect="00CC2A39">
      <w:headerReference w:type="first" r:id="rId34"/>
      <w:footerReference w:type="first" r:id="rId35"/>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1B542" w14:textId="77777777" w:rsidR="004E59B7" w:rsidRDefault="004E59B7" w:rsidP="00BD0900">
      <w:r>
        <w:separator/>
      </w:r>
    </w:p>
  </w:endnote>
  <w:endnote w:type="continuationSeparator" w:id="0">
    <w:p w14:paraId="46564E2E" w14:textId="77777777" w:rsidR="004E59B7" w:rsidRDefault="004E59B7"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18FEEBD4"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6A9F05F"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359A1881"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73AAE460"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07B553D0" wp14:editId="525D15FF">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5821C3C2" wp14:editId="225FC770">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79C63DB"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4F72E4FC" wp14:editId="05C77476">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F3FE38"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40E3B29C" w14:textId="77777777">
      <w:trPr>
        <w:trHeight w:hRule="exact" w:val="115"/>
        <w:jc w:val="center"/>
      </w:trPr>
      <w:tc>
        <w:tcPr>
          <w:tcW w:w="4686" w:type="dxa"/>
          <w:shd w:val="clear" w:color="auto" w:fill="4472C4" w:themeFill="accent1"/>
          <w:tcMar>
            <w:top w:w="0" w:type="dxa"/>
            <w:bottom w:w="0" w:type="dxa"/>
          </w:tcMar>
        </w:tcPr>
        <w:p w14:paraId="02FC48FA"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238859A4" w14:textId="77777777" w:rsidR="004535AF" w:rsidRDefault="004535AF">
          <w:pPr>
            <w:pStyle w:val="Encabezado"/>
            <w:jc w:val="right"/>
            <w:rPr>
              <w:caps/>
              <w:sz w:val="18"/>
            </w:rPr>
          </w:pPr>
        </w:p>
      </w:tc>
    </w:tr>
    <w:tr w:rsidR="004535AF" w14:paraId="533F816A" w14:textId="77777777">
      <w:trPr>
        <w:jc w:val="center"/>
      </w:trPr>
      <w:tc>
        <w:tcPr>
          <w:tcW w:w="4686" w:type="dxa"/>
          <w:shd w:val="clear" w:color="auto" w:fill="auto"/>
          <w:vAlign w:val="center"/>
        </w:tcPr>
        <w:p w14:paraId="7A47E6D5"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336F6341" w14:textId="77777777" w:rsidR="004535AF" w:rsidRDefault="004535AF">
          <w:pPr>
            <w:pStyle w:val="Piedepgina"/>
            <w:jc w:val="right"/>
            <w:rPr>
              <w:caps/>
              <w:color w:val="808080" w:themeColor="background1" w:themeShade="80"/>
              <w:sz w:val="18"/>
              <w:szCs w:val="18"/>
            </w:rPr>
          </w:pPr>
        </w:p>
      </w:tc>
    </w:tr>
  </w:tbl>
  <w:p w14:paraId="4654A051"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8CAD"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7AEF58D1" wp14:editId="4B2F513F">
              <wp:simplePos x="0" y="0"/>
              <wp:positionH relativeFrom="margin">
                <wp:align>center</wp:align>
              </wp:positionH>
              <wp:positionV relativeFrom="paragraph">
                <wp:posOffset>-600754</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14A89A8" id="Grupo 38" o:spid="_x0000_s1026" style="position:absolute;margin-left:0;margin-top:-47.3pt;width:613.05pt;height:105.9pt;z-index:251679744;mso-position-horizontal:center;mso-position-horizontal-relative:margin;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2C897"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7B150D6F" wp14:editId="71B166D7">
              <wp:simplePos x="0" y="0"/>
              <wp:positionH relativeFrom="margin">
                <wp:align>center</wp:align>
              </wp:positionH>
              <wp:positionV relativeFrom="paragraph">
                <wp:posOffset>-590757</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5C86671" id="Grupo 45" o:spid="_x0000_s1026" style="position:absolute;margin-left:0;margin-top:-46.5pt;width:613.05pt;height:105.55pt;z-index:251683840;mso-position-horizontal:center;mso-position-horizontal-relative:margin;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EoG3iUDAABXCAAADgAAAAAAAAAAAAAAAAA6AgAAZHJzL2Uyb0RvYy54bWxQSwECLQAK&#10;AAAAAAAAACEAcYxjQU4KAQBOCgEAFAAAAAAAAAAAAAAAAACLBQAAZHJzL21lZGlhL2ltYWdlMS5w&#10;bmdQSwECLQAKAAAAAAAAACEAcIasJNocCwDaHAsAFAAAAAAAAAAAAAAAAAALEAEAZHJzL21lZGlh&#10;L2ltYWdlMi5wbmdQSwECLQAUAAYACAAAACEAX0hw798AAAAJAQAADwAAAAAAAAAAAAAAAAAX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72C30" w14:textId="77777777" w:rsidR="008A497E" w:rsidRDefault="00F75178">
    <w:pPr>
      <w:pStyle w:val="Piedepgina"/>
    </w:pPr>
    <w:r>
      <w:rPr>
        <w:noProof/>
      </w:rPr>
      <mc:AlternateContent>
        <mc:Choice Requires="wps">
          <w:drawing>
            <wp:anchor distT="0" distB="0" distL="114300" distR="114300" simplePos="0" relativeHeight="251688960" behindDoc="0" locked="0" layoutInCell="1" allowOverlap="1" wp14:anchorId="30FD7F82" wp14:editId="08116BEF">
              <wp:simplePos x="0" y="0"/>
              <wp:positionH relativeFrom="column">
                <wp:posOffset>2353310</wp:posOffset>
              </wp:positionH>
              <wp:positionV relativeFrom="paragraph">
                <wp:posOffset>-179586</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2E021C"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FD7F82" id="Rectángulo: esquinas redondeadas 55" o:spid="_x0000_s1031" style="position:absolute;left:0;text-align:left;margin-left:185.3pt;margin-top:-14.1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" fillcolor="#4472c4 [3204]" strokecolor="#1f3763 [1604]" strokeweight="1pt">
              <v:stroke joinstyle="miter"/>
              <v:shadow on="t" color="black" opacity="26214f" origin=",-.5" offset="0,3pt"/>
              <v:textbox>
                <w:txbxContent>
                  <w:p w14:paraId="442E021C"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r w:rsidR="00B50C03">
      <w:rPr>
        <w:noProof/>
      </w:rPr>
      <mc:AlternateContent>
        <mc:Choice Requires="wpg">
          <w:drawing>
            <wp:anchor distT="0" distB="0" distL="114300" distR="114300" simplePos="0" relativeHeight="251687936" behindDoc="0" locked="0" layoutInCell="1" allowOverlap="1" wp14:anchorId="1F6661CE" wp14:editId="35C2D53B">
              <wp:simplePos x="0" y="0"/>
              <wp:positionH relativeFrom="margin">
                <wp:align>center</wp:align>
              </wp:positionH>
              <wp:positionV relativeFrom="paragraph">
                <wp:posOffset>-601389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070D839" id="Grupo 48" o:spid="_x0000_s1026" style="position:absolute;margin-left:0;margin-top:-47.35pt;width:613.15pt;height:105.05pt;z-index:251687936;mso-position-horizontal:center;mso-position-horizontal-relative:margin;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EDwVkDhAAAACQEAAA8AAABkcnMv&#10;ZG93bnJldi54bWxMj81qwzAQhO+FvoPYQm+JbOenrWs5hND2FAJNCqW3jbWxTayVsRTbefsqp/Y2&#10;yywz32Sr0TSip87VlhXE0wgEcWF1zaWCr8P75BmE88gaG8uk4EoOVvn9XYaptgN/Ur/3pQgh7FJU&#10;UHnfplK6oiKDbmpb4uCdbGfQh7Mrpe5wCOGmkUkULaXBmkNDhS1tKirO+4tR8DHgsJ7Fb/32fNpc&#10;fw6L3fc2JqUeH8b1KwhPo/97hht+QIc8MB3thbUTjYIwxCuYvMyfQNzsJFnOQByDihdzkHkm/y/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5320"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386E882F" wp14:editId="036B352A">
              <wp:simplePos x="0" y="0"/>
              <wp:positionH relativeFrom="page">
                <wp:align>left</wp:align>
              </wp:positionH>
              <wp:positionV relativeFrom="paragraph">
                <wp:posOffset>-579489</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1254669" id="Grupo 51" o:spid="_x0000_s1026" style="position:absolute;margin-left:0;margin-top:-45.65pt;width:613.05pt;height:105.2pt;z-index:251693056;mso-position-horizontal:left;mso-position-horizontal-relative:page;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C746D" w14:textId="77777777" w:rsidR="004E59B7" w:rsidRDefault="004E59B7" w:rsidP="00BD0900">
      <w:r>
        <w:separator/>
      </w:r>
    </w:p>
  </w:footnote>
  <w:footnote w:type="continuationSeparator" w:id="0">
    <w:p w14:paraId="69BE3AD2" w14:textId="77777777" w:rsidR="004E59B7" w:rsidRDefault="004E59B7"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F00C8"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574D6A79" wp14:editId="4FFA7913">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E8E5BA"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5703B4ED" wp14:editId="4440DEEF">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BC1AB" w14:textId="77777777" w:rsidR="004535AF" w:rsidRDefault="004535AF">
    <w:pPr>
      <w:pStyle w:val="Encabezado"/>
    </w:pPr>
    <w:r>
      <w:rPr>
        <w:noProof/>
        <w:lang w:eastAsia="es-CO"/>
      </w:rPr>
      <w:drawing>
        <wp:inline distT="0" distB="0" distL="0" distR="0" wp14:anchorId="4FCB8F55" wp14:editId="4F46A01F">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32096" w14:textId="77777777" w:rsidR="004535AF" w:rsidRDefault="008A497E">
    <w:pPr>
      <w:pStyle w:val="Encabezado"/>
    </w:pPr>
    <w:r w:rsidRPr="004535AF">
      <w:rPr>
        <w:noProof/>
      </w:rPr>
      <w:drawing>
        <wp:anchor distT="0" distB="0" distL="114300" distR="114300" simplePos="0" relativeHeight="251663360" behindDoc="0" locked="0" layoutInCell="1" allowOverlap="1" wp14:anchorId="6379A2D8" wp14:editId="4C6933A7">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204E" w14:textId="77777777" w:rsidR="008A497E" w:rsidRDefault="008A497E">
    <w:pPr>
      <w:pStyle w:val="Encabezado"/>
    </w:pPr>
    <w:r w:rsidRPr="004535AF">
      <w:rPr>
        <w:noProof/>
      </w:rPr>
      <w:drawing>
        <wp:anchor distT="0" distB="0" distL="114300" distR="114300" simplePos="0" relativeHeight="251665408" behindDoc="0" locked="0" layoutInCell="1" allowOverlap="1" wp14:anchorId="714CB985" wp14:editId="27762924">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500FC" w14:textId="77777777" w:rsidR="008A497E" w:rsidRDefault="008A497E">
    <w:pPr>
      <w:pStyle w:val="Encabezado"/>
    </w:pPr>
    <w:r w:rsidRPr="004535AF">
      <w:rPr>
        <w:noProof/>
      </w:rPr>
      <w:drawing>
        <wp:anchor distT="0" distB="0" distL="114300" distR="114300" simplePos="0" relativeHeight="251667456" behindDoc="0" locked="0" layoutInCell="1" allowOverlap="1" wp14:anchorId="3DC32856" wp14:editId="02EF4A2E">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A0391" w14:textId="77777777" w:rsidR="008A497E" w:rsidRDefault="008A497E">
    <w:pPr>
      <w:pStyle w:val="Encabezado"/>
    </w:pPr>
    <w:r w:rsidRPr="004535AF">
      <w:rPr>
        <w:noProof/>
      </w:rPr>
      <w:drawing>
        <wp:anchor distT="0" distB="0" distL="114300" distR="114300" simplePos="0" relativeHeight="251669504" behindDoc="0" locked="0" layoutInCell="1" allowOverlap="1" wp14:anchorId="0E7B1785" wp14:editId="2342100D">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2B75FA"/>
    <w:multiLevelType w:val="hybridMultilevel"/>
    <w:tmpl w:val="709200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71849A8"/>
    <w:multiLevelType w:val="hybridMultilevel"/>
    <w:tmpl w:val="FDDA2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08B4F2A"/>
    <w:multiLevelType w:val="hybridMultilevel"/>
    <w:tmpl w:val="68AC1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311"/>
    <w:rsid w:val="000B027C"/>
    <w:rsid w:val="000E30E5"/>
    <w:rsid w:val="001121DC"/>
    <w:rsid w:val="00120BC2"/>
    <w:rsid w:val="001308E8"/>
    <w:rsid w:val="00133251"/>
    <w:rsid w:val="001B0336"/>
    <w:rsid w:val="00221101"/>
    <w:rsid w:val="00235DF1"/>
    <w:rsid w:val="002456F7"/>
    <w:rsid w:val="002E1B96"/>
    <w:rsid w:val="00315A50"/>
    <w:rsid w:val="00350DEE"/>
    <w:rsid w:val="00387880"/>
    <w:rsid w:val="004535AF"/>
    <w:rsid w:val="004538A2"/>
    <w:rsid w:val="00460564"/>
    <w:rsid w:val="004E59B7"/>
    <w:rsid w:val="00577ABF"/>
    <w:rsid w:val="00720E70"/>
    <w:rsid w:val="007B3BBD"/>
    <w:rsid w:val="008A497E"/>
    <w:rsid w:val="0094370E"/>
    <w:rsid w:val="00956A3A"/>
    <w:rsid w:val="00B50C03"/>
    <w:rsid w:val="00B86955"/>
    <w:rsid w:val="00BD0900"/>
    <w:rsid w:val="00BF2C6D"/>
    <w:rsid w:val="00C07311"/>
    <w:rsid w:val="00C23D2B"/>
    <w:rsid w:val="00D208ED"/>
    <w:rsid w:val="00E220E9"/>
    <w:rsid w:val="00E42C70"/>
    <w:rsid w:val="00F66714"/>
    <w:rsid w:val="00F751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D8B9"/>
  <w15:chartTrackingRefBased/>
  <w15:docId w15:val="{FAE64A8C-40EF-46F0-B442-E7A54610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2B"/>
    <w:pPr>
      <w:spacing w:after="240"/>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C07311"/>
    <w:pPr>
      <w:ind w:left="720"/>
      <w:contextualSpacing/>
    </w:pPr>
  </w:style>
  <w:style w:type="paragraph" w:styleId="Bibliografa">
    <w:name w:val="Bibliography"/>
    <w:basedOn w:val="Normal"/>
    <w:next w:val="Normal"/>
    <w:uiPriority w:val="37"/>
    <w:unhideWhenUsed/>
    <w:rsid w:val="00C07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10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tmp"/><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2.svg"/><Relationship Id="rId33" Type="http://schemas.openxmlformats.org/officeDocument/2006/relationships/hyperlink" Target="http://www.cdc.gov/malaria/resources/pdf/fsp/ir_manual/ir_cdc_bioassay_es.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who.int/malaria/publications/atoz"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tmp"/><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Vancouver.XSL" StyleName="Vancouver" Version="1">
  <b:Source>
    <b:Tag>Naj01</b:Tag>
    <b:SourceType>Book</b:SourceType>
    <b:Guid>{5517C6BC-60CE-485B-9DDB-F559A0D3A89D}</b:Guid>
    <b:Year>2001</b:Year>
    <b:Author>
      <b:Author>
        <b:NameList>
          <b:Person>
            <b:Last>Najera J.A</b:Last>
            <b:First>Zaim</b:First>
            <b:Middle>M</b:Middle>
          </b:Person>
        </b:NameList>
      </b:Author>
    </b:Author>
    <b:Title>Insecticides for indoor residual spraying</b:Title>
    <b:Publisher>World Health Organization</b:Publisher>
    <b:RefOrder>1</b:RefOrder>
  </b:Source>
  <b:Source>
    <b:Tag>LSa08</b:Tag>
    <b:SourceType>Book</b:SourceType>
    <b:Guid>{0D28C030-8065-41B1-BE60-C70AA94A57B9}</b:Guid>
    <b:Title>Estado de la susceptibilidad a insecticidas de  poblaciones naturales de Aedes aegypti Linnaeus, 1762 vector del dengue y Anopheles darlingi Root, 1926 vector primario  de  malaria  (Diptera: Culicidae)  en  cinco departamentos  de  Colombia</b:Title>
    <b:Year>2008</b:Year>
    <b:City>Bogotá</b:City>
    <b:Author>
      <b:Author>
        <b:NameList>
          <b:Person>
            <b:Last>L</b:Last>
            <b:First>Santacoloma</b:First>
          </b:Person>
        </b:NameList>
      </b:Author>
    </b:Author>
    <b:Publisher>Universidad Nacional de Colombia</b:Publisher>
    <b:RefOrder>2</b:RefOrder>
  </b:Source>
  <b:Source>
    <b:Tag>Org20</b:Tag>
    <b:SourceType>ElectronicSource</b:SourceType>
    <b:Guid>{7780058B-F4A9-41A6-9D8F-0C9D44998677}</b:Guid>
    <b:Year>2020</b:Year>
    <b:Author>
      <b:Author>
        <b:Corporate>Organización Mundial de la Salud</b:Corporate>
      </b:Author>
    </b:Author>
    <b:Medium>Directrices para el control de vectores de paludismo</b:Medium>
    <b:URL>https://www.who.int/malaria/publications/atoz</b:URL>
    <b:InternetSiteTitle>Organización Mundial de la Salud</b:InternetSiteTitle>
    <b:RefOrder>3</b:RefOrder>
  </b:Source>
  <b:Source>
    <b:Tag>Org17</b:Tag>
    <b:SourceType>Book</b:SourceType>
    <b:Guid>{1D9D7A8E-E642-4C2C-AE31-EB116D9A3096}</b:Guid>
    <b:Year>2017</b:Year>
    <b:Author>
      <b:Author>
        <b:Corporate>Organización Mundial de la Salud (OMS)</b:Corporate>
      </b:Author>
    </b:Author>
    <b:Title>Procedimientos de las pruebas para la vigilancia de la resistencia a los insecticidas en los mosquitos vectores del paludismo</b:Title>
    <b:Institution>Organización Mundial de la Salud (OMS)</b:Institution>
    <b:City>Ginebra</b:City>
    <b:Edition>segunda</b:Edition>
    <b:RefOrder>4</b:RefOrder>
  </b:Source>
  <b:Source>
    <b:Tag>Cen21</b:Tag>
    <b:SourceType>ElectronicSource</b:SourceType>
    <b:Guid>{40C82A80-A854-49A5-8DAE-448A230D09C2}</b:Guid>
    <b:YearAccessed>2021</b:YearAccessed>
    <b:MonthAccessed>enero</b:MonthAccessed>
    <b:DayAccessed>8</b:DayAccessed>
    <b:URL>http://www.cdc.gov/malaria/resources/pdf/fsp/ir_manual/ir_cdc_bioassay_es.pdf</b:URL>
    <b:Author>
      <b:Author>
        <b:Corporate>Center for Disease Control and Prevention</b:Corporate>
      </b:Author>
    </b:Author>
    <b:Medium>Instrucciones para la evaluación de la resistencia a insecticida en vectores mediante del ensayo biológico de la botella de los CDC</b:Medium>
    <b:RefOrder>5</b:RefOrder>
  </b:Source>
  <b:Source>
    <b:Tag>OCA00</b:Tag>
    <b:SourceType>BookSection</b:SourceType>
    <b:Guid>{A8925867-550C-4B42-841A-BBFE1741B2F7}</b:Guid>
    <b:Year>2000</b:Year>
    <b:Author>
      <b:Author>
        <b:NameList>
          <b:Person>
            <b:Last>OCAMPO</b:Last>
            <b:First>C.</b:First>
          </b:Person>
          <b:Person>
            <b:Last>BOGDON</b:Last>
            <b:First>W.</b:First>
          </b:Person>
          <b:Person>
            <b:Last>ORREGO</b:Last>
            <b:First>C.</b:First>
          </b:Person>
          <b:Person>
            <b:Last>TORO</b:Last>
            <b:First>G.</b:First>
          </b:Person>
          <b:Person>
            <b:Last>MONTOYA-LERMA</b:Last>
          </b:Person>
        </b:NameList>
      </b:Author>
      <b:BookAuthor>
        <b:NameList>
          <b:Person>
            <b:Last>Assoc</b:Last>
            <b:First>J</b:First>
            <b:Middle>Am Mosquito Control</b:Middle>
          </b:Person>
        </b:NameList>
      </b:BookAuthor>
    </b:Author>
    <b:Title>Insecticide susceptibility in Anopheles pseudopunctipennis from Colombia: comparison between bioassays and biochemical assays.</b:Title>
    <b:Pages>331-338</b:Pages>
    <b:City>Colombia</b:City>
    <b:RefOrder>6</b:RefOrder>
  </b:Source>
</b:Sources>
</file>

<file path=customXml/itemProps1.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2.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4.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5.xml><?xml version="1.0" encoding="utf-8"?>
<ds:datastoreItem xmlns:ds="http://schemas.openxmlformats.org/officeDocument/2006/customXml" ds:itemID="{155B4D42-671D-4935-9357-983F00C7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3</TotalTime>
  <Pages>10</Pages>
  <Words>1713</Words>
  <Characters>9426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2021-03-12T15:03:00Z</dcterms:created>
  <dcterms:modified xsi:type="dcterms:W3CDTF">2021-03-12T15:06:00Z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