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D79C" w14:textId="155140D5" w:rsidR="00057492" w:rsidRDefault="00057492" w:rsidP="00057492">
      <w:pPr>
        <w:spacing w:line="240" w:lineRule="auto"/>
        <w:jc w:val="center"/>
        <w:rPr>
          <w:rFonts w:ascii="Arial" w:eastAsia="Arial" w:hAnsi="Arial" w:cs="Arial"/>
          <w:b/>
          <w:bCs/>
          <w:color w:val="1F4E79"/>
          <w:sz w:val="36"/>
          <w:szCs w:val="36"/>
        </w:rPr>
      </w:pPr>
      <w:r w:rsidRPr="00057492">
        <w:rPr>
          <w:rFonts w:ascii="Arial" w:eastAsia="Arial" w:hAnsi="Arial" w:cs="Arial"/>
          <w:b/>
          <w:bCs/>
          <w:color w:val="1F4E79"/>
          <w:sz w:val="36"/>
          <w:szCs w:val="36"/>
        </w:rPr>
        <w:t>Protocolos y definiciones</w:t>
      </w:r>
    </w:p>
    <w:p w14:paraId="74D325E2" w14:textId="16A53DE9" w:rsidR="00EB03FC" w:rsidRPr="00FA1882" w:rsidRDefault="00B4026E" w:rsidP="00FA1882">
      <w:pPr>
        <w:spacing w:line="240" w:lineRule="auto"/>
        <w:jc w:val="both"/>
        <w:rPr>
          <w:rFonts w:ascii="Arial" w:eastAsia="Arial" w:hAnsi="Arial" w:cs="Arial"/>
          <w:b/>
          <w:color w:val="1F4E79"/>
          <w:sz w:val="36"/>
          <w:szCs w:val="36"/>
        </w:rPr>
      </w:pPr>
      <w:r w:rsidRPr="00FA1882">
        <w:rPr>
          <w:rFonts w:ascii="Arial" w:eastAsia="Arial" w:hAnsi="Arial" w:cs="Arial"/>
          <w:b/>
          <w:color w:val="1F4E79"/>
          <w:sz w:val="36"/>
          <w:szCs w:val="36"/>
        </w:rPr>
        <w:t xml:space="preserve">Unidad </w:t>
      </w:r>
      <w:r w:rsidR="00057492">
        <w:rPr>
          <w:rFonts w:ascii="Arial" w:eastAsia="Arial" w:hAnsi="Arial" w:cs="Arial"/>
          <w:b/>
          <w:color w:val="1F4E79"/>
          <w:sz w:val="36"/>
          <w:szCs w:val="36"/>
        </w:rPr>
        <w:t>3</w:t>
      </w:r>
    </w:p>
    <w:p w14:paraId="62592284" w14:textId="5D75552C" w:rsidR="00B4026E" w:rsidRDefault="00B4026E" w:rsidP="00FA1882">
      <w:pPr>
        <w:pStyle w:val="Ttulo1"/>
        <w:jc w:val="both"/>
        <w:rPr>
          <w:rFonts w:ascii="Arial" w:eastAsia="Arial" w:hAnsi="Arial" w:cs="Arial"/>
          <w:b/>
        </w:rPr>
      </w:pPr>
      <w:bookmarkStart w:id="0" w:name="_heading=h.30j0zll" w:colFirst="0" w:colLast="0"/>
      <w:bookmarkEnd w:id="0"/>
      <w:r w:rsidRPr="00FA1882">
        <w:rPr>
          <w:rFonts w:ascii="Arial" w:eastAsia="Arial" w:hAnsi="Arial" w:cs="Arial"/>
          <w:b/>
        </w:rPr>
        <w:t xml:space="preserve">Diapositiva </w:t>
      </w:r>
      <w:r>
        <w:rPr>
          <w:rFonts w:ascii="Arial" w:eastAsia="Arial" w:hAnsi="Arial" w:cs="Arial"/>
          <w:b/>
        </w:rPr>
        <w:t>1</w:t>
      </w:r>
      <w:r w:rsidRPr="00FA1882">
        <w:rPr>
          <w:rFonts w:ascii="Arial" w:eastAsia="Arial" w:hAnsi="Arial" w:cs="Arial"/>
          <w:b/>
        </w:rPr>
        <w:t xml:space="preserve">. </w:t>
      </w:r>
    </w:p>
    <w:p w14:paraId="4B08830F" w14:textId="77777777" w:rsidR="0046423C" w:rsidRDefault="0046423C" w:rsidP="0046423C">
      <w:pPr>
        <w:spacing w:after="0" w:line="276" w:lineRule="auto"/>
        <w:jc w:val="both"/>
        <w:rPr>
          <w:rFonts w:ascii="Arial" w:hAnsi="Arial" w:cs="Arial"/>
          <w:color w:val="000000"/>
          <w:position w:val="2"/>
          <w:sz w:val="24"/>
          <w:szCs w:val="24"/>
          <w:lang w:val="es-ES_tradnl"/>
        </w:rPr>
      </w:pPr>
      <w:r w:rsidRPr="00E6582E">
        <w:rPr>
          <w:rFonts w:ascii="Arial" w:hAnsi="Arial" w:cs="Arial"/>
          <w:color w:val="000000"/>
          <w:position w:val="2"/>
          <w:sz w:val="24"/>
          <w:szCs w:val="24"/>
          <w:lang w:val="es-ES_tradnl"/>
        </w:rPr>
        <w:t>Curso Virtual de la vigilancia epidemiológica de las Intoxicaciones agudas por sustancias químicas</w:t>
      </w:r>
    </w:p>
    <w:p w14:paraId="44DB8BF3" w14:textId="79900FD0" w:rsidR="0046423C" w:rsidRPr="00E6582E" w:rsidRDefault="00560853" w:rsidP="0046423C">
      <w:pPr>
        <w:spacing w:after="0" w:line="276" w:lineRule="auto"/>
        <w:jc w:val="both"/>
        <w:rPr>
          <w:rFonts w:ascii="Arial" w:hAnsi="Arial" w:cs="Arial"/>
          <w:color w:val="000000"/>
          <w:position w:val="2"/>
          <w:sz w:val="24"/>
          <w:szCs w:val="24"/>
          <w:lang w:val="es-ES_tradnl"/>
        </w:rPr>
      </w:pPr>
      <w:r w:rsidRPr="00560853">
        <w:rPr>
          <w:rFonts w:ascii="Arial" w:hAnsi="Arial" w:cs="Arial"/>
          <w:color w:val="000000"/>
          <w:position w:val="2"/>
          <w:sz w:val="24"/>
          <w:szCs w:val="24"/>
          <w:lang w:val="es-ES_tradnl"/>
        </w:rPr>
        <w:t>Protocolos y definiciones</w:t>
      </w:r>
    </w:p>
    <w:p w14:paraId="636152F9" w14:textId="7465040B" w:rsidR="00EB03FC" w:rsidRPr="00FA1882" w:rsidRDefault="00B4026E" w:rsidP="00FA1882">
      <w:pPr>
        <w:pStyle w:val="Ttulo1"/>
        <w:jc w:val="both"/>
        <w:rPr>
          <w:rFonts w:ascii="Arial" w:eastAsia="Arial" w:hAnsi="Arial" w:cs="Arial"/>
          <w:b/>
        </w:rPr>
      </w:pPr>
      <w:r w:rsidRPr="00FA1882">
        <w:rPr>
          <w:rFonts w:ascii="Arial" w:eastAsia="Arial" w:hAnsi="Arial" w:cs="Arial"/>
          <w:b/>
        </w:rPr>
        <w:t xml:space="preserve">Diapositiva </w:t>
      </w:r>
      <w:r w:rsidR="00347111" w:rsidRPr="00FA1882">
        <w:rPr>
          <w:rFonts w:ascii="Arial" w:eastAsia="Arial" w:hAnsi="Arial" w:cs="Arial"/>
          <w:b/>
        </w:rPr>
        <w:t>2</w:t>
      </w:r>
      <w:r w:rsidRPr="00FA1882">
        <w:rPr>
          <w:rFonts w:ascii="Arial" w:eastAsia="Arial" w:hAnsi="Arial" w:cs="Arial"/>
          <w:b/>
        </w:rPr>
        <w:t xml:space="preserve">. </w:t>
      </w:r>
      <w:r w:rsidR="00057492">
        <w:rPr>
          <w:rFonts w:ascii="Arial" w:eastAsia="Arial" w:hAnsi="Arial" w:cs="Arial"/>
          <w:b/>
        </w:rPr>
        <w:t>Resultados de aprendizaje</w:t>
      </w:r>
    </w:p>
    <w:p w14:paraId="27B90EAC" w14:textId="77777777" w:rsidR="00EB03FC" w:rsidRPr="00FA1882" w:rsidRDefault="00EB03FC" w:rsidP="00FA1882">
      <w:pPr>
        <w:pBdr>
          <w:top w:val="nil"/>
          <w:left w:val="nil"/>
          <w:bottom w:val="nil"/>
          <w:right w:val="nil"/>
          <w:between w:val="nil"/>
        </w:pBdr>
        <w:spacing w:after="0" w:line="240" w:lineRule="auto"/>
        <w:jc w:val="both"/>
        <w:rPr>
          <w:rFonts w:ascii="Arial" w:eastAsia="Arial" w:hAnsi="Arial" w:cs="Arial"/>
          <w:color w:val="000000"/>
          <w:sz w:val="24"/>
          <w:szCs w:val="24"/>
        </w:rPr>
      </w:pPr>
    </w:p>
    <w:p w14:paraId="0F37A876" w14:textId="39E9AFF7" w:rsidR="00EB03FC" w:rsidRDefault="00057492" w:rsidP="00FA1882">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Al finalizar la Unidad</w:t>
      </w:r>
      <w:bookmarkStart w:id="1" w:name="_GoBack"/>
      <w:bookmarkEnd w:id="1"/>
      <w:r>
        <w:rPr>
          <w:rFonts w:ascii="Arial" w:eastAsia="Arial" w:hAnsi="Arial" w:cs="Arial"/>
          <w:color w:val="000000"/>
          <w:sz w:val="24"/>
          <w:szCs w:val="24"/>
        </w:rPr>
        <w:t>, el estudiante estará en la capacidad de:</w:t>
      </w:r>
    </w:p>
    <w:p w14:paraId="2D884646" w14:textId="7D92DB1F" w:rsidR="00057492" w:rsidRPr="00057492" w:rsidRDefault="00057492" w:rsidP="00057492">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057492">
        <w:rPr>
          <w:rFonts w:ascii="Arial" w:eastAsia="Arial" w:hAnsi="Arial" w:cs="Arial"/>
          <w:color w:val="000000"/>
          <w:sz w:val="24"/>
          <w:szCs w:val="24"/>
          <w:lang w:val="es-MX"/>
        </w:rPr>
        <w:t>Identificar los principales componentes de un protocolo de vigilancia en salud pública</w:t>
      </w:r>
      <w:r>
        <w:rPr>
          <w:rFonts w:ascii="Arial" w:eastAsia="Arial" w:hAnsi="Arial" w:cs="Arial"/>
          <w:color w:val="000000"/>
          <w:sz w:val="24"/>
          <w:szCs w:val="24"/>
          <w:lang w:val="es-MX"/>
        </w:rPr>
        <w:t>.</w:t>
      </w:r>
    </w:p>
    <w:p w14:paraId="5FFCAF63" w14:textId="5C097AD6" w:rsidR="00057492" w:rsidRPr="00057492" w:rsidRDefault="00057492" w:rsidP="00057492">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057492">
        <w:rPr>
          <w:rFonts w:ascii="Arial" w:eastAsia="Arial" w:hAnsi="Arial" w:cs="Arial"/>
          <w:color w:val="000000"/>
          <w:sz w:val="24"/>
          <w:szCs w:val="24"/>
          <w:lang w:val="es-MX"/>
        </w:rPr>
        <w:t>Conocer qu</w:t>
      </w:r>
      <w:r>
        <w:rPr>
          <w:rFonts w:ascii="Arial" w:eastAsia="Arial" w:hAnsi="Arial" w:cs="Arial"/>
          <w:color w:val="000000"/>
          <w:sz w:val="24"/>
          <w:szCs w:val="24"/>
          <w:lang w:val="es-MX"/>
        </w:rPr>
        <w:t>é</w:t>
      </w:r>
      <w:r w:rsidRPr="00057492">
        <w:rPr>
          <w:rFonts w:ascii="Arial" w:eastAsia="Arial" w:hAnsi="Arial" w:cs="Arial"/>
          <w:color w:val="000000"/>
          <w:sz w:val="24"/>
          <w:szCs w:val="24"/>
          <w:lang w:val="es-MX"/>
        </w:rPr>
        <w:t xml:space="preserve"> es la definición de caso en el sistema de vigilancia en salud pública</w:t>
      </w:r>
      <w:r>
        <w:rPr>
          <w:rFonts w:ascii="Arial" w:eastAsia="Arial" w:hAnsi="Arial" w:cs="Arial"/>
          <w:color w:val="000000"/>
          <w:sz w:val="24"/>
          <w:szCs w:val="24"/>
          <w:lang w:val="es-MX"/>
        </w:rPr>
        <w:t>.</w:t>
      </w:r>
    </w:p>
    <w:p w14:paraId="7BE15F80" w14:textId="6CDD1067" w:rsidR="00057492" w:rsidRPr="00057492" w:rsidRDefault="00057492" w:rsidP="00057492">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lang w:val="es-MX"/>
        </w:rPr>
        <w:t>Y r</w:t>
      </w:r>
      <w:r w:rsidRPr="00057492">
        <w:rPr>
          <w:rFonts w:ascii="Arial" w:eastAsia="Arial" w:hAnsi="Arial" w:cs="Arial"/>
          <w:color w:val="000000"/>
          <w:sz w:val="24"/>
          <w:szCs w:val="24"/>
          <w:lang w:val="es-MX"/>
        </w:rPr>
        <w:t>econocer los niveles de definición de caso de los eventos de interés salud pública</w:t>
      </w:r>
      <w:r>
        <w:rPr>
          <w:rFonts w:ascii="Arial" w:eastAsia="Arial" w:hAnsi="Arial" w:cs="Arial"/>
          <w:color w:val="000000"/>
          <w:sz w:val="24"/>
          <w:szCs w:val="24"/>
          <w:lang w:val="es-MX"/>
        </w:rPr>
        <w:t>.</w:t>
      </w:r>
    </w:p>
    <w:p w14:paraId="5CFC9A83" w14:textId="087B834C" w:rsidR="00EB03FC" w:rsidRPr="00FA1882" w:rsidRDefault="00560853" w:rsidP="00FA1882">
      <w:pPr>
        <w:pStyle w:val="Ttulo1"/>
        <w:jc w:val="both"/>
        <w:rPr>
          <w:rFonts w:ascii="Arial" w:eastAsia="Arial" w:hAnsi="Arial" w:cs="Arial"/>
          <w:b/>
        </w:rPr>
      </w:pPr>
      <w:bookmarkStart w:id="2" w:name="_heading=h.281wvj58f0mw" w:colFirst="0" w:colLast="0"/>
      <w:bookmarkEnd w:id="2"/>
      <w:r>
        <w:rPr>
          <w:rFonts w:ascii="Arial" w:eastAsia="Arial" w:hAnsi="Arial" w:cs="Arial"/>
          <w:b/>
        </w:rPr>
        <w:t>D</w:t>
      </w:r>
      <w:r w:rsidR="00B4026E" w:rsidRPr="00FA1882">
        <w:rPr>
          <w:rFonts w:ascii="Arial" w:eastAsia="Arial" w:hAnsi="Arial" w:cs="Arial"/>
          <w:b/>
        </w:rPr>
        <w:t xml:space="preserve">iapositiva </w:t>
      </w:r>
      <w:r w:rsidR="00347111" w:rsidRPr="00FA1882">
        <w:rPr>
          <w:rFonts w:ascii="Arial" w:eastAsia="Arial" w:hAnsi="Arial" w:cs="Arial"/>
          <w:b/>
        </w:rPr>
        <w:t>3</w:t>
      </w:r>
      <w:r w:rsidR="00B4026E" w:rsidRPr="00FA1882">
        <w:rPr>
          <w:rFonts w:ascii="Arial" w:eastAsia="Arial" w:hAnsi="Arial" w:cs="Arial"/>
          <w:b/>
        </w:rPr>
        <w:t xml:space="preserve">. </w:t>
      </w:r>
      <w:r w:rsidR="00057492" w:rsidRPr="00057492">
        <w:rPr>
          <w:rFonts w:ascii="Arial" w:eastAsia="Arial" w:hAnsi="Arial" w:cs="Arial"/>
          <w:b/>
          <w:bCs/>
        </w:rPr>
        <w:t>Protocolo de Vigilancia en Salud Pública</w:t>
      </w:r>
    </w:p>
    <w:p w14:paraId="7377B4C2" w14:textId="526BBB82" w:rsidR="00A03792" w:rsidRDefault="00A03792" w:rsidP="00A03792">
      <w:pPr>
        <w:pStyle w:val="Ttulo1"/>
        <w:jc w:val="both"/>
        <w:rPr>
          <w:rFonts w:ascii="Arial" w:eastAsia="Arial" w:hAnsi="Arial" w:cs="Arial"/>
          <w:bCs/>
          <w:color w:val="auto"/>
          <w:sz w:val="24"/>
          <w:szCs w:val="24"/>
        </w:rPr>
      </w:pPr>
      <w:r w:rsidRPr="00A03792">
        <w:rPr>
          <w:rFonts w:ascii="Arial" w:eastAsia="Arial" w:hAnsi="Arial" w:cs="Arial"/>
          <w:bCs/>
          <w:color w:val="auto"/>
          <w:sz w:val="24"/>
          <w:szCs w:val="24"/>
        </w:rPr>
        <w:t> </w:t>
      </w:r>
      <w:r>
        <w:rPr>
          <w:rFonts w:ascii="Arial" w:eastAsia="Arial" w:hAnsi="Arial" w:cs="Arial"/>
          <w:bCs/>
          <w:color w:val="auto"/>
          <w:sz w:val="24"/>
          <w:szCs w:val="24"/>
        </w:rPr>
        <w:t xml:space="preserve">El </w:t>
      </w:r>
      <w:r w:rsidRPr="00A03792">
        <w:rPr>
          <w:rFonts w:ascii="Arial" w:eastAsia="Arial" w:hAnsi="Arial" w:cs="Arial"/>
          <w:bCs/>
          <w:color w:val="auto"/>
          <w:sz w:val="24"/>
          <w:szCs w:val="24"/>
        </w:rPr>
        <w:t>Decreto 3518 de 2006</w:t>
      </w:r>
      <w:r>
        <w:rPr>
          <w:rFonts w:ascii="Arial" w:eastAsia="Arial" w:hAnsi="Arial" w:cs="Arial"/>
          <w:bCs/>
          <w:color w:val="auto"/>
          <w:sz w:val="24"/>
          <w:szCs w:val="24"/>
        </w:rPr>
        <w:t xml:space="preserve">, </w:t>
      </w:r>
      <w:r w:rsidRPr="00A03792">
        <w:rPr>
          <w:rFonts w:ascii="Arial" w:eastAsia="Arial" w:hAnsi="Arial" w:cs="Arial"/>
          <w:bCs/>
          <w:color w:val="auto"/>
          <w:sz w:val="24"/>
          <w:szCs w:val="24"/>
        </w:rPr>
        <w:t xml:space="preserve">por el cual se crea y reglamenta el Sistema de Vigilancia en Salud Pública, </w:t>
      </w:r>
      <w:r>
        <w:rPr>
          <w:rFonts w:ascii="Arial" w:eastAsia="Arial" w:hAnsi="Arial" w:cs="Arial"/>
          <w:bCs/>
          <w:color w:val="auto"/>
          <w:sz w:val="24"/>
          <w:szCs w:val="24"/>
        </w:rPr>
        <w:t xml:space="preserve">define </w:t>
      </w:r>
      <w:r w:rsidRPr="00A03792">
        <w:rPr>
          <w:rFonts w:ascii="Arial" w:eastAsia="Arial" w:hAnsi="Arial" w:cs="Arial"/>
          <w:bCs/>
          <w:color w:val="auto"/>
          <w:sz w:val="24"/>
          <w:szCs w:val="24"/>
        </w:rPr>
        <w:t xml:space="preserve">los protocolos de Vigilancia en Salud Pública </w:t>
      </w:r>
      <w:r>
        <w:rPr>
          <w:rFonts w:ascii="Arial" w:eastAsia="Arial" w:hAnsi="Arial" w:cs="Arial"/>
          <w:bCs/>
          <w:color w:val="auto"/>
          <w:sz w:val="24"/>
          <w:szCs w:val="24"/>
        </w:rPr>
        <w:t xml:space="preserve">como la </w:t>
      </w:r>
      <w:r w:rsidRPr="00A03792">
        <w:rPr>
          <w:rFonts w:ascii="Arial" w:eastAsia="Arial" w:hAnsi="Arial" w:cs="Arial"/>
          <w:bCs/>
          <w:color w:val="auto"/>
          <w:sz w:val="24"/>
          <w:szCs w:val="24"/>
        </w:rPr>
        <w:t>“guía técnica y operativa que estandariza los criterios, procedimientos y actividades que permiten sistematizar las actividades de vigilancia de los eventos de interés en salud pública”.</w:t>
      </w:r>
    </w:p>
    <w:p w14:paraId="1D61116D" w14:textId="32721D0D" w:rsidR="00295765" w:rsidRDefault="00A03792" w:rsidP="00295765">
      <w:pPr>
        <w:pStyle w:val="Ttulo1"/>
        <w:jc w:val="both"/>
        <w:rPr>
          <w:rFonts w:ascii="Arial" w:eastAsia="Arial" w:hAnsi="Arial" w:cs="Arial"/>
          <w:bCs/>
          <w:color w:val="auto"/>
          <w:sz w:val="24"/>
          <w:szCs w:val="24"/>
        </w:rPr>
      </w:pPr>
      <w:r>
        <w:rPr>
          <w:rFonts w:ascii="Arial" w:eastAsia="Arial" w:hAnsi="Arial" w:cs="Arial"/>
          <w:bCs/>
          <w:color w:val="auto"/>
          <w:sz w:val="24"/>
          <w:szCs w:val="24"/>
        </w:rPr>
        <w:t xml:space="preserve">En Colombia, </w:t>
      </w:r>
      <w:r w:rsidR="00295765">
        <w:rPr>
          <w:rFonts w:ascii="Arial" w:eastAsia="Arial" w:hAnsi="Arial" w:cs="Arial"/>
          <w:bCs/>
          <w:color w:val="auto"/>
          <w:sz w:val="24"/>
          <w:szCs w:val="24"/>
        </w:rPr>
        <w:t xml:space="preserve">según el mismo decreto, </w:t>
      </w:r>
      <w:r w:rsidRPr="00A03792">
        <w:rPr>
          <w:rFonts w:ascii="Arial" w:eastAsia="Arial" w:hAnsi="Arial" w:cs="Arial"/>
          <w:bCs/>
          <w:color w:val="auto"/>
          <w:sz w:val="24"/>
          <w:szCs w:val="24"/>
        </w:rPr>
        <w:t>los protocolos de vigilancia en Salud Pública son de obligatorio cumplimiento</w:t>
      </w:r>
      <w:r w:rsidR="00295765">
        <w:rPr>
          <w:rFonts w:ascii="Arial" w:eastAsia="Arial" w:hAnsi="Arial" w:cs="Arial"/>
          <w:bCs/>
          <w:color w:val="auto"/>
          <w:sz w:val="24"/>
          <w:szCs w:val="24"/>
        </w:rPr>
        <w:t xml:space="preserve"> y dentro de ellos se definen aspectos relativos por ejemplo a los datos y fuentes de información, </w:t>
      </w:r>
      <w:r w:rsidR="00295765" w:rsidRPr="00295765">
        <w:rPr>
          <w:rFonts w:ascii="Arial" w:eastAsia="Arial" w:hAnsi="Arial" w:cs="Arial"/>
          <w:bCs/>
          <w:color w:val="auto"/>
          <w:sz w:val="24"/>
          <w:szCs w:val="24"/>
        </w:rPr>
        <w:t>procedimientos para su recolección,</w:t>
      </w:r>
      <w:r w:rsidR="00295765">
        <w:rPr>
          <w:rFonts w:ascii="Arial" w:eastAsia="Arial" w:hAnsi="Arial" w:cs="Arial"/>
          <w:bCs/>
          <w:color w:val="auto"/>
          <w:sz w:val="24"/>
          <w:szCs w:val="24"/>
        </w:rPr>
        <w:t xml:space="preserve"> </w:t>
      </w:r>
      <w:r w:rsidR="00295765" w:rsidRPr="00295765">
        <w:rPr>
          <w:rFonts w:ascii="Arial" w:eastAsia="Arial" w:hAnsi="Arial" w:cs="Arial"/>
          <w:bCs/>
          <w:color w:val="auto"/>
          <w:sz w:val="24"/>
          <w:szCs w:val="24"/>
        </w:rPr>
        <w:t>consolidación, procesamiento, transferencia, análisis y difusión</w:t>
      </w:r>
      <w:r w:rsidR="00295765">
        <w:rPr>
          <w:rFonts w:ascii="Arial" w:eastAsia="Arial" w:hAnsi="Arial" w:cs="Arial"/>
          <w:bCs/>
          <w:color w:val="auto"/>
          <w:sz w:val="24"/>
          <w:szCs w:val="24"/>
        </w:rPr>
        <w:t>, también, el procedimiento de notificación obligatoria</w:t>
      </w:r>
      <w:r w:rsidR="00E23AD4">
        <w:rPr>
          <w:rFonts w:ascii="Arial" w:eastAsia="Arial" w:hAnsi="Arial" w:cs="Arial"/>
          <w:bCs/>
          <w:color w:val="auto"/>
          <w:sz w:val="24"/>
          <w:szCs w:val="24"/>
        </w:rPr>
        <w:t xml:space="preserve">, e inclusive las pruebas de laboratorio </w:t>
      </w:r>
      <w:r w:rsidR="00E23AD4" w:rsidRPr="00E23AD4">
        <w:rPr>
          <w:rFonts w:ascii="Arial" w:eastAsia="Arial" w:hAnsi="Arial" w:cs="Arial"/>
          <w:bCs/>
          <w:color w:val="auto"/>
          <w:sz w:val="24"/>
          <w:szCs w:val="24"/>
        </w:rPr>
        <w:t>para el estudio de eventos de interés en salud pública</w:t>
      </w:r>
      <w:r w:rsidR="00E23AD4">
        <w:rPr>
          <w:rFonts w:ascii="Arial" w:eastAsia="Arial" w:hAnsi="Arial" w:cs="Arial"/>
          <w:bCs/>
          <w:color w:val="auto"/>
          <w:sz w:val="24"/>
          <w:szCs w:val="24"/>
        </w:rPr>
        <w:t>.</w:t>
      </w:r>
    </w:p>
    <w:p w14:paraId="26B4DF88" w14:textId="6FFE51FA" w:rsidR="00954094" w:rsidRPr="00A03792" w:rsidRDefault="00A03792" w:rsidP="00A03792">
      <w:pPr>
        <w:pStyle w:val="Ttulo1"/>
        <w:jc w:val="both"/>
        <w:rPr>
          <w:rFonts w:ascii="Arial" w:eastAsia="Arial" w:hAnsi="Arial" w:cs="Arial"/>
          <w:bCs/>
          <w:color w:val="auto"/>
          <w:sz w:val="24"/>
          <w:szCs w:val="24"/>
        </w:rPr>
      </w:pPr>
      <w:r w:rsidRPr="00A03792">
        <w:rPr>
          <w:rFonts w:ascii="Arial" w:eastAsia="Arial" w:hAnsi="Arial" w:cs="Arial"/>
          <w:bCs/>
          <w:color w:val="auto"/>
          <w:sz w:val="24"/>
          <w:szCs w:val="24"/>
        </w:rPr>
        <w:t>Es fundamental que el personal asistencial de salud identifique los protocolos</w:t>
      </w:r>
      <w:r w:rsidR="00E23AD4">
        <w:rPr>
          <w:rFonts w:ascii="Arial" w:eastAsia="Arial" w:hAnsi="Arial" w:cs="Arial"/>
          <w:bCs/>
          <w:color w:val="auto"/>
          <w:sz w:val="24"/>
          <w:szCs w:val="24"/>
        </w:rPr>
        <w:t xml:space="preserve"> </w:t>
      </w:r>
      <w:r w:rsidRPr="00A03792">
        <w:rPr>
          <w:rFonts w:ascii="Arial" w:eastAsia="Arial" w:hAnsi="Arial" w:cs="Arial"/>
          <w:bCs/>
          <w:color w:val="auto"/>
          <w:sz w:val="24"/>
          <w:szCs w:val="24"/>
        </w:rPr>
        <w:t xml:space="preserve">y siga </w:t>
      </w:r>
      <w:r w:rsidR="00E23AD4">
        <w:rPr>
          <w:rFonts w:ascii="Arial" w:eastAsia="Arial" w:hAnsi="Arial" w:cs="Arial"/>
          <w:bCs/>
          <w:color w:val="auto"/>
          <w:sz w:val="24"/>
          <w:szCs w:val="24"/>
        </w:rPr>
        <w:t>los procedimientos establecidos</w:t>
      </w:r>
      <w:r w:rsidRPr="00A03792">
        <w:rPr>
          <w:rFonts w:ascii="Arial" w:eastAsia="Arial" w:hAnsi="Arial" w:cs="Arial"/>
          <w:bCs/>
          <w:color w:val="auto"/>
          <w:sz w:val="24"/>
          <w:szCs w:val="24"/>
        </w:rPr>
        <w:t xml:space="preserve"> para asegurar unificación de criterios y calidad en la atención efectiva de los usuarios en el Sistema General de Seguridad Social en Salud</w:t>
      </w:r>
      <w:r w:rsidR="00E23AD4">
        <w:rPr>
          <w:rFonts w:ascii="Arial" w:eastAsia="Arial" w:hAnsi="Arial" w:cs="Arial"/>
          <w:bCs/>
          <w:color w:val="auto"/>
          <w:sz w:val="24"/>
          <w:szCs w:val="24"/>
        </w:rPr>
        <w:t>.</w:t>
      </w:r>
    </w:p>
    <w:p w14:paraId="2CB53E27" w14:textId="77777777" w:rsidR="00BA0AD9" w:rsidRPr="00BA0AD9" w:rsidRDefault="00B4026E" w:rsidP="00BA0AD9">
      <w:pPr>
        <w:pStyle w:val="Ttulo1"/>
        <w:jc w:val="both"/>
        <w:rPr>
          <w:rFonts w:ascii="Arial" w:eastAsia="Arial" w:hAnsi="Arial" w:cs="Arial"/>
          <w:b/>
        </w:rPr>
      </w:pPr>
      <w:r w:rsidRPr="00FA1882">
        <w:rPr>
          <w:rFonts w:ascii="Arial" w:eastAsia="Arial" w:hAnsi="Arial" w:cs="Arial"/>
          <w:b/>
        </w:rPr>
        <w:t xml:space="preserve">Diapositiva </w:t>
      </w:r>
      <w:r w:rsidR="00347111" w:rsidRPr="00FA1882">
        <w:rPr>
          <w:rFonts w:ascii="Arial" w:eastAsia="Arial" w:hAnsi="Arial" w:cs="Arial"/>
          <w:b/>
        </w:rPr>
        <w:t>4</w:t>
      </w:r>
      <w:r w:rsidRPr="00FA1882">
        <w:rPr>
          <w:rFonts w:ascii="Arial" w:eastAsia="Arial" w:hAnsi="Arial" w:cs="Arial"/>
          <w:b/>
        </w:rPr>
        <w:t xml:space="preserve">. </w:t>
      </w:r>
      <w:r w:rsidR="00BA0AD9" w:rsidRPr="00BA0AD9">
        <w:rPr>
          <w:rFonts w:ascii="Arial" w:eastAsia="Arial" w:hAnsi="Arial" w:cs="Arial"/>
          <w:b/>
          <w:bCs/>
        </w:rPr>
        <w:t>Componentes de un protocolo de vigilancia en Salud Pública</w:t>
      </w:r>
    </w:p>
    <w:p w14:paraId="09999BF6" w14:textId="77777777" w:rsidR="00EB03FC" w:rsidRPr="00FA1882" w:rsidRDefault="00EB03FC" w:rsidP="00FA1882">
      <w:pPr>
        <w:pBdr>
          <w:top w:val="nil"/>
          <w:left w:val="nil"/>
          <w:bottom w:val="nil"/>
          <w:right w:val="nil"/>
          <w:between w:val="nil"/>
        </w:pBdr>
        <w:spacing w:after="0" w:line="240" w:lineRule="auto"/>
        <w:jc w:val="both"/>
        <w:rPr>
          <w:rFonts w:ascii="Arial" w:eastAsia="Arial" w:hAnsi="Arial" w:cs="Arial"/>
          <w:sz w:val="24"/>
          <w:szCs w:val="24"/>
        </w:rPr>
      </w:pPr>
    </w:p>
    <w:p w14:paraId="6D0B597A" w14:textId="016D104A" w:rsidR="00EB03FC" w:rsidRDefault="002B1812" w:rsidP="00FA1882">
      <w:pPr>
        <w:spacing w:line="240" w:lineRule="auto"/>
        <w:jc w:val="both"/>
        <w:rPr>
          <w:rFonts w:ascii="Arial" w:eastAsia="Arial" w:hAnsi="Arial" w:cs="Arial"/>
          <w:sz w:val="24"/>
          <w:szCs w:val="24"/>
        </w:rPr>
      </w:pPr>
      <w:r>
        <w:rPr>
          <w:rFonts w:ascii="Arial" w:eastAsia="Arial" w:hAnsi="Arial" w:cs="Arial"/>
          <w:sz w:val="24"/>
          <w:szCs w:val="24"/>
        </w:rPr>
        <w:lastRenderedPageBreak/>
        <w:t>Cuando se va a desarrollar un Protocolo para un evento de interés en salud pública, se deben seguir los criterios establecidos por el Instituto Nacional de Salud, dentro de los cuales se definen los apartados mínimos que deben ser incluidos en el documento.</w:t>
      </w:r>
    </w:p>
    <w:p w14:paraId="50169257" w14:textId="0015EE10" w:rsidR="002B1812" w:rsidRDefault="002B1812" w:rsidP="00FA1882">
      <w:pPr>
        <w:spacing w:line="240" w:lineRule="auto"/>
        <w:jc w:val="both"/>
        <w:rPr>
          <w:rFonts w:ascii="Arial" w:eastAsia="Arial" w:hAnsi="Arial" w:cs="Arial"/>
          <w:sz w:val="24"/>
          <w:szCs w:val="24"/>
        </w:rPr>
      </w:pPr>
      <w:r>
        <w:rPr>
          <w:rFonts w:ascii="Arial" w:eastAsia="Arial" w:hAnsi="Arial" w:cs="Arial"/>
          <w:sz w:val="24"/>
          <w:szCs w:val="24"/>
        </w:rPr>
        <w:t>En la introducción del protocolo se pretende entregar información al usuario sobre el comportamiento o la situación</w:t>
      </w:r>
      <w:r w:rsidR="00CB341D">
        <w:rPr>
          <w:rFonts w:ascii="Arial" w:eastAsia="Arial" w:hAnsi="Arial" w:cs="Arial"/>
          <w:sz w:val="24"/>
          <w:szCs w:val="24"/>
        </w:rPr>
        <w:t xml:space="preserve"> epidemiológica</w:t>
      </w:r>
      <w:r>
        <w:rPr>
          <w:rFonts w:ascii="Arial" w:eastAsia="Arial" w:hAnsi="Arial" w:cs="Arial"/>
          <w:sz w:val="24"/>
          <w:szCs w:val="24"/>
        </w:rPr>
        <w:t xml:space="preserve"> del evento </w:t>
      </w:r>
      <w:r w:rsidR="00CB341D">
        <w:rPr>
          <w:rFonts w:ascii="Arial" w:eastAsia="Arial" w:hAnsi="Arial" w:cs="Arial"/>
          <w:sz w:val="24"/>
          <w:szCs w:val="24"/>
        </w:rPr>
        <w:t>a nivel mundial, en la región y en el país.  También, a través del estado del arte, que se entienda de qué se trata el evento y con base en información muy reciente, justificar por qué ese evento particular debe ser vigilado</w:t>
      </w:r>
      <w:r w:rsidR="001141F3">
        <w:rPr>
          <w:rFonts w:ascii="Arial" w:eastAsia="Arial" w:hAnsi="Arial" w:cs="Arial"/>
          <w:sz w:val="24"/>
          <w:szCs w:val="24"/>
        </w:rPr>
        <w:t xml:space="preserve"> (incluyendo la morbilidad, mortalidad, carga económica, convenios internacionales, etc.)</w:t>
      </w:r>
      <w:r w:rsidR="00CB341D">
        <w:rPr>
          <w:rFonts w:ascii="Arial" w:eastAsia="Arial" w:hAnsi="Arial" w:cs="Arial"/>
          <w:sz w:val="24"/>
          <w:szCs w:val="24"/>
        </w:rPr>
        <w:t xml:space="preserve">. </w:t>
      </w:r>
      <w:r w:rsidR="001B1EAB">
        <w:rPr>
          <w:rFonts w:ascii="Arial" w:eastAsia="Arial" w:hAnsi="Arial" w:cs="Arial"/>
          <w:sz w:val="24"/>
          <w:szCs w:val="24"/>
        </w:rPr>
        <w:t>Además,</w:t>
      </w:r>
      <w:r w:rsidR="00CB341D">
        <w:rPr>
          <w:rFonts w:ascii="Arial" w:eastAsia="Arial" w:hAnsi="Arial" w:cs="Arial"/>
          <w:sz w:val="24"/>
          <w:szCs w:val="24"/>
        </w:rPr>
        <w:t xml:space="preserve"> los usuarios y el uso del protocolo deben quedar establecidos.</w:t>
      </w:r>
    </w:p>
    <w:p w14:paraId="677480D3" w14:textId="6BF4C214" w:rsidR="00EB03FC" w:rsidRDefault="001B1EAB" w:rsidP="00FA1882">
      <w:pPr>
        <w:spacing w:line="240" w:lineRule="auto"/>
        <w:jc w:val="both"/>
        <w:rPr>
          <w:rFonts w:ascii="Arial" w:eastAsia="Arial" w:hAnsi="Arial" w:cs="Arial"/>
          <w:sz w:val="24"/>
          <w:szCs w:val="24"/>
        </w:rPr>
      </w:pPr>
      <w:r>
        <w:rPr>
          <w:rFonts w:ascii="Arial" w:eastAsia="Arial" w:hAnsi="Arial" w:cs="Arial"/>
          <w:sz w:val="24"/>
          <w:szCs w:val="24"/>
        </w:rPr>
        <w:t>Dentro de los objetivos de los protocolos se encuentran d</w:t>
      </w:r>
      <w:r w:rsidRPr="001B1EAB">
        <w:rPr>
          <w:rFonts w:ascii="Arial" w:eastAsia="Arial" w:hAnsi="Arial" w:cs="Arial"/>
          <w:sz w:val="24"/>
          <w:szCs w:val="24"/>
        </w:rPr>
        <w:t xml:space="preserve">escribir en términos de variables de persona, tiempo y lugar el comportamiento de los casos notificados </w:t>
      </w:r>
      <w:r>
        <w:rPr>
          <w:rFonts w:ascii="Arial" w:eastAsia="Arial" w:hAnsi="Arial" w:cs="Arial"/>
          <w:sz w:val="24"/>
          <w:szCs w:val="24"/>
        </w:rPr>
        <w:t xml:space="preserve">para el evento y realizar </w:t>
      </w:r>
      <w:r w:rsidRPr="001B1EAB">
        <w:rPr>
          <w:rFonts w:ascii="Arial" w:eastAsia="Arial" w:hAnsi="Arial" w:cs="Arial"/>
          <w:sz w:val="24"/>
          <w:szCs w:val="24"/>
        </w:rPr>
        <w:t xml:space="preserve">seguimiento a los indicadores </w:t>
      </w:r>
      <w:r>
        <w:rPr>
          <w:rFonts w:ascii="Arial" w:eastAsia="Arial" w:hAnsi="Arial" w:cs="Arial"/>
          <w:sz w:val="24"/>
          <w:szCs w:val="24"/>
        </w:rPr>
        <w:t>de gestión de las entidades territoriales, además de otros más específicos para cada evento.</w:t>
      </w:r>
    </w:p>
    <w:p w14:paraId="27C66F35" w14:textId="037ABB42" w:rsidR="00703033" w:rsidRDefault="00703033" w:rsidP="00FA1882">
      <w:pPr>
        <w:spacing w:line="240" w:lineRule="auto"/>
        <w:jc w:val="both"/>
        <w:rPr>
          <w:rFonts w:ascii="Arial" w:eastAsia="Arial" w:hAnsi="Arial" w:cs="Arial"/>
          <w:sz w:val="24"/>
          <w:szCs w:val="24"/>
        </w:rPr>
      </w:pPr>
      <w:r>
        <w:rPr>
          <w:rFonts w:ascii="Arial" w:eastAsia="Arial" w:hAnsi="Arial" w:cs="Arial"/>
          <w:sz w:val="24"/>
          <w:szCs w:val="24"/>
        </w:rPr>
        <w:t>Dentro del protocolo debe quedar plenamente establecido a qué se le va a llamar caso y qué tipo de definiciones de caso se ajustan al evento vigilado, por ejemplo, si para ese evento se puede definir un caso como probable o si se puede definir solamente con criterios clínicos o requiere una confirmación por laboratorio.</w:t>
      </w:r>
    </w:p>
    <w:p w14:paraId="166E7EE3" w14:textId="778BF8B4" w:rsidR="00276239" w:rsidRDefault="00276239" w:rsidP="00FA1882">
      <w:pPr>
        <w:spacing w:line="240" w:lineRule="auto"/>
        <w:jc w:val="both"/>
        <w:rPr>
          <w:rFonts w:ascii="Arial" w:eastAsia="Arial" w:hAnsi="Arial" w:cs="Arial"/>
          <w:sz w:val="24"/>
          <w:szCs w:val="24"/>
        </w:rPr>
      </w:pPr>
      <w:r>
        <w:rPr>
          <w:rFonts w:ascii="Arial" w:eastAsia="Arial" w:hAnsi="Arial" w:cs="Arial"/>
          <w:sz w:val="24"/>
          <w:szCs w:val="24"/>
        </w:rPr>
        <w:t xml:space="preserve">En el documento se describen las estrategias de vigilancia y las responsabilidades de todos los partícipes del sistema, desde el nivel nacional incluyendo al Ministerio de Salud y protección social y el Instituto Nacional de salud, los niveles </w:t>
      </w:r>
      <w:r w:rsidR="00A90B66">
        <w:rPr>
          <w:rFonts w:ascii="Arial" w:eastAsia="Arial" w:hAnsi="Arial" w:cs="Arial"/>
          <w:sz w:val="24"/>
          <w:szCs w:val="24"/>
        </w:rPr>
        <w:t>departamentales, distritales</w:t>
      </w:r>
      <w:r>
        <w:rPr>
          <w:rFonts w:ascii="Arial" w:eastAsia="Arial" w:hAnsi="Arial" w:cs="Arial"/>
          <w:sz w:val="24"/>
          <w:szCs w:val="24"/>
        </w:rPr>
        <w:t xml:space="preserve"> y los municipios hasta las EAPB, IPS y las UPGD.</w:t>
      </w:r>
    </w:p>
    <w:p w14:paraId="225EBC44" w14:textId="07C0DD45" w:rsidR="00A90B66" w:rsidRDefault="00A90B66" w:rsidP="00721F72">
      <w:pPr>
        <w:spacing w:line="240" w:lineRule="auto"/>
        <w:jc w:val="both"/>
        <w:rPr>
          <w:rFonts w:ascii="Arial" w:eastAsia="Arial" w:hAnsi="Arial" w:cs="Arial"/>
          <w:sz w:val="24"/>
          <w:szCs w:val="24"/>
        </w:rPr>
      </w:pPr>
      <w:r>
        <w:rPr>
          <w:rFonts w:ascii="Arial" w:eastAsia="Arial" w:hAnsi="Arial" w:cs="Arial"/>
          <w:sz w:val="24"/>
          <w:szCs w:val="24"/>
        </w:rPr>
        <w:t xml:space="preserve">Se debe describir como será la recolección y tratamiento de la información, incluyendo los tiempos establecidos para cada aspecto. Cómo se hará el procesamiento de los datos y su análisis rutinario y frente a comportamientos inusuales.  Se orientará así mismo al lector sobre las acciones individuales y colectivas y las acciones del laboratorio, por ejemplo, </w:t>
      </w:r>
      <w:r w:rsidR="00721F72">
        <w:rPr>
          <w:rFonts w:ascii="Arial" w:eastAsia="Arial" w:hAnsi="Arial" w:cs="Arial"/>
          <w:sz w:val="24"/>
          <w:szCs w:val="24"/>
        </w:rPr>
        <w:t xml:space="preserve">en las acciones colectivas para el evento de intoxicaciones se encuentran aquellas encaminadas a </w:t>
      </w:r>
      <w:r w:rsidR="00721F72" w:rsidRPr="00721F72">
        <w:rPr>
          <w:rFonts w:ascii="Arial" w:eastAsia="Arial" w:hAnsi="Arial" w:cs="Arial"/>
          <w:sz w:val="24"/>
          <w:szCs w:val="24"/>
        </w:rPr>
        <w:t>programas de educación, información y comunicación a la</w:t>
      </w:r>
      <w:r w:rsidR="00721F72">
        <w:rPr>
          <w:rFonts w:ascii="Arial" w:eastAsia="Arial" w:hAnsi="Arial" w:cs="Arial"/>
          <w:sz w:val="24"/>
          <w:szCs w:val="24"/>
        </w:rPr>
        <w:t xml:space="preserve"> </w:t>
      </w:r>
      <w:r w:rsidR="00721F72" w:rsidRPr="00721F72">
        <w:rPr>
          <w:rFonts w:ascii="Arial" w:eastAsia="Arial" w:hAnsi="Arial" w:cs="Arial"/>
          <w:sz w:val="24"/>
          <w:szCs w:val="24"/>
        </w:rPr>
        <w:t>comunidad para la identificación de fuentes de</w:t>
      </w:r>
      <w:r w:rsidR="00721F72">
        <w:rPr>
          <w:rFonts w:ascii="Arial" w:eastAsia="Arial" w:hAnsi="Arial" w:cs="Arial"/>
          <w:sz w:val="24"/>
          <w:szCs w:val="24"/>
        </w:rPr>
        <w:t xml:space="preserve"> </w:t>
      </w:r>
      <w:r w:rsidR="00721F72" w:rsidRPr="00721F72">
        <w:rPr>
          <w:rFonts w:ascii="Arial" w:eastAsia="Arial" w:hAnsi="Arial" w:cs="Arial"/>
          <w:sz w:val="24"/>
          <w:szCs w:val="24"/>
        </w:rPr>
        <w:t>exposición</w:t>
      </w:r>
      <w:r w:rsidR="00721F72">
        <w:rPr>
          <w:rFonts w:ascii="Arial" w:eastAsia="Arial" w:hAnsi="Arial" w:cs="Arial"/>
          <w:sz w:val="24"/>
          <w:szCs w:val="24"/>
        </w:rPr>
        <w:t xml:space="preserve"> o</w:t>
      </w:r>
      <w:r w:rsidR="00721F72" w:rsidRPr="00721F72">
        <w:rPr>
          <w:rFonts w:ascii="Arial" w:eastAsia="Arial" w:hAnsi="Arial" w:cs="Arial"/>
          <w:sz w:val="24"/>
          <w:szCs w:val="24"/>
        </w:rPr>
        <w:t xml:space="preserve"> grupos de riesgo</w:t>
      </w:r>
      <w:r w:rsidR="00721F72">
        <w:rPr>
          <w:rFonts w:ascii="Arial" w:eastAsia="Arial" w:hAnsi="Arial" w:cs="Arial"/>
          <w:sz w:val="24"/>
          <w:szCs w:val="24"/>
        </w:rPr>
        <w:t xml:space="preserve"> frente a sustancias químicas.</w:t>
      </w:r>
    </w:p>
    <w:p w14:paraId="248714F3" w14:textId="1B1F798E" w:rsidR="00A90B66" w:rsidRDefault="00D94F8C" w:rsidP="00FA1882">
      <w:pPr>
        <w:spacing w:line="240" w:lineRule="auto"/>
        <w:jc w:val="both"/>
        <w:rPr>
          <w:rFonts w:ascii="Arial" w:eastAsia="Arial" w:hAnsi="Arial" w:cs="Arial"/>
          <w:sz w:val="24"/>
          <w:szCs w:val="24"/>
        </w:rPr>
      </w:pPr>
      <w:r>
        <w:rPr>
          <w:rFonts w:ascii="Arial" w:eastAsia="Arial" w:hAnsi="Arial" w:cs="Arial"/>
          <w:sz w:val="24"/>
          <w:szCs w:val="24"/>
        </w:rPr>
        <w:t>S</w:t>
      </w:r>
      <w:r w:rsidR="00721F72">
        <w:rPr>
          <w:rFonts w:ascii="Arial" w:eastAsia="Arial" w:hAnsi="Arial" w:cs="Arial"/>
          <w:sz w:val="24"/>
          <w:szCs w:val="24"/>
        </w:rPr>
        <w:t xml:space="preserve">e describe </w:t>
      </w:r>
      <w:r>
        <w:rPr>
          <w:rFonts w:ascii="Arial" w:eastAsia="Arial" w:hAnsi="Arial" w:cs="Arial"/>
          <w:sz w:val="24"/>
          <w:szCs w:val="24"/>
        </w:rPr>
        <w:t xml:space="preserve">también </w:t>
      </w:r>
      <w:r w:rsidR="00721F72">
        <w:rPr>
          <w:rFonts w:ascii="Arial" w:eastAsia="Arial" w:hAnsi="Arial" w:cs="Arial"/>
          <w:sz w:val="24"/>
          <w:szCs w:val="24"/>
        </w:rPr>
        <w:t>cómo se va a comunicar y difundir la información de la vigilancia</w:t>
      </w:r>
      <w:r>
        <w:rPr>
          <w:rFonts w:ascii="Arial" w:eastAsia="Arial" w:hAnsi="Arial" w:cs="Arial"/>
          <w:sz w:val="24"/>
          <w:szCs w:val="24"/>
        </w:rPr>
        <w:t xml:space="preserve"> de manera que sea útil en el momento de tomar decisiones concernientes a la seguridad sanitaria.</w:t>
      </w:r>
      <w:r w:rsidR="00721F72">
        <w:rPr>
          <w:rFonts w:ascii="Arial" w:eastAsia="Arial" w:hAnsi="Arial" w:cs="Arial"/>
          <w:sz w:val="24"/>
          <w:szCs w:val="24"/>
        </w:rPr>
        <w:t xml:space="preserve"> </w:t>
      </w:r>
      <w:r>
        <w:rPr>
          <w:rFonts w:ascii="Arial" w:eastAsia="Arial" w:hAnsi="Arial" w:cs="Arial"/>
          <w:sz w:val="24"/>
          <w:szCs w:val="24"/>
        </w:rPr>
        <w:t xml:space="preserve">Y finalmente, se explica cómo es el proceso de </w:t>
      </w:r>
      <w:r w:rsidR="001341CC">
        <w:rPr>
          <w:rFonts w:ascii="Arial" w:eastAsia="Arial" w:hAnsi="Arial" w:cs="Arial"/>
          <w:sz w:val="24"/>
          <w:szCs w:val="24"/>
        </w:rPr>
        <w:t>evaluación través</w:t>
      </w:r>
      <w:r>
        <w:rPr>
          <w:rFonts w:ascii="Arial" w:eastAsia="Arial" w:hAnsi="Arial" w:cs="Arial"/>
          <w:sz w:val="24"/>
          <w:szCs w:val="24"/>
        </w:rPr>
        <w:t xml:space="preserve"> de indicadores de la gestión del evento.</w:t>
      </w:r>
    </w:p>
    <w:p w14:paraId="4CEB6C96" w14:textId="455405C9" w:rsidR="00EB03FC" w:rsidRPr="00FA1882" w:rsidRDefault="00B4026E" w:rsidP="001341CC">
      <w:pPr>
        <w:pStyle w:val="Ttulo1"/>
        <w:spacing w:after="0"/>
        <w:jc w:val="both"/>
        <w:rPr>
          <w:rFonts w:ascii="Arial" w:eastAsia="Arial" w:hAnsi="Arial" w:cs="Arial"/>
          <w:b/>
        </w:rPr>
      </w:pPr>
      <w:bookmarkStart w:id="3" w:name="_heading=h.xyrumakz4k2a" w:colFirst="0" w:colLast="0"/>
      <w:bookmarkEnd w:id="3"/>
      <w:r w:rsidRPr="00FA1882">
        <w:rPr>
          <w:rFonts w:ascii="Arial" w:eastAsia="Arial" w:hAnsi="Arial" w:cs="Arial"/>
          <w:b/>
        </w:rPr>
        <w:lastRenderedPageBreak/>
        <w:t xml:space="preserve">Diapositiva </w:t>
      </w:r>
      <w:r w:rsidR="00347111" w:rsidRPr="00FA1882">
        <w:rPr>
          <w:rFonts w:ascii="Arial" w:eastAsia="Arial" w:hAnsi="Arial" w:cs="Arial"/>
          <w:b/>
        </w:rPr>
        <w:t>5</w:t>
      </w:r>
      <w:r w:rsidRPr="00FA1882">
        <w:rPr>
          <w:rFonts w:ascii="Arial" w:eastAsia="Arial" w:hAnsi="Arial" w:cs="Arial"/>
          <w:b/>
        </w:rPr>
        <w:t>.</w:t>
      </w:r>
      <w:r w:rsidRPr="00FA1882">
        <w:rPr>
          <w:rFonts w:ascii="Arial" w:eastAsia="Arial" w:hAnsi="Arial" w:cs="Arial"/>
          <w:sz w:val="24"/>
          <w:szCs w:val="24"/>
        </w:rPr>
        <w:t xml:space="preserve"> </w:t>
      </w:r>
      <w:r w:rsidR="00FE26B9" w:rsidRPr="00FE26B9">
        <w:rPr>
          <w:rFonts w:ascii="Arial" w:eastAsia="Arial" w:hAnsi="Arial" w:cs="Arial"/>
          <w:b/>
          <w:bCs/>
        </w:rPr>
        <w:t>Definición de caso</w:t>
      </w:r>
    </w:p>
    <w:p w14:paraId="7A1D0644" w14:textId="77777777" w:rsidR="001341CC" w:rsidRDefault="001341CC" w:rsidP="00C93F2B">
      <w:pPr>
        <w:pStyle w:val="Ttulo2"/>
        <w:jc w:val="both"/>
        <w:rPr>
          <w:rFonts w:ascii="Arial" w:eastAsia="Arial" w:hAnsi="Arial" w:cs="Arial"/>
          <w:color w:val="auto"/>
          <w:sz w:val="24"/>
          <w:szCs w:val="24"/>
        </w:rPr>
      </w:pPr>
      <w:bookmarkStart w:id="4" w:name="_heading=h.tyjcwt" w:colFirst="0" w:colLast="0"/>
      <w:bookmarkEnd w:id="4"/>
    </w:p>
    <w:p w14:paraId="46285365" w14:textId="396183EA" w:rsidR="00FE26B9" w:rsidRPr="00FE26B9" w:rsidRDefault="0031174A" w:rsidP="00C93F2B">
      <w:pPr>
        <w:pStyle w:val="Ttulo2"/>
        <w:jc w:val="both"/>
        <w:rPr>
          <w:rFonts w:ascii="Arial" w:eastAsia="Arial" w:hAnsi="Arial" w:cs="Arial"/>
          <w:b/>
          <w:bCs/>
          <w:color w:val="auto"/>
          <w:sz w:val="28"/>
          <w:szCs w:val="28"/>
        </w:rPr>
      </w:pPr>
      <w:r w:rsidRPr="0031174A">
        <w:rPr>
          <w:rFonts w:ascii="Arial" w:eastAsia="Arial" w:hAnsi="Arial" w:cs="Arial"/>
          <w:color w:val="auto"/>
          <w:sz w:val="24"/>
          <w:szCs w:val="24"/>
        </w:rPr>
        <w:t>Una definición de caso es una declaración unívoca, clara, consistente y precisa de un evento objeto de vigilancia en salud</w:t>
      </w:r>
      <w:r>
        <w:rPr>
          <w:rFonts w:ascii="Arial" w:eastAsia="Arial" w:hAnsi="Arial" w:cs="Arial"/>
          <w:color w:val="auto"/>
          <w:sz w:val="24"/>
          <w:szCs w:val="24"/>
        </w:rPr>
        <w:t xml:space="preserve"> </w:t>
      </w:r>
      <w:r w:rsidRPr="0031174A">
        <w:rPr>
          <w:rFonts w:ascii="Arial" w:eastAsia="Arial" w:hAnsi="Arial" w:cs="Arial"/>
          <w:color w:val="auto"/>
          <w:sz w:val="24"/>
          <w:szCs w:val="24"/>
        </w:rPr>
        <w:t>pública</w:t>
      </w:r>
      <w:r>
        <w:rPr>
          <w:rFonts w:ascii="Arial" w:eastAsia="Arial" w:hAnsi="Arial" w:cs="Arial"/>
          <w:color w:val="auto"/>
          <w:sz w:val="24"/>
          <w:szCs w:val="24"/>
        </w:rPr>
        <w:t>. A</w:t>
      </w:r>
      <w:r w:rsidR="00FE26B9" w:rsidRPr="00FE26B9">
        <w:rPr>
          <w:rFonts w:ascii="Arial" w:eastAsia="Arial" w:hAnsi="Arial" w:cs="Arial"/>
          <w:color w:val="auto"/>
          <w:sz w:val="24"/>
          <w:szCs w:val="24"/>
        </w:rPr>
        <w:t xml:space="preserve"> través de criterios estandarizados,</w:t>
      </w:r>
      <w:r w:rsidR="00FE26B9">
        <w:rPr>
          <w:rFonts w:ascii="Arial" w:eastAsia="Arial" w:hAnsi="Arial" w:cs="Arial"/>
          <w:color w:val="auto"/>
          <w:sz w:val="24"/>
          <w:szCs w:val="24"/>
        </w:rPr>
        <w:t xml:space="preserve"> se puede </w:t>
      </w:r>
      <w:r w:rsidR="00FE26B9" w:rsidRPr="00FE26B9">
        <w:rPr>
          <w:rFonts w:ascii="Arial" w:eastAsia="Arial" w:hAnsi="Arial" w:cs="Arial"/>
          <w:color w:val="auto"/>
          <w:sz w:val="24"/>
          <w:szCs w:val="24"/>
        </w:rPr>
        <w:t>decidir si una persona se clasifica como afectad</w:t>
      </w:r>
      <w:r w:rsidR="00FE26B9">
        <w:rPr>
          <w:rFonts w:ascii="Arial" w:eastAsia="Arial" w:hAnsi="Arial" w:cs="Arial"/>
          <w:color w:val="auto"/>
          <w:sz w:val="24"/>
          <w:szCs w:val="24"/>
        </w:rPr>
        <w:t>a</w:t>
      </w:r>
      <w:r w:rsidR="00FE26B9" w:rsidRPr="00FE26B9">
        <w:rPr>
          <w:rFonts w:ascii="Arial" w:eastAsia="Arial" w:hAnsi="Arial" w:cs="Arial"/>
          <w:color w:val="auto"/>
          <w:sz w:val="24"/>
          <w:szCs w:val="24"/>
        </w:rPr>
        <w:t xml:space="preserve"> por una enfermedad en particular, lesión u otra condición relacionada con la salud</w:t>
      </w:r>
      <w:r w:rsidR="00FE26B9">
        <w:rPr>
          <w:rFonts w:ascii="Arial" w:eastAsia="Arial" w:hAnsi="Arial" w:cs="Arial"/>
          <w:color w:val="auto"/>
          <w:sz w:val="24"/>
          <w:szCs w:val="24"/>
        </w:rPr>
        <w:t xml:space="preserve">. </w:t>
      </w:r>
      <w:r w:rsidR="00A21724">
        <w:rPr>
          <w:rFonts w:ascii="Arial" w:eastAsia="Arial" w:hAnsi="Arial" w:cs="Arial"/>
          <w:color w:val="auto"/>
          <w:sz w:val="24"/>
          <w:szCs w:val="24"/>
        </w:rPr>
        <w:t>Esta unificación de criterios permite descartar los casos que no corresp</w:t>
      </w:r>
      <w:r w:rsidR="00C93F2B">
        <w:rPr>
          <w:rFonts w:ascii="Arial" w:eastAsia="Arial" w:hAnsi="Arial" w:cs="Arial"/>
          <w:color w:val="auto"/>
          <w:sz w:val="24"/>
          <w:szCs w:val="24"/>
        </w:rPr>
        <w:t>onden</w:t>
      </w:r>
      <w:r w:rsidR="00C458A4">
        <w:rPr>
          <w:rFonts w:ascii="Arial" w:eastAsia="Arial" w:hAnsi="Arial" w:cs="Arial"/>
          <w:color w:val="auto"/>
          <w:sz w:val="24"/>
          <w:szCs w:val="24"/>
        </w:rPr>
        <w:t xml:space="preserve">, </w:t>
      </w:r>
      <w:r w:rsidR="00C93F2B">
        <w:rPr>
          <w:rFonts w:ascii="Arial" w:eastAsia="Arial" w:hAnsi="Arial" w:cs="Arial"/>
          <w:color w:val="auto"/>
          <w:sz w:val="24"/>
          <w:szCs w:val="24"/>
        </w:rPr>
        <w:t>siento muy útil para el d</w:t>
      </w:r>
      <w:r w:rsidR="00C93F2B" w:rsidRPr="00C93F2B">
        <w:rPr>
          <w:rFonts w:ascii="Arial" w:eastAsia="Arial" w:hAnsi="Arial" w:cs="Arial"/>
          <w:color w:val="auto"/>
          <w:sz w:val="24"/>
          <w:szCs w:val="24"/>
        </w:rPr>
        <w:t>iagnóstico</w:t>
      </w:r>
      <w:r w:rsidR="00C93F2B">
        <w:rPr>
          <w:rFonts w:ascii="Arial" w:eastAsia="Arial" w:hAnsi="Arial" w:cs="Arial"/>
          <w:color w:val="auto"/>
          <w:sz w:val="24"/>
          <w:szCs w:val="24"/>
        </w:rPr>
        <w:t>, permitiendo tomar decisiones sobre el abordaje y manejo de un paciente</w:t>
      </w:r>
      <w:r w:rsidR="00B721E2">
        <w:rPr>
          <w:rFonts w:ascii="Arial" w:eastAsia="Arial" w:hAnsi="Arial" w:cs="Arial"/>
          <w:color w:val="auto"/>
          <w:sz w:val="24"/>
          <w:szCs w:val="24"/>
        </w:rPr>
        <w:t>, aunque no necesariamente las definiciones en salud pública son las mismas que se usan para criterios clínicos</w:t>
      </w:r>
      <w:r w:rsidR="00C458A4">
        <w:rPr>
          <w:rFonts w:ascii="Arial" w:eastAsia="Arial" w:hAnsi="Arial" w:cs="Arial"/>
          <w:color w:val="auto"/>
          <w:sz w:val="24"/>
          <w:szCs w:val="24"/>
        </w:rPr>
        <w:t>. D</w:t>
      </w:r>
      <w:r w:rsidR="00C93F2B">
        <w:rPr>
          <w:rFonts w:ascii="Arial" w:eastAsia="Arial" w:hAnsi="Arial" w:cs="Arial"/>
          <w:color w:val="auto"/>
          <w:sz w:val="24"/>
          <w:szCs w:val="24"/>
        </w:rPr>
        <w:t>entro de la v</w:t>
      </w:r>
      <w:r w:rsidR="00C93F2B" w:rsidRPr="00C93F2B">
        <w:rPr>
          <w:rFonts w:ascii="Arial" w:eastAsia="Arial" w:hAnsi="Arial" w:cs="Arial"/>
          <w:color w:val="auto"/>
          <w:sz w:val="24"/>
          <w:szCs w:val="24"/>
        </w:rPr>
        <w:t>igilancia</w:t>
      </w:r>
      <w:r w:rsidR="00C93F2B">
        <w:rPr>
          <w:rFonts w:ascii="Arial" w:eastAsia="Arial" w:hAnsi="Arial" w:cs="Arial"/>
          <w:color w:val="auto"/>
          <w:sz w:val="24"/>
          <w:szCs w:val="24"/>
        </w:rPr>
        <w:t xml:space="preserve"> </w:t>
      </w:r>
      <w:r>
        <w:rPr>
          <w:rFonts w:ascii="Arial" w:eastAsia="Arial" w:hAnsi="Arial" w:cs="Arial"/>
          <w:color w:val="auto"/>
          <w:sz w:val="24"/>
          <w:szCs w:val="24"/>
        </w:rPr>
        <w:t>permite a</w:t>
      </w:r>
      <w:r w:rsidRPr="0031174A">
        <w:rPr>
          <w:rFonts w:ascii="Arial" w:eastAsia="Arial" w:hAnsi="Arial" w:cs="Arial"/>
          <w:color w:val="auto"/>
          <w:sz w:val="24"/>
          <w:szCs w:val="24"/>
        </w:rPr>
        <w:t xml:space="preserve"> las autoridades sanitarias nacionales e internacionales</w:t>
      </w:r>
      <w:r w:rsidR="00C217D5">
        <w:rPr>
          <w:rFonts w:ascii="Arial" w:eastAsia="Arial" w:hAnsi="Arial" w:cs="Arial"/>
          <w:color w:val="auto"/>
          <w:sz w:val="24"/>
          <w:szCs w:val="24"/>
        </w:rPr>
        <w:t xml:space="preserve"> que se </w:t>
      </w:r>
      <w:r w:rsidRPr="0031174A">
        <w:rPr>
          <w:rFonts w:ascii="Arial" w:eastAsia="Arial" w:hAnsi="Arial" w:cs="Arial"/>
          <w:color w:val="auto"/>
          <w:sz w:val="24"/>
          <w:szCs w:val="24"/>
        </w:rPr>
        <w:t>realice la clasificación estándar de casos, y que</w:t>
      </w:r>
      <w:r w:rsidR="00C217D5">
        <w:rPr>
          <w:rFonts w:ascii="Arial" w:eastAsia="Arial" w:hAnsi="Arial" w:cs="Arial"/>
          <w:color w:val="auto"/>
          <w:sz w:val="24"/>
          <w:szCs w:val="24"/>
        </w:rPr>
        <w:t xml:space="preserve"> así mismo se dé una respuesta frente a una situación, además conocer su comportamiento en el tiempo. T</w:t>
      </w:r>
      <w:r w:rsidR="00C458A4">
        <w:rPr>
          <w:rFonts w:ascii="Arial" w:eastAsia="Arial" w:hAnsi="Arial" w:cs="Arial"/>
          <w:color w:val="auto"/>
          <w:sz w:val="24"/>
          <w:szCs w:val="24"/>
        </w:rPr>
        <w:t xml:space="preserve">ambién </w:t>
      </w:r>
      <w:r w:rsidR="00C93F2B">
        <w:rPr>
          <w:rFonts w:ascii="Arial" w:eastAsia="Arial" w:hAnsi="Arial" w:cs="Arial"/>
          <w:color w:val="auto"/>
          <w:sz w:val="24"/>
          <w:szCs w:val="24"/>
        </w:rPr>
        <w:t xml:space="preserve">permite </w:t>
      </w:r>
      <w:r w:rsidR="00C458A4">
        <w:rPr>
          <w:rFonts w:ascii="Arial" w:eastAsia="Arial" w:hAnsi="Arial" w:cs="Arial"/>
          <w:color w:val="auto"/>
          <w:sz w:val="24"/>
          <w:szCs w:val="24"/>
        </w:rPr>
        <w:t>identificar a</w:t>
      </w:r>
      <w:r w:rsidR="00C93F2B">
        <w:rPr>
          <w:rFonts w:ascii="Arial" w:eastAsia="Arial" w:hAnsi="Arial" w:cs="Arial"/>
          <w:color w:val="auto"/>
          <w:sz w:val="24"/>
          <w:szCs w:val="24"/>
        </w:rPr>
        <w:t xml:space="preserve"> los afectados en un brote</w:t>
      </w:r>
      <w:r w:rsidR="00C217D5">
        <w:rPr>
          <w:rFonts w:ascii="Arial" w:eastAsia="Arial" w:hAnsi="Arial" w:cs="Arial"/>
          <w:color w:val="auto"/>
          <w:sz w:val="24"/>
          <w:szCs w:val="24"/>
        </w:rPr>
        <w:t xml:space="preserve"> inclusive de manera temprana </w:t>
      </w:r>
      <w:r w:rsidR="00C93F2B">
        <w:rPr>
          <w:rFonts w:ascii="Arial" w:eastAsia="Arial" w:hAnsi="Arial" w:cs="Arial"/>
          <w:color w:val="auto"/>
          <w:sz w:val="24"/>
          <w:szCs w:val="24"/>
        </w:rPr>
        <w:t>y es de gran utilidad en estudios analíticos</w:t>
      </w:r>
      <w:bookmarkStart w:id="5" w:name="_heading=h.isecfqjr12kt" w:colFirst="0" w:colLast="0"/>
      <w:bookmarkStart w:id="6" w:name="_heading=h.jkkma3h6mxbr" w:colFirst="0" w:colLast="0"/>
      <w:bookmarkEnd w:id="5"/>
      <w:bookmarkEnd w:id="6"/>
      <w:r w:rsidR="00C458A4">
        <w:rPr>
          <w:rFonts w:ascii="Arial" w:eastAsia="Arial" w:hAnsi="Arial" w:cs="Arial"/>
          <w:color w:val="auto"/>
          <w:sz w:val="24"/>
          <w:szCs w:val="24"/>
        </w:rPr>
        <w:t xml:space="preserve"> donde se requieren datos de alta calidad.</w:t>
      </w:r>
    </w:p>
    <w:p w14:paraId="634ACE16" w14:textId="77777777" w:rsidR="00FE26B9" w:rsidRPr="00FE26B9" w:rsidRDefault="00FE26B9" w:rsidP="00FA1882">
      <w:pPr>
        <w:pStyle w:val="Ttulo2"/>
        <w:jc w:val="both"/>
        <w:rPr>
          <w:rFonts w:ascii="Arial" w:eastAsia="Arial" w:hAnsi="Arial" w:cs="Arial"/>
          <w:b/>
          <w:bCs/>
          <w:color w:val="1F4E79"/>
          <w:sz w:val="36"/>
          <w:szCs w:val="36"/>
        </w:rPr>
      </w:pPr>
    </w:p>
    <w:p w14:paraId="1EEEFB53" w14:textId="77777777" w:rsidR="001341CC" w:rsidRPr="001341CC" w:rsidRDefault="00B4026E" w:rsidP="001341CC">
      <w:pPr>
        <w:pStyle w:val="Ttulo2"/>
        <w:jc w:val="both"/>
        <w:rPr>
          <w:rFonts w:ascii="Arial" w:eastAsia="Arial" w:hAnsi="Arial" w:cs="Arial"/>
          <w:b/>
          <w:bCs/>
          <w:color w:val="1F4E79"/>
          <w:sz w:val="36"/>
          <w:szCs w:val="36"/>
        </w:rPr>
      </w:pPr>
      <w:r w:rsidRPr="001341CC">
        <w:rPr>
          <w:rFonts w:ascii="Arial" w:eastAsia="Arial" w:hAnsi="Arial" w:cs="Arial"/>
          <w:b/>
          <w:bCs/>
          <w:color w:val="1F4E79"/>
          <w:sz w:val="36"/>
          <w:szCs w:val="36"/>
        </w:rPr>
        <w:t xml:space="preserve">Diapositiva </w:t>
      </w:r>
      <w:r w:rsidR="00347111" w:rsidRPr="001341CC">
        <w:rPr>
          <w:rFonts w:ascii="Arial" w:eastAsia="Arial" w:hAnsi="Arial" w:cs="Arial"/>
          <w:b/>
          <w:bCs/>
          <w:color w:val="1F4E79"/>
          <w:sz w:val="36"/>
          <w:szCs w:val="36"/>
        </w:rPr>
        <w:t>6</w:t>
      </w:r>
      <w:r w:rsidR="001341CC" w:rsidRPr="001341CC">
        <w:rPr>
          <w:rFonts w:ascii="Arial" w:eastAsia="Arial" w:hAnsi="Arial" w:cs="Arial"/>
          <w:b/>
          <w:bCs/>
          <w:color w:val="1F4E79"/>
          <w:sz w:val="36"/>
          <w:szCs w:val="36"/>
        </w:rPr>
        <w:t xml:space="preserve">. </w:t>
      </w:r>
      <w:r w:rsidR="001341CC" w:rsidRPr="001341CC">
        <w:rPr>
          <w:rFonts w:ascii="Arial" w:eastAsia="Arial" w:hAnsi="Arial" w:cs="Arial"/>
          <w:b/>
          <w:bCs/>
          <w:color w:val="1F4E79"/>
          <w:sz w:val="36"/>
          <w:szCs w:val="36"/>
          <w:lang w:val="es-MX"/>
        </w:rPr>
        <w:t>Características de la definición de caso para la vigilancia</w:t>
      </w:r>
    </w:p>
    <w:p w14:paraId="3B76A328" w14:textId="512C6A61" w:rsidR="00EB03FC" w:rsidRPr="001341CC" w:rsidRDefault="00EB03FC" w:rsidP="00FA1882">
      <w:pPr>
        <w:pStyle w:val="Ttulo2"/>
        <w:jc w:val="both"/>
        <w:rPr>
          <w:rFonts w:ascii="Arial" w:eastAsia="Arial" w:hAnsi="Arial" w:cs="Arial"/>
          <w:b/>
          <w:bCs/>
          <w:color w:val="1F4E79"/>
          <w:sz w:val="36"/>
          <w:szCs w:val="36"/>
        </w:rPr>
      </w:pPr>
    </w:p>
    <w:p w14:paraId="334C6E18" w14:textId="07ACF6D5" w:rsidR="0031174A" w:rsidRDefault="000967A6" w:rsidP="000967A6">
      <w:pPr>
        <w:spacing w:line="240" w:lineRule="auto"/>
        <w:jc w:val="both"/>
        <w:rPr>
          <w:rFonts w:ascii="Arial" w:eastAsia="Arial" w:hAnsi="Arial" w:cs="Arial"/>
          <w:sz w:val="24"/>
          <w:szCs w:val="24"/>
        </w:rPr>
      </w:pPr>
      <w:r>
        <w:rPr>
          <w:rFonts w:ascii="Arial" w:eastAsia="Arial" w:hAnsi="Arial" w:cs="Arial"/>
          <w:sz w:val="24"/>
          <w:szCs w:val="24"/>
        </w:rPr>
        <w:t>Cuando se delimitan los criterios para definición de caso, generalmente se basan</w:t>
      </w:r>
      <w:r w:rsidRPr="000967A6">
        <w:rPr>
          <w:rFonts w:ascii="Arial" w:eastAsia="Arial" w:hAnsi="Arial" w:cs="Arial"/>
          <w:sz w:val="24"/>
          <w:szCs w:val="24"/>
        </w:rPr>
        <w:t xml:space="preserve"> en características clínicas</w:t>
      </w:r>
      <w:r>
        <w:rPr>
          <w:rFonts w:ascii="Arial" w:eastAsia="Arial" w:hAnsi="Arial" w:cs="Arial"/>
          <w:sz w:val="24"/>
          <w:szCs w:val="24"/>
        </w:rPr>
        <w:t>, como los s</w:t>
      </w:r>
      <w:r w:rsidRPr="000967A6">
        <w:rPr>
          <w:rFonts w:ascii="Arial" w:eastAsia="Arial" w:hAnsi="Arial" w:cs="Arial"/>
          <w:sz w:val="24"/>
          <w:szCs w:val="24"/>
        </w:rPr>
        <w:t>íntomas que el paciente siente</w:t>
      </w:r>
      <w:r>
        <w:rPr>
          <w:rFonts w:ascii="Arial" w:eastAsia="Arial" w:hAnsi="Arial" w:cs="Arial"/>
          <w:sz w:val="24"/>
          <w:szCs w:val="24"/>
        </w:rPr>
        <w:t xml:space="preserve"> o</w:t>
      </w:r>
      <w:r w:rsidRPr="000967A6">
        <w:rPr>
          <w:rFonts w:ascii="Arial" w:eastAsia="Arial" w:hAnsi="Arial" w:cs="Arial"/>
          <w:sz w:val="24"/>
          <w:szCs w:val="24"/>
        </w:rPr>
        <w:t xml:space="preserve"> experimenta</w:t>
      </w:r>
      <w:r>
        <w:rPr>
          <w:rFonts w:ascii="Arial" w:eastAsia="Arial" w:hAnsi="Arial" w:cs="Arial"/>
          <w:sz w:val="24"/>
          <w:szCs w:val="24"/>
        </w:rPr>
        <w:t>, los s</w:t>
      </w:r>
      <w:r w:rsidRPr="000967A6">
        <w:rPr>
          <w:rFonts w:ascii="Arial" w:eastAsia="Arial" w:hAnsi="Arial" w:cs="Arial"/>
          <w:sz w:val="24"/>
          <w:szCs w:val="24"/>
        </w:rPr>
        <w:t xml:space="preserve">ignos </w:t>
      </w:r>
      <w:r>
        <w:rPr>
          <w:rFonts w:ascii="Arial" w:eastAsia="Arial" w:hAnsi="Arial" w:cs="Arial"/>
          <w:sz w:val="24"/>
          <w:szCs w:val="24"/>
        </w:rPr>
        <w:t xml:space="preserve">o </w:t>
      </w:r>
      <w:r w:rsidRPr="000967A6">
        <w:rPr>
          <w:rFonts w:ascii="Arial" w:eastAsia="Arial" w:hAnsi="Arial" w:cs="Arial"/>
          <w:sz w:val="24"/>
          <w:szCs w:val="24"/>
        </w:rPr>
        <w:t xml:space="preserve">hallazgos </w:t>
      </w:r>
      <w:r>
        <w:rPr>
          <w:rFonts w:ascii="Arial" w:eastAsia="Arial" w:hAnsi="Arial" w:cs="Arial"/>
          <w:sz w:val="24"/>
          <w:szCs w:val="24"/>
        </w:rPr>
        <w:t>que puede identificar el clínico y los r</w:t>
      </w:r>
      <w:r w:rsidRPr="000967A6">
        <w:rPr>
          <w:rFonts w:ascii="Arial" w:eastAsia="Arial" w:hAnsi="Arial" w:cs="Arial"/>
          <w:sz w:val="24"/>
          <w:szCs w:val="24"/>
        </w:rPr>
        <w:t>esultados de laboratorio</w:t>
      </w:r>
      <w:r>
        <w:rPr>
          <w:rFonts w:ascii="Arial" w:eastAsia="Arial" w:hAnsi="Arial" w:cs="Arial"/>
          <w:sz w:val="24"/>
          <w:szCs w:val="24"/>
        </w:rPr>
        <w:t xml:space="preserve"> que demuestran la causa de la enfermedad, por </w:t>
      </w:r>
      <w:r w:rsidR="00872978">
        <w:rPr>
          <w:rFonts w:ascii="Arial" w:eastAsia="Arial" w:hAnsi="Arial" w:cs="Arial"/>
          <w:sz w:val="24"/>
          <w:szCs w:val="24"/>
        </w:rPr>
        <w:t>ejemplo,</w:t>
      </w:r>
      <w:r>
        <w:rPr>
          <w:rFonts w:ascii="Arial" w:eastAsia="Arial" w:hAnsi="Arial" w:cs="Arial"/>
          <w:sz w:val="24"/>
          <w:szCs w:val="24"/>
        </w:rPr>
        <w:t xml:space="preserve"> la presencia de un agente etiológico o una sustancia química en una muestra biológica del paciente.</w:t>
      </w:r>
    </w:p>
    <w:p w14:paraId="1EF3D308" w14:textId="56F1E310" w:rsidR="00EB03FC" w:rsidRPr="00FA1882" w:rsidRDefault="00872978" w:rsidP="0031174A">
      <w:pPr>
        <w:spacing w:line="240" w:lineRule="auto"/>
        <w:jc w:val="both"/>
        <w:rPr>
          <w:rFonts w:ascii="Arial" w:eastAsia="Arial" w:hAnsi="Arial" w:cs="Arial"/>
          <w:sz w:val="24"/>
          <w:szCs w:val="24"/>
        </w:rPr>
      </w:pPr>
      <w:r>
        <w:rPr>
          <w:rFonts w:ascii="Arial" w:eastAsia="Arial" w:hAnsi="Arial" w:cs="Arial"/>
          <w:sz w:val="24"/>
          <w:szCs w:val="24"/>
        </w:rPr>
        <w:t xml:space="preserve">Pero también para algunos casos se incluyen criterios </w:t>
      </w:r>
      <w:r w:rsidRPr="00872978">
        <w:rPr>
          <w:rFonts w:ascii="Arial" w:eastAsia="Arial" w:hAnsi="Arial" w:cs="Arial"/>
          <w:sz w:val="24"/>
          <w:szCs w:val="24"/>
        </w:rPr>
        <w:t>demográficos (persona, tiempo y lugar)</w:t>
      </w:r>
      <w:r>
        <w:rPr>
          <w:rFonts w:ascii="Arial" w:eastAsia="Arial" w:hAnsi="Arial" w:cs="Arial"/>
          <w:sz w:val="24"/>
          <w:szCs w:val="24"/>
        </w:rPr>
        <w:t xml:space="preserve">, por </w:t>
      </w:r>
      <w:r w:rsidR="00CE5B51">
        <w:rPr>
          <w:rFonts w:ascii="Arial" w:eastAsia="Arial" w:hAnsi="Arial" w:cs="Arial"/>
          <w:sz w:val="24"/>
          <w:szCs w:val="24"/>
        </w:rPr>
        <w:t xml:space="preserve">ejemplo, </w:t>
      </w:r>
      <w:r>
        <w:rPr>
          <w:rFonts w:ascii="Arial" w:eastAsia="Arial" w:hAnsi="Arial" w:cs="Arial"/>
          <w:sz w:val="24"/>
          <w:szCs w:val="24"/>
        </w:rPr>
        <w:t xml:space="preserve">que la persona </w:t>
      </w:r>
      <w:r w:rsidR="00CE5B51">
        <w:rPr>
          <w:rFonts w:ascii="Arial" w:eastAsia="Arial" w:hAnsi="Arial" w:cs="Arial"/>
          <w:sz w:val="24"/>
          <w:szCs w:val="24"/>
        </w:rPr>
        <w:t xml:space="preserve">cumpla criterios epidemiológicos como que </w:t>
      </w:r>
      <w:r>
        <w:rPr>
          <w:rFonts w:ascii="Arial" w:eastAsia="Arial" w:hAnsi="Arial" w:cs="Arial"/>
          <w:sz w:val="24"/>
          <w:szCs w:val="24"/>
        </w:rPr>
        <w:t xml:space="preserve">haya estado en </w:t>
      </w:r>
      <w:r w:rsidR="00CE5B51">
        <w:rPr>
          <w:rFonts w:ascii="Arial" w:eastAsia="Arial" w:hAnsi="Arial" w:cs="Arial"/>
          <w:sz w:val="24"/>
          <w:szCs w:val="24"/>
        </w:rPr>
        <w:t xml:space="preserve">una zona endémica para un patógeno específico. </w:t>
      </w:r>
    </w:p>
    <w:p w14:paraId="1AC6620D" w14:textId="6706596D" w:rsidR="004048B0" w:rsidRPr="004048B0" w:rsidRDefault="004048B0" w:rsidP="009E3A36">
      <w:pPr>
        <w:pStyle w:val="Ttulo2"/>
        <w:jc w:val="both"/>
        <w:rPr>
          <w:rFonts w:ascii="Arial" w:eastAsia="Arial" w:hAnsi="Arial" w:cs="Arial"/>
          <w:color w:val="auto"/>
          <w:sz w:val="24"/>
          <w:szCs w:val="24"/>
        </w:rPr>
      </w:pPr>
      <w:r>
        <w:rPr>
          <w:rFonts w:ascii="Arial" w:eastAsia="Arial" w:hAnsi="Arial" w:cs="Arial"/>
          <w:color w:val="auto"/>
          <w:sz w:val="24"/>
          <w:szCs w:val="24"/>
        </w:rPr>
        <w:t xml:space="preserve">Las </w:t>
      </w:r>
      <w:r w:rsidR="00CE5B51" w:rsidRPr="00CE5B51">
        <w:rPr>
          <w:rFonts w:ascii="Arial" w:eastAsia="Arial" w:hAnsi="Arial" w:cs="Arial"/>
          <w:color w:val="auto"/>
          <w:sz w:val="24"/>
          <w:szCs w:val="24"/>
        </w:rPr>
        <w:t>declaraciones de las</w:t>
      </w:r>
      <w:r>
        <w:rPr>
          <w:rFonts w:ascii="Arial" w:eastAsia="Arial" w:hAnsi="Arial" w:cs="Arial"/>
          <w:color w:val="auto"/>
          <w:sz w:val="24"/>
          <w:szCs w:val="24"/>
        </w:rPr>
        <w:t xml:space="preserve"> </w:t>
      </w:r>
      <w:r w:rsidR="00CE5B51" w:rsidRPr="00CE5B51">
        <w:rPr>
          <w:rFonts w:ascii="Arial" w:eastAsia="Arial" w:hAnsi="Arial" w:cs="Arial"/>
          <w:color w:val="auto"/>
          <w:sz w:val="24"/>
          <w:szCs w:val="24"/>
        </w:rPr>
        <w:t>definiciones de caso incluyen tres tipos del caso: Sospechosos, Probables y Confirmados</w:t>
      </w:r>
      <w:r>
        <w:rPr>
          <w:rFonts w:ascii="Arial" w:eastAsia="Arial" w:hAnsi="Arial" w:cs="Arial"/>
          <w:color w:val="auto"/>
          <w:sz w:val="24"/>
          <w:szCs w:val="24"/>
        </w:rPr>
        <w:t>, los cuales son escalonados según su especificidad.  La estandarización de criterios clínicos y epidemiológicos</w:t>
      </w:r>
      <w:r w:rsidR="009E3A36">
        <w:rPr>
          <w:rFonts w:ascii="Arial" w:eastAsia="Arial" w:hAnsi="Arial" w:cs="Arial"/>
          <w:color w:val="auto"/>
          <w:sz w:val="24"/>
          <w:szCs w:val="24"/>
        </w:rPr>
        <w:t xml:space="preserve"> es importante ya que permite comparar </w:t>
      </w:r>
      <w:r w:rsidR="009E3A36" w:rsidRPr="009E3A36">
        <w:rPr>
          <w:rFonts w:ascii="Arial" w:eastAsia="Arial" w:hAnsi="Arial" w:cs="Arial"/>
          <w:color w:val="auto"/>
          <w:sz w:val="24"/>
          <w:szCs w:val="24"/>
        </w:rPr>
        <w:t>el evento en todas las áreas geográficas</w:t>
      </w:r>
      <w:r w:rsidR="009E3A36">
        <w:rPr>
          <w:rFonts w:ascii="Arial" w:eastAsia="Arial" w:hAnsi="Arial" w:cs="Arial"/>
          <w:color w:val="auto"/>
          <w:sz w:val="24"/>
          <w:szCs w:val="24"/>
        </w:rPr>
        <w:t xml:space="preserve"> y a través del tiempo.</w:t>
      </w:r>
    </w:p>
    <w:p w14:paraId="75C60DE2" w14:textId="77777777" w:rsidR="00FA1882" w:rsidRPr="00FA1882" w:rsidRDefault="00FA1882" w:rsidP="00FA1882"/>
    <w:p w14:paraId="7D7289CF" w14:textId="163FC80E" w:rsidR="00EB03FC" w:rsidRPr="00FA1882" w:rsidRDefault="00B4026E" w:rsidP="00FA1882">
      <w:pPr>
        <w:pStyle w:val="Ttulo2"/>
        <w:jc w:val="both"/>
        <w:rPr>
          <w:rFonts w:ascii="Arial" w:hAnsi="Arial" w:cs="Arial"/>
          <w:b/>
          <w:bCs/>
          <w:color w:val="1F4E79"/>
          <w:sz w:val="36"/>
          <w:szCs w:val="36"/>
        </w:rPr>
      </w:pPr>
      <w:bookmarkStart w:id="7" w:name="_heading=h.s4awnl7mnh5g" w:colFirst="0" w:colLast="0"/>
      <w:bookmarkEnd w:id="7"/>
      <w:r w:rsidRPr="00FA1882">
        <w:rPr>
          <w:rFonts w:ascii="Arial" w:eastAsia="Arial" w:hAnsi="Arial" w:cs="Arial"/>
          <w:b/>
          <w:bCs/>
          <w:color w:val="1F4E79"/>
          <w:sz w:val="36"/>
          <w:szCs w:val="36"/>
        </w:rPr>
        <w:t xml:space="preserve">Diapositiva </w:t>
      </w:r>
      <w:r w:rsidR="00347111" w:rsidRPr="00FA1882">
        <w:rPr>
          <w:rFonts w:ascii="Arial" w:eastAsia="Arial" w:hAnsi="Arial" w:cs="Arial"/>
          <w:b/>
          <w:bCs/>
          <w:color w:val="1F4E79"/>
          <w:sz w:val="36"/>
          <w:szCs w:val="36"/>
        </w:rPr>
        <w:t>7</w:t>
      </w:r>
      <w:r w:rsidR="006E114B">
        <w:rPr>
          <w:rFonts w:ascii="Arial" w:eastAsia="Arial" w:hAnsi="Arial" w:cs="Arial"/>
          <w:b/>
          <w:bCs/>
          <w:color w:val="1F4E79"/>
          <w:sz w:val="36"/>
          <w:szCs w:val="36"/>
        </w:rPr>
        <w:t xml:space="preserve">. </w:t>
      </w:r>
      <w:r w:rsidR="006E114B" w:rsidRPr="006E114B">
        <w:rPr>
          <w:rFonts w:ascii="Arial" w:eastAsia="Arial" w:hAnsi="Arial" w:cs="Arial"/>
          <w:b/>
          <w:bCs/>
          <w:color w:val="1F4E79"/>
          <w:sz w:val="36"/>
          <w:szCs w:val="36"/>
        </w:rPr>
        <w:t>Clases de definiciones de caso</w:t>
      </w:r>
    </w:p>
    <w:p w14:paraId="229100FF" w14:textId="78A7B68C" w:rsidR="006E114B" w:rsidRDefault="006E114B" w:rsidP="006E114B">
      <w:pPr>
        <w:widowControl w:val="0"/>
        <w:spacing w:before="200" w:after="0" w:line="288" w:lineRule="auto"/>
        <w:jc w:val="both"/>
        <w:rPr>
          <w:rFonts w:ascii="Arial" w:eastAsia="Arial" w:hAnsi="Arial" w:cs="Arial"/>
          <w:sz w:val="24"/>
          <w:szCs w:val="24"/>
        </w:rPr>
      </w:pPr>
      <w:r w:rsidRPr="006E114B">
        <w:rPr>
          <w:rFonts w:ascii="Arial" w:eastAsia="Arial" w:hAnsi="Arial" w:cs="Arial"/>
          <w:sz w:val="24"/>
          <w:szCs w:val="24"/>
        </w:rPr>
        <w:t xml:space="preserve">Las definiciones operativas de caso </w:t>
      </w:r>
      <w:r>
        <w:rPr>
          <w:rFonts w:ascii="Arial" w:eastAsia="Arial" w:hAnsi="Arial" w:cs="Arial"/>
          <w:sz w:val="24"/>
          <w:szCs w:val="24"/>
        </w:rPr>
        <w:t xml:space="preserve">para la notificación </w:t>
      </w:r>
      <w:r w:rsidRPr="006E114B">
        <w:rPr>
          <w:rFonts w:ascii="Arial" w:eastAsia="Arial" w:hAnsi="Arial" w:cs="Arial"/>
          <w:sz w:val="24"/>
          <w:szCs w:val="24"/>
        </w:rPr>
        <w:t xml:space="preserve">en vigilancia en salud pública </w:t>
      </w:r>
      <w:r>
        <w:rPr>
          <w:rFonts w:ascii="Arial" w:eastAsia="Arial" w:hAnsi="Arial" w:cs="Arial"/>
          <w:sz w:val="24"/>
          <w:szCs w:val="24"/>
        </w:rPr>
        <w:t>se</w:t>
      </w:r>
      <w:r w:rsidRPr="006E114B">
        <w:rPr>
          <w:rFonts w:ascii="Arial" w:eastAsia="Arial" w:hAnsi="Arial" w:cs="Arial"/>
          <w:sz w:val="24"/>
          <w:szCs w:val="24"/>
        </w:rPr>
        <w:t xml:space="preserve"> clasifican de la siguiente manera:</w:t>
      </w:r>
    </w:p>
    <w:p w14:paraId="55131876" w14:textId="2DA7E74D" w:rsidR="006E114B" w:rsidRDefault="006E114B" w:rsidP="006E114B">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Caso sospechoso, esta definición busca ser s</w:t>
      </w:r>
      <w:r w:rsidRPr="006E114B">
        <w:rPr>
          <w:rFonts w:ascii="Arial" w:eastAsia="Arial" w:hAnsi="Arial" w:cs="Arial"/>
          <w:sz w:val="24"/>
          <w:szCs w:val="24"/>
        </w:rPr>
        <w:t xml:space="preserve">ensible para captar todos los casos posibles que se presenten del evento. </w:t>
      </w:r>
      <w:r>
        <w:rPr>
          <w:rFonts w:ascii="Arial" w:eastAsia="Arial" w:hAnsi="Arial" w:cs="Arial"/>
          <w:sz w:val="24"/>
          <w:szCs w:val="24"/>
        </w:rPr>
        <w:t>Por ejemplo para el evento de c</w:t>
      </w:r>
      <w:r w:rsidRPr="006E114B">
        <w:rPr>
          <w:rFonts w:ascii="Arial" w:eastAsia="Arial" w:hAnsi="Arial" w:cs="Arial"/>
          <w:sz w:val="24"/>
          <w:szCs w:val="24"/>
        </w:rPr>
        <w:t>ólera</w:t>
      </w:r>
      <w:r>
        <w:rPr>
          <w:rFonts w:ascii="Arial" w:eastAsia="Arial" w:hAnsi="Arial" w:cs="Arial"/>
          <w:sz w:val="24"/>
          <w:szCs w:val="24"/>
        </w:rPr>
        <w:t xml:space="preserve">, se considera caso sospechoso </w:t>
      </w:r>
      <w:r w:rsidR="00AE0B9C">
        <w:rPr>
          <w:rFonts w:ascii="Arial" w:eastAsia="Arial" w:hAnsi="Arial" w:cs="Arial"/>
          <w:sz w:val="24"/>
          <w:szCs w:val="24"/>
        </w:rPr>
        <w:t>a t</w:t>
      </w:r>
      <w:r w:rsidRPr="006E114B">
        <w:rPr>
          <w:rFonts w:ascii="Arial" w:eastAsia="Arial" w:hAnsi="Arial" w:cs="Arial"/>
          <w:sz w:val="24"/>
          <w:szCs w:val="24"/>
        </w:rPr>
        <w:t xml:space="preserve">odo paciente de cinco años o más, con enfermedad diarreica de </w:t>
      </w:r>
      <w:r w:rsidRPr="006E114B">
        <w:rPr>
          <w:rFonts w:ascii="Arial" w:eastAsia="Arial" w:hAnsi="Arial" w:cs="Arial"/>
          <w:sz w:val="24"/>
          <w:szCs w:val="24"/>
        </w:rPr>
        <w:lastRenderedPageBreak/>
        <w:t>inicio súbito y evacuaciones abundantes, con deshidratación y con antecedentes de desplazamiento en los últimos cinco días a lugares con evidencia de circulación de</w:t>
      </w:r>
      <w:r w:rsidR="00AE0B9C">
        <w:rPr>
          <w:rFonts w:ascii="Arial" w:eastAsia="Arial" w:hAnsi="Arial" w:cs="Arial"/>
          <w:sz w:val="24"/>
          <w:szCs w:val="24"/>
        </w:rPr>
        <w:t xml:space="preserve"> </w:t>
      </w:r>
      <w:r w:rsidRPr="00AE0B9C">
        <w:rPr>
          <w:rFonts w:ascii="Arial" w:eastAsia="Arial" w:hAnsi="Arial" w:cs="Arial"/>
          <w:i/>
          <w:iCs/>
          <w:sz w:val="24"/>
          <w:szCs w:val="24"/>
        </w:rPr>
        <w:t xml:space="preserve">Vibrio </w:t>
      </w:r>
      <w:proofErr w:type="spellStart"/>
      <w:r w:rsidRPr="00AE0B9C">
        <w:rPr>
          <w:rFonts w:ascii="Arial" w:eastAsia="Arial" w:hAnsi="Arial" w:cs="Arial"/>
          <w:i/>
          <w:iCs/>
          <w:sz w:val="24"/>
          <w:szCs w:val="24"/>
        </w:rPr>
        <w:t>cholerae</w:t>
      </w:r>
      <w:proofErr w:type="spellEnd"/>
      <w:r w:rsidRPr="006E114B">
        <w:rPr>
          <w:rFonts w:ascii="Arial" w:eastAsia="Arial" w:hAnsi="Arial" w:cs="Arial"/>
          <w:sz w:val="24"/>
          <w:szCs w:val="24"/>
        </w:rPr>
        <w:t xml:space="preserve"> </w:t>
      </w:r>
      <w:proofErr w:type="spellStart"/>
      <w:r w:rsidRPr="006E114B">
        <w:rPr>
          <w:rFonts w:ascii="Arial" w:eastAsia="Arial" w:hAnsi="Arial" w:cs="Arial"/>
          <w:sz w:val="24"/>
          <w:szCs w:val="24"/>
        </w:rPr>
        <w:t>toxigénico</w:t>
      </w:r>
      <w:proofErr w:type="spellEnd"/>
      <w:r w:rsidRPr="006E114B">
        <w:rPr>
          <w:rFonts w:ascii="Arial" w:eastAsia="Arial" w:hAnsi="Arial" w:cs="Arial"/>
          <w:sz w:val="24"/>
          <w:szCs w:val="24"/>
        </w:rPr>
        <w:t xml:space="preserve"> o todo caso en el cual se tenga como impresión diagnóstica de cólera por el profesional de</w:t>
      </w:r>
      <w:r w:rsidR="00AE0B9C">
        <w:rPr>
          <w:rFonts w:ascii="Arial" w:eastAsia="Arial" w:hAnsi="Arial" w:cs="Arial"/>
          <w:sz w:val="24"/>
          <w:szCs w:val="24"/>
        </w:rPr>
        <w:t xml:space="preserve"> </w:t>
      </w:r>
      <w:r w:rsidRPr="006E114B">
        <w:rPr>
          <w:rFonts w:ascii="Arial" w:eastAsia="Arial" w:hAnsi="Arial" w:cs="Arial"/>
          <w:sz w:val="24"/>
          <w:szCs w:val="24"/>
        </w:rPr>
        <w:t>salud o</w:t>
      </w:r>
      <w:r w:rsidR="00AE0B9C">
        <w:rPr>
          <w:rFonts w:ascii="Arial" w:eastAsia="Arial" w:hAnsi="Arial" w:cs="Arial"/>
          <w:sz w:val="24"/>
          <w:szCs w:val="24"/>
        </w:rPr>
        <w:t xml:space="preserve"> </w:t>
      </w:r>
      <w:r w:rsidRPr="006E114B">
        <w:rPr>
          <w:rFonts w:ascii="Arial" w:eastAsia="Arial" w:hAnsi="Arial" w:cs="Arial"/>
          <w:sz w:val="24"/>
          <w:szCs w:val="24"/>
        </w:rPr>
        <w:t>todo paciente que fallezca</w:t>
      </w:r>
      <w:r w:rsidR="00AE0B9C">
        <w:rPr>
          <w:rFonts w:ascii="Arial" w:eastAsia="Arial" w:hAnsi="Arial" w:cs="Arial"/>
          <w:sz w:val="24"/>
          <w:szCs w:val="24"/>
        </w:rPr>
        <w:t xml:space="preserve"> </w:t>
      </w:r>
      <w:r w:rsidRPr="006E114B">
        <w:rPr>
          <w:rFonts w:ascii="Arial" w:eastAsia="Arial" w:hAnsi="Arial" w:cs="Arial"/>
          <w:sz w:val="24"/>
          <w:szCs w:val="24"/>
        </w:rPr>
        <w:t>con Enfermedad Diarreica Aguda sin agente etiológico conocido.</w:t>
      </w:r>
      <w:r w:rsidR="00AE0B9C">
        <w:rPr>
          <w:rFonts w:ascii="Arial" w:eastAsia="Arial" w:hAnsi="Arial" w:cs="Arial"/>
          <w:sz w:val="24"/>
          <w:szCs w:val="24"/>
        </w:rPr>
        <w:t xml:space="preserve"> Como se puede observar, esta definición es bastante amplia.</w:t>
      </w:r>
    </w:p>
    <w:p w14:paraId="1D614885" w14:textId="38A262E5" w:rsidR="00AE0B9C" w:rsidRDefault="00AE0B9C" w:rsidP="00AE0B9C">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 xml:space="preserve">En los casos definidos como probables, se busca ser más específicos </w:t>
      </w:r>
      <w:r w:rsidRPr="00AE0B9C">
        <w:rPr>
          <w:rFonts w:ascii="Arial" w:eastAsia="Arial" w:hAnsi="Arial" w:cs="Arial"/>
          <w:sz w:val="24"/>
          <w:szCs w:val="24"/>
        </w:rPr>
        <w:t>y pretend</w:t>
      </w:r>
      <w:r>
        <w:rPr>
          <w:rFonts w:ascii="Arial" w:eastAsia="Arial" w:hAnsi="Arial" w:cs="Arial"/>
          <w:sz w:val="24"/>
          <w:szCs w:val="24"/>
        </w:rPr>
        <w:t>e</w:t>
      </w:r>
      <w:r w:rsidRPr="00AE0B9C">
        <w:rPr>
          <w:rFonts w:ascii="Arial" w:eastAsia="Arial" w:hAnsi="Arial" w:cs="Arial"/>
          <w:sz w:val="24"/>
          <w:szCs w:val="24"/>
        </w:rPr>
        <w:t xml:space="preserve"> identificar casos de manera puntual evitando que ingresen eventos que no corresponden a la definición de casos o falsos positivos. </w:t>
      </w:r>
      <w:r>
        <w:rPr>
          <w:rFonts w:ascii="Arial" w:eastAsia="Arial" w:hAnsi="Arial" w:cs="Arial"/>
          <w:sz w:val="24"/>
          <w:szCs w:val="24"/>
        </w:rPr>
        <w:t>Por ejemplo</w:t>
      </w:r>
      <w:r w:rsidR="00B92E84">
        <w:rPr>
          <w:rFonts w:ascii="Arial" w:eastAsia="Arial" w:hAnsi="Arial" w:cs="Arial"/>
          <w:sz w:val="24"/>
          <w:szCs w:val="24"/>
        </w:rPr>
        <w:t>,</w:t>
      </w:r>
      <w:r>
        <w:rPr>
          <w:rFonts w:ascii="Arial" w:eastAsia="Arial" w:hAnsi="Arial" w:cs="Arial"/>
          <w:sz w:val="24"/>
          <w:szCs w:val="24"/>
        </w:rPr>
        <w:t xml:space="preserve"> para</w:t>
      </w:r>
      <w:r w:rsidRPr="00AE0B9C">
        <w:rPr>
          <w:rFonts w:ascii="Arial" w:eastAsia="Arial" w:hAnsi="Arial" w:cs="Arial"/>
          <w:sz w:val="24"/>
          <w:szCs w:val="24"/>
        </w:rPr>
        <w:t xml:space="preserve"> Intoxicaciones</w:t>
      </w:r>
      <w:r>
        <w:rPr>
          <w:rFonts w:ascii="Arial" w:eastAsia="Arial" w:hAnsi="Arial" w:cs="Arial"/>
          <w:sz w:val="24"/>
          <w:szCs w:val="24"/>
        </w:rPr>
        <w:t>, un caso probable es aquel p</w:t>
      </w:r>
      <w:r w:rsidRPr="00AE0B9C">
        <w:rPr>
          <w:rFonts w:ascii="Arial" w:eastAsia="Arial" w:hAnsi="Arial" w:cs="Arial"/>
          <w:sz w:val="24"/>
          <w:szCs w:val="24"/>
        </w:rPr>
        <w:t>aciente con manifestaciones o un cuadro clínico de intoxicación aguda</w:t>
      </w:r>
      <w:r>
        <w:rPr>
          <w:rFonts w:ascii="Arial" w:eastAsia="Arial" w:hAnsi="Arial" w:cs="Arial"/>
          <w:sz w:val="24"/>
          <w:szCs w:val="24"/>
        </w:rPr>
        <w:t xml:space="preserve"> </w:t>
      </w:r>
      <w:r w:rsidRPr="00AE0B9C">
        <w:rPr>
          <w:rFonts w:ascii="Arial" w:eastAsia="Arial" w:hAnsi="Arial" w:cs="Arial"/>
          <w:sz w:val="24"/>
          <w:szCs w:val="24"/>
        </w:rPr>
        <w:t>compatible o característico con la exposición a metanol asociado a bebida</w:t>
      </w:r>
      <w:r>
        <w:rPr>
          <w:rFonts w:ascii="Arial" w:eastAsia="Arial" w:hAnsi="Arial" w:cs="Arial"/>
          <w:sz w:val="24"/>
          <w:szCs w:val="24"/>
        </w:rPr>
        <w:t xml:space="preserve"> </w:t>
      </w:r>
      <w:r w:rsidRPr="00AE0B9C">
        <w:rPr>
          <w:rFonts w:ascii="Arial" w:eastAsia="Arial" w:hAnsi="Arial" w:cs="Arial"/>
          <w:sz w:val="24"/>
          <w:szCs w:val="24"/>
        </w:rPr>
        <w:t>alcohólica adulterada</w:t>
      </w:r>
      <w:r w:rsidR="00B92E84">
        <w:rPr>
          <w:rFonts w:ascii="Arial" w:eastAsia="Arial" w:hAnsi="Arial" w:cs="Arial"/>
          <w:sz w:val="24"/>
          <w:szCs w:val="24"/>
        </w:rPr>
        <w:t>. Para este ejemplo, aunque se den las manifestaciones clínicas, aún no puede considerarse confirmado.</w:t>
      </w:r>
    </w:p>
    <w:p w14:paraId="1C4862C0" w14:textId="3A462798" w:rsidR="009E5F0E" w:rsidRPr="002D78D4" w:rsidRDefault="00B92E84" w:rsidP="002D78D4">
      <w:pPr>
        <w:pStyle w:val="Ttulo2"/>
        <w:jc w:val="both"/>
        <w:rPr>
          <w:rFonts w:ascii="Arial" w:eastAsia="Arial" w:hAnsi="Arial" w:cs="Arial"/>
          <w:color w:val="auto"/>
          <w:sz w:val="24"/>
          <w:szCs w:val="24"/>
        </w:rPr>
      </w:pPr>
      <w:r>
        <w:rPr>
          <w:rFonts w:ascii="Arial" w:eastAsia="Arial" w:hAnsi="Arial" w:cs="Arial"/>
          <w:color w:val="auto"/>
          <w:sz w:val="24"/>
          <w:szCs w:val="24"/>
        </w:rPr>
        <w:t>Y para el tercer grupo, a través de</w:t>
      </w:r>
      <w:r w:rsidRPr="00B92E84">
        <w:rPr>
          <w:rFonts w:ascii="Arial" w:eastAsia="Arial" w:hAnsi="Arial" w:cs="Arial"/>
          <w:color w:val="auto"/>
          <w:sz w:val="24"/>
          <w:szCs w:val="24"/>
        </w:rPr>
        <w:t xml:space="preserve"> medios de diagnóstico</w:t>
      </w:r>
      <w:r>
        <w:rPr>
          <w:rFonts w:ascii="Arial" w:eastAsia="Arial" w:hAnsi="Arial" w:cs="Arial"/>
          <w:color w:val="auto"/>
          <w:sz w:val="24"/>
          <w:szCs w:val="24"/>
        </w:rPr>
        <w:t xml:space="preserve"> </w:t>
      </w:r>
      <w:r w:rsidRPr="00B92E84">
        <w:rPr>
          <w:rFonts w:ascii="Arial" w:eastAsia="Arial" w:hAnsi="Arial" w:cs="Arial"/>
          <w:color w:val="auto"/>
          <w:sz w:val="24"/>
          <w:szCs w:val="24"/>
        </w:rPr>
        <w:t xml:space="preserve">altamente específicos como los criterios de laboratorio, </w:t>
      </w:r>
      <w:r w:rsidR="00943993">
        <w:rPr>
          <w:rFonts w:ascii="Arial" w:eastAsia="Arial" w:hAnsi="Arial" w:cs="Arial"/>
          <w:color w:val="auto"/>
          <w:sz w:val="24"/>
          <w:szCs w:val="24"/>
        </w:rPr>
        <w:t>es que se da el</w:t>
      </w:r>
      <w:r w:rsidRPr="00B92E84">
        <w:rPr>
          <w:rFonts w:ascii="Arial" w:eastAsia="Arial" w:hAnsi="Arial" w:cs="Arial"/>
          <w:color w:val="auto"/>
          <w:sz w:val="24"/>
          <w:szCs w:val="24"/>
        </w:rPr>
        <w:t xml:space="preserve"> establecimiento de casos</w:t>
      </w:r>
      <w:r w:rsidR="00943993">
        <w:rPr>
          <w:rFonts w:ascii="Arial" w:eastAsia="Arial" w:hAnsi="Arial" w:cs="Arial"/>
          <w:color w:val="auto"/>
          <w:sz w:val="24"/>
          <w:szCs w:val="24"/>
        </w:rPr>
        <w:t xml:space="preserve"> </w:t>
      </w:r>
      <w:r w:rsidRPr="00B92E84">
        <w:rPr>
          <w:rFonts w:ascii="Arial" w:eastAsia="Arial" w:hAnsi="Arial" w:cs="Arial"/>
          <w:color w:val="auto"/>
          <w:sz w:val="24"/>
          <w:szCs w:val="24"/>
        </w:rPr>
        <w:t>confirmados</w:t>
      </w:r>
      <w:r w:rsidR="009E5F0E">
        <w:rPr>
          <w:rFonts w:ascii="Arial" w:eastAsia="Arial" w:hAnsi="Arial" w:cs="Arial"/>
          <w:color w:val="auto"/>
          <w:sz w:val="24"/>
          <w:szCs w:val="24"/>
        </w:rPr>
        <w:t xml:space="preserve">. En el caso de las intoxicaciones se puede confirmar un caso a través de criterios clínicos cuando se presenta un toxidrome, por ejemplo, un cuadro colinérgico permitiría establecer una intoxicación por organofosforados. En el caso de metanol, encontrar la sustancia o sus metabolitos en una muestra de sangre clasificaría el caso como confirmado por laboratorio. Y para establecer un caso </w:t>
      </w:r>
      <w:r w:rsidR="005D1F75">
        <w:rPr>
          <w:rFonts w:ascii="Arial" w:eastAsia="Arial" w:hAnsi="Arial" w:cs="Arial"/>
          <w:color w:val="auto"/>
          <w:sz w:val="24"/>
          <w:szCs w:val="24"/>
        </w:rPr>
        <w:t>como confirmado por nexo epidemiológico, este debe estar relac</w:t>
      </w:r>
      <w:r w:rsidR="005D1F75" w:rsidRPr="005D1F75">
        <w:rPr>
          <w:rFonts w:ascii="Arial" w:eastAsia="Arial" w:hAnsi="Arial" w:cs="Arial"/>
          <w:color w:val="auto"/>
          <w:sz w:val="24"/>
          <w:szCs w:val="24"/>
        </w:rPr>
        <w:t>ionado con un caso</w:t>
      </w:r>
      <w:r w:rsidR="005D1F75">
        <w:rPr>
          <w:rFonts w:ascii="Arial" w:eastAsia="Arial" w:hAnsi="Arial" w:cs="Arial"/>
          <w:color w:val="auto"/>
          <w:sz w:val="24"/>
          <w:szCs w:val="24"/>
        </w:rPr>
        <w:t xml:space="preserve"> </w:t>
      </w:r>
      <w:r w:rsidR="005D1F75" w:rsidRPr="005D1F75">
        <w:rPr>
          <w:rFonts w:ascii="Arial" w:eastAsia="Arial" w:hAnsi="Arial" w:cs="Arial"/>
          <w:color w:val="auto"/>
          <w:sz w:val="24"/>
          <w:szCs w:val="24"/>
        </w:rPr>
        <w:t>confirmado por laboratorio, estos casos deben estar asociados en</w:t>
      </w:r>
      <w:r w:rsidR="005D1F75">
        <w:rPr>
          <w:rFonts w:ascii="Arial" w:eastAsia="Arial" w:hAnsi="Arial" w:cs="Arial"/>
          <w:color w:val="auto"/>
          <w:sz w:val="24"/>
          <w:szCs w:val="24"/>
        </w:rPr>
        <w:t xml:space="preserve"> </w:t>
      </w:r>
      <w:r w:rsidR="005D1F75" w:rsidRPr="005D1F75">
        <w:rPr>
          <w:rFonts w:ascii="Arial" w:eastAsia="Arial" w:hAnsi="Arial" w:cs="Arial"/>
          <w:color w:val="auto"/>
          <w:sz w:val="24"/>
          <w:szCs w:val="24"/>
        </w:rPr>
        <w:t>tiempo, persona y espacio.</w:t>
      </w:r>
      <w:r w:rsidR="005D1F75">
        <w:rPr>
          <w:rFonts w:ascii="Arial" w:eastAsia="Arial" w:hAnsi="Arial" w:cs="Arial"/>
          <w:color w:val="auto"/>
          <w:sz w:val="24"/>
          <w:szCs w:val="24"/>
        </w:rPr>
        <w:t xml:space="preserve"> Para continuar con el ejemplo de metanol, se presentaría cuando una persona tomó de la misma botella de licor adulterado que la persona en la que ya se confirmó la intoxicación metílica.</w:t>
      </w:r>
    </w:p>
    <w:p w14:paraId="0AFBB6CE" w14:textId="77777777" w:rsidR="009E5F0E" w:rsidRPr="00943993" w:rsidRDefault="009E5F0E" w:rsidP="00943993"/>
    <w:p w14:paraId="6C8BAAD2" w14:textId="67DA3527" w:rsidR="00EB03FC" w:rsidRPr="00FA1882" w:rsidRDefault="00B4026E" w:rsidP="00FA1882">
      <w:pPr>
        <w:pStyle w:val="Ttulo2"/>
        <w:jc w:val="both"/>
        <w:rPr>
          <w:rFonts w:ascii="Arial" w:eastAsia="Arial" w:hAnsi="Arial" w:cs="Arial"/>
          <w:b/>
          <w:bCs/>
          <w:color w:val="1F4E79"/>
          <w:sz w:val="36"/>
          <w:szCs w:val="36"/>
        </w:rPr>
      </w:pPr>
      <w:bookmarkStart w:id="8" w:name="_heading=h.w7fr4pvuc9d2" w:colFirst="0" w:colLast="0"/>
      <w:bookmarkEnd w:id="8"/>
      <w:r w:rsidRPr="00FA1882">
        <w:rPr>
          <w:rFonts w:ascii="Arial" w:eastAsia="Arial" w:hAnsi="Arial" w:cs="Arial"/>
          <w:b/>
          <w:bCs/>
          <w:color w:val="1F4E79"/>
          <w:sz w:val="36"/>
          <w:szCs w:val="36"/>
        </w:rPr>
        <w:t xml:space="preserve">Diapositiva </w:t>
      </w:r>
      <w:r w:rsidR="00FA1882">
        <w:rPr>
          <w:rFonts w:ascii="Arial" w:eastAsia="Arial" w:hAnsi="Arial" w:cs="Arial"/>
          <w:b/>
          <w:bCs/>
          <w:color w:val="1F4E79"/>
          <w:sz w:val="36"/>
          <w:szCs w:val="36"/>
        </w:rPr>
        <w:t>8</w:t>
      </w:r>
      <w:r w:rsidRPr="00FA1882">
        <w:rPr>
          <w:rFonts w:ascii="Arial" w:eastAsia="Arial" w:hAnsi="Arial" w:cs="Arial"/>
          <w:b/>
          <w:bCs/>
          <w:color w:val="1F4E79"/>
          <w:sz w:val="36"/>
          <w:szCs w:val="36"/>
        </w:rPr>
        <w:t xml:space="preserve">. </w:t>
      </w:r>
      <w:r w:rsidR="002D78D4" w:rsidRPr="002D78D4">
        <w:rPr>
          <w:rFonts w:ascii="Arial" w:eastAsia="Arial" w:hAnsi="Arial" w:cs="Arial"/>
          <w:b/>
          <w:bCs/>
          <w:color w:val="1F4E79"/>
          <w:sz w:val="36"/>
          <w:szCs w:val="36"/>
        </w:rPr>
        <w:t>Definición de caso en tres niveles</w:t>
      </w:r>
    </w:p>
    <w:p w14:paraId="45253D30" w14:textId="77777777" w:rsidR="00EB03FC" w:rsidRPr="00FA1882" w:rsidRDefault="00EB03FC" w:rsidP="00FA1882">
      <w:pPr>
        <w:spacing w:line="240" w:lineRule="auto"/>
        <w:jc w:val="both"/>
        <w:rPr>
          <w:rFonts w:ascii="Arial" w:eastAsia="Arial" w:hAnsi="Arial" w:cs="Arial"/>
          <w:sz w:val="24"/>
          <w:szCs w:val="24"/>
        </w:rPr>
      </w:pPr>
    </w:p>
    <w:p w14:paraId="7E2C5ECC" w14:textId="2C9B2C1C" w:rsidR="00FB17B4" w:rsidRPr="00FB17B4" w:rsidRDefault="00FB17B4" w:rsidP="00FB17B4">
      <w:pPr>
        <w:spacing w:line="240" w:lineRule="auto"/>
        <w:jc w:val="both"/>
        <w:rPr>
          <w:rFonts w:ascii="Arial" w:eastAsia="Arial" w:hAnsi="Arial" w:cs="Arial"/>
          <w:sz w:val="24"/>
          <w:szCs w:val="24"/>
        </w:rPr>
      </w:pPr>
      <w:r w:rsidRPr="00FB17B4">
        <w:rPr>
          <w:rFonts w:ascii="Arial" w:eastAsia="Arial" w:hAnsi="Arial" w:cs="Arial"/>
          <w:sz w:val="24"/>
          <w:szCs w:val="24"/>
        </w:rPr>
        <w:t>E</w:t>
      </w:r>
      <w:r>
        <w:rPr>
          <w:rFonts w:ascii="Arial" w:eastAsia="Arial" w:hAnsi="Arial" w:cs="Arial"/>
          <w:sz w:val="24"/>
          <w:szCs w:val="24"/>
        </w:rPr>
        <w:t>n e</w:t>
      </w:r>
      <w:r w:rsidRPr="00FB17B4">
        <w:rPr>
          <w:rFonts w:ascii="Arial" w:eastAsia="Arial" w:hAnsi="Arial" w:cs="Arial"/>
          <w:sz w:val="24"/>
          <w:szCs w:val="24"/>
        </w:rPr>
        <w:t>ste diagrama</w:t>
      </w:r>
      <w:r>
        <w:rPr>
          <w:rFonts w:ascii="Arial" w:eastAsia="Arial" w:hAnsi="Arial" w:cs="Arial"/>
          <w:sz w:val="24"/>
          <w:szCs w:val="24"/>
        </w:rPr>
        <w:t>, l</w:t>
      </w:r>
      <w:r w:rsidRPr="00FB17B4">
        <w:rPr>
          <w:rFonts w:ascii="Arial" w:eastAsia="Arial" w:hAnsi="Arial" w:cs="Arial"/>
          <w:sz w:val="24"/>
          <w:szCs w:val="24"/>
        </w:rPr>
        <w:t xml:space="preserve">a flecha en el lado derecho de la diapositiva indica </w:t>
      </w:r>
      <w:r w:rsidR="001D0D8C">
        <w:rPr>
          <w:rFonts w:ascii="Arial" w:eastAsia="Arial" w:hAnsi="Arial" w:cs="Arial"/>
          <w:sz w:val="24"/>
          <w:szCs w:val="24"/>
        </w:rPr>
        <w:t>como el número de personas es mayor en la base de la pirámide, al ser más sensible</w:t>
      </w:r>
      <w:r w:rsidRPr="00FB17B4">
        <w:rPr>
          <w:rFonts w:ascii="Arial" w:eastAsia="Arial" w:hAnsi="Arial" w:cs="Arial"/>
          <w:sz w:val="24"/>
          <w:szCs w:val="24"/>
        </w:rPr>
        <w:t>.   La categoría de casos sospechosos es la menos restrictiva, de modo que tiende a incluir la mayor cantidad de personas.  A medida que la definición de casos se vuelve más restrictiva, menos personas cumplirán los criterios</w:t>
      </w:r>
      <w:r>
        <w:rPr>
          <w:rFonts w:ascii="Arial" w:eastAsia="Arial" w:hAnsi="Arial" w:cs="Arial"/>
          <w:sz w:val="24"/>
          <w:szCs w:val="24"/>
        </w:rPr>
        <w:t>, haciendo la definición más específica y confiable</w:t>
      </w:r>
      <w:r w:rsidRPr="00FB17B4">
        <w:rPr>
          <w:rFonts w:ascii="Arial" w:eastAsia="Arial" w:hAnsi="Arial" w:cs="Arial"/>
          <w:sz w:val="24"/>
          <w:szCs w:val="24"/>
        </w:rPr>
        <w:t>.</w:t>
      </w:r>
    </w:p>
    <w:sectPr w:rsidR="00FB17B4" w:rsidRPr="00FB17B4" w:rsidSect="00FE26B9">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9100" w14:textId="77777777" w:rsidR="00782A13" w:rsidRDefault="00782A13">
      <w:pPr>
        <w:spacing w:after="0" w:line="240" w:lineRule="auto"/>
      </w:pPr>
      <w:r>
        <w:separator/>
      </w:r>
    </w:p>
  </w:endnote>
  <w:endnote w:type="continuationSeparator" w:id="0">
    <w:p w14:paraId="5B86A1F0" w14:textId="77777777" w:rsidR="00782A13" w:rsidRDefault="0078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B2D73" w14:textId="77777777" w:rsidR="00EB03FC" w:rsidRDefault="00EB03FC">
    <w:pPr>
      <w:pBdr>
        <w:top w:val="nil"/>
        <w:left w:val="nil"/>
        <w:bottom w:val="nil"/>
        <w:right w:val="nil"/>
        <w:between w:val="nil"/>
      </w:pBdr>
      <w:tabs>
        <w:tab w:val="center" w:pos="4680"/>
        <w:tab w:val="right" w:pos="9360"/>
      </w:tabs>
      <w:spacing w:after="0" w:line="240" w:lineRule="auto"/>
      <w:jc w:val="center"/>
      <w:rPr>
        <w:color w:val="000000"/>
      </w:rPr>
    </w:pPr>
  </w:p>
  <w:p w14:paraId="166B8B3E" w14:textId="77777777" w:rsidR="00EB03FC" w:rsidRDefault="00B4026E">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EF08" w14:textId="77777777" w:rsidR="00EB03FC" w:rsidRDefault="00B4026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6691F">
      <w:rPr>
        <w:noProof/>
        <w:color w:val="000000"/>
      </w:rPr>
      <w:t>2</w:t>
    </w:r>
    <w:r>
      <w:rPr>
        <w:color w:val="000000"/>
      </w:rPr>
      <w:fldChar w:fldCharType="end"/>
    </w:r>
  </w:p>
  <w:p w14:paraId="2311EC09" w14:textId="77777777" w:rsidR="00EB03FC" w:rsidRDefault="00B4026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C36567E" wp14:editId="7BA10898">
          <wp:simplePos x="0" y="0"/>
          <wp:positionH relativeFrom="column">
            <wp:posOffset>0</wp:posOffset>
          </wp:positionH>
          <wp:positionV relativeFrom="paragraph">
            <wp:posOffset>-634</wp:posOffset>
          </wp:positionV>
          <wp:extent cx="6875780" cy="148590"/>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26D0" w14:textId="77777777" w:rsidR="00EB03FC" w:rsidRDefault="00B4026E">
    <w:pPr>
      <w:pBdr>
        <w:top w:val="nil"/>
        <w:left w:val="nil"/>
        <w:bottom w:val="nil"/>
        <w:right w:val="nil"/>
        <w:between w:val="nil"/>
      </w:pBdr>
      <w:tabs>
        <w:tab w:val="center" w:pos="4680"/>
        <w:tab w:val="right" w:pos="9360"/>
      </w:tabs>
      <w:spacing w:after="0" w:line="240" w:lineRule="auto"/>
      <w:jc w:val="both"/>
      <w:rPr>
        <w:rFonts w:ascii="Arial" w:eastAsia="Arial" w:hAnsi="Arial" w:cs="Arial"/>
        <w:smallCaps/>
        <w:color w:val="4472C4"/>
      </w:rPr>
    </w:pPr>
    <w:r>
      <w:rPr>
        <w:noProof/>
      </w:rPr>
      <w:drawing>
        <wp:anchor distT="0" distB="0" distL="0" distR="0" simplePos="0" relativeHeight="251659264" behindDoc="1" locked="0" layoutInCell="1" hidden="0" allowOverlap="1" wp14:anchorId="1DA3B60F" wp14:editId="2C8C1EA3">
          <wp:simplePos x="0" y="0"/>
          <wp:positionH relativeFrom="column">
            <wp:posOffset>-467993</wp:posOffset>
          </wp:positionH>
          <wp:positionV relativeFrom="paragraph">
            <wp:posOffset>13334</wp:posOffset>
          </wp:positionV>
          <wp:extent cx="6875780" cy="14859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p w14:paraId="71E5DD11" w14:textId="77777777" w:rsidR="00EB03FC" w:rsidRDefault="00EB0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DA3E1" w14:textId="77777777" w:rsidR="00782A13" w:rsidRDefault="00782A13">
      <w:pPr>
        <w:spacing w:after="0" w:line="240" w:lineRule="auto"/>
      </w:pPr>
      <w:r>
        <w:separator/>
      </w:r>
    </w:p>
  </w:footnote>
  <w:footnote w:type="continuationSeparator" w:id="0">
    <w:p w14:paraId="128EF526" w14:textId="77777777" w:rsidR="00782A13" w:rsidRDefault="0078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7990A" w14:textId="77777777" w:rsidR="00EB03FC" w:rsidRDefault="00B4026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82F1EA3" wp14:editId="22B74748">
          <wp:extent cx="847725" cy="342900"/>
          <wp:effectExtent l="0" t="0" r="0" b="0"/>
          <wp:docPr id="31"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F2C7" w14:textId="77777777" w:rsidR="00EB03FC" w:rsidRDefault="00B4026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BD3B3EA" wp14:editId="33AA0C39">
          <wp:extent cx="847725" cy="342900"/>
          <wp:effectExtent l="0" t="0" r="0" b="0"/>
          <wp:docPr id="32"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F8B"/>
    <w:multiLevelType w:val="multilevel"/>
    <w:tmpl w:val="F5323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7B16A5"/>
    <w:multiLevelType w:val="hybridMultilevel"/>
    <w:tmpl w:val="E41CB7AE"/>
    <w:lvl w:ilvl="0" w:tplc="2BA6C602">
      <w:start w:val="1"/>
      <w:numFmt w:val="bullet"/>
      <w:lvlText w:val="●"/>
      <w:lvlJc w:val="left"/>
      <w:pPr>
        <w:tabs>
          <w:tab w:val="num" w:pos="720"/>
        </w:tabs>
        <w:ind w:left="720" w:hanging="360"/>
      </w:pPr>
      <w:rPr>
        <w:rFonts w:ascii="Arial" w:hAnsi="Arial" w:hint="default"/>
      </w:rPr>
    </w:lvl>
    <w:lvl w:ilvl="1" w:tplc="F7040F34" w:tentative="1">
      <w:start w:val="1"/>
      <w:numFmt w:val="bullet"/>
      <w:lvlText w:val="●"/>
      <w:lvlJc w:val="left"/>
      <w:pPr>
        <w:tabs>
          <w:tab w:val="num" w:pos="1440"/>
        </w:tabs>
        <w:ind w:left="1440" w:hanging="360"/>
      </w:pPr>
      <w:rPr>
        <w:rFonts w:ascii="Arial" w:hAnsi="Arial" w:hint="default"/>
      </w:rPr>
    </w:lvl>
    <w:lvl w:ilvl="2" w:tplc="BB96E8BA" w:tentative="1">
      <w:start w:val="1"/>
      <w:numFmt w:val="bullet"/>
      <w:lvlText w:val="●"/>
      <w:lvlJc w:val="left"/>
      <w:pPr>
        <w:tabs>
          <w:tab w:val="num" w:pos="2160"/>
        </w:tabs>
        <w:ind w:left="2160" w:hanging="360"/>
      </w:pPr>
      <w:rPr>
        <w:rFonts w:ascii="Arial" w:hAnsi="Arial" w:hint="default"/>
      </w:rPr>
    </w:lvl>
    <w:lvl w:ilvl="3" w:tplc="CCA441B0" w:tentative="1">
      <w:start w:val="1"/>
      <w:numFmt w:val="bullet"/>
      <w:lvlText w:val="●"/>
      <w:lvlJc w:val="left"/>
      <w:pPr>
        <w:tabs>
          <w:tab w:val="num" w:pos="2880"/>
        </w:tabs>
        <w:ind w:left="2880" w:hanging="360"/>
      </w:pPr>
      <w:rPr>
        <w:rFonts w:ascii="Arial" w:hAnsi="Arial" w:hint="default"/>
      </w:rPr>
    </w:lvl>
    <w:lvl w:ilvl="4" w:tplc="6D0602E2" w:tentative="1">
      <w:start w:val="1"/>
      <w:numFmt w:val="bullet"/>
      <w:lvlText w:val="●"/>
      <w:lvlJc w:val="left"/>
      <w:pPr>
        <w:tabs>
          <w:tab w:val="num" w:pos="3600"/>
        </w:tabs>
        <w:ind w:left="3600" w:hanging="360"/>
      </w:pPr>
      <w:rPr>
        <w:rFonts w:ascii="Arial" w:hAnsi="Arial" w:hint="default"/>
      </w:rPr>
    </w:lvl>
    <w:lvl w:ilvl="5" w:tplc="13A0299C" w:tentative="1">
      <w:start w:val="1"/>
      <w:numFmt w:val="bullet"/>
      <w:lvlText w:val="●"/>
      <w:lvlJc w:val="left"/>
      <w:pPr>
        <w:tabs>
          <w:tab w:val="num" w:pos="4320"/>
        </w:tabs>
        <w:ind w:left="4320" w:hanging="360"/>
      </w:pPr>
      <w:rPr>
        <w:rFonts w:ascii="Arial" w:hAnsi="Arial" w:hint="default"/>
      </w:rPr>
    </w:lvl>
    <w:lvl w:ilvl="6" w:tplc="D272173E" w:tentative="1">
      <w:start w:val="1"/>
      <w:numFmt w:val="bullet"/>
      <w:lvlText w:val="●"/>
      <w:lvlJc w:val="left"/>
      <w:pPr>
        <w:tabs>
          <w:tab w:val="num" w:pos="5040"/>
        </w:tabs>
        <w:ind w:left="5040" w:hanging="360"/>
      </w:pPr>
      <w:rPr>
        <w:rFonts w:ascii="Arial" w:hAnsi="Arial" w:hint="default"/>
      </w:rPr>
    </w:lvl>
    <w:lvl w:ilvl="7" w:tplc="1090B3E8" w:tentative="1">
      <w:start w:val="1"/>
      <w:numFmt w:val="bullet"/>
      <w:lvlText w:val="●"/>
      <w:lvlJc w:val="left"/>
      <w:pPr>
        <w:tabs>
          <w:tab w:val="num" w:pos="5760"/>
        </w:tabs>
        <w:ind w:left="5760" w:hanging="360"/>
      </w:pPr>
      <w:rPr>
        <w:rFonts w:ascii="Arial" w:hAnsi="Arial" w:hint="default"/>
      </w:rPr>
    </w:lvl>
    <w:lvl w:ilvl="8" w:tplc="79D43B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1C7046"/>
    <w:multiLevelType w:val="hybridMultilevel"/>
    <w:tmpl w:val="11FC5E50"/>
    <w:lvl w:ilvl="0" w:tplc="8CD65C22">
      <w:start w:val="1"/>
      <w:numFmt w:val="bullet"/>
      <w:lvlText w:val=""/>
      <w:lvlJc w:val="left"/>
      <w:pPr>
        <w:tabs>
          <w:tab w:val="num" w:pos="720"/>
        </w:tabs>
        <w:ind w:left="720" w:hanging="360"/>
      </w:pPr>
      <w:rPr>
        <w:rFonts w:ascii="Wingdings" w:hAnsi="Wingdings" w:hint="default"/>
      </w:rPr>
    </w:lvl>
    <w:lvl w:ilvl="1" w:tplc="1978679E" w:tentative="1">
      <w:start w:val="1"/>
      <w:numFmt w:val="bullet"/>
      <w:lvlText w:val=""/>
      <w:lvlJc w:val="left"/>
      <w:pPr>
        <w:tabs>
          <w:tab w:val="num" w:pos="1440"/>
        </w:tabs>
        <w:ind w:left="1440" w:hanging="360"/>
      </w:pPr>
      <w:rPr>
        <w:rFonts w:ascii="Wingdings" w:hAnsi="Wingdings" w:hint="default"/>
      </w:rPr>
    </w:lvl>
    <w:lvl w:ilvl="2" w:tplc="839A0D16" w:tentative="1">
      <w:start w:val="1"/>
      <w:numFmt w:val="bullet"/>
      <w:lvlText w:val=""/>
      <w:lvlJc w:val="left"/>
      <w:pPr>
        <w:tabs>
          <w:tab w:val="num" w:pos="2160"/>
        </w:tabs>
        <w:ind w:left="2160" w:hanging="360"/>
      </w:pPr>
      <w:rPr>
        <w:rFonts w:ascii="Wingdings" w:hAnsi="Wingdings" w:hint="default"/>
      </w:rPr>
    </w:lvl>
    <w:lvl w:ilvl="3" w:tplc="4722722A" w:tentative="1">
      <w:start w:val="1"/>
      <w:numFmt w:val="bullet"/>
      <w:lvlText w:val=""/>
      <w:lvlJc w:val="left"/>
      <w:pPr>
        <w:tabs>
          <w:tab w:val="num" w:pos="2880"/>
        </w:tabs>
        <w:ind w:left="2880" w:hanging="360"/>
      </w:pPr>
      <w:rPr>
        <w:rFonts w:ascii="Wingdings" w:hAnsi="Wingdings" w:hint="default"/>
      </w:rPr>
    </w:lvl>
    <w:lvl w:ilvl="4" w:tplc="23A01AA6" w:tentative="1">
      <w:start w:val="1"/>
      <w:numFmt w:val="bullet"/>
      <w:lvlText w:val=""/>
      <w:lvlJc w:val="left"/>
      <w:pPr>
        <w:tabs>
          <w:tab w:val="num" w:pos="3600"/>
        </w:tabs>
        <w:ind w:left="3600" w:hanging="360"/>
      </w:pPr>
      <w:rPr>
        <w:rFonts w:ascii="Wingdings" w:hAnsi="Wingdings" w:hint="default"/>
      </w:rPr>
    </w:lvl>
    <w:lvl w:ilvl="5" w:tplc="ABE86AEE" w:tentative="1">
      <w:start w:val="1"/>
      <w:numFmt w:val="bullet"/>
      <w:lvlText w:val=""/>
      <w:lvlJc w:val="left"/>
      <w:pPr>
        <w:tabs>
          <w:tab w:val="num" w:pos="4320"/>
        </w:tabs>
        <w:ind w:left="4320" w:hanging="360"/>
      </w:pPr>
      <w:rPr>
        <w:rFonts w:ascii="Wingdings" w:hAnsi="Wingdings" w:hint="default"/>
      </w:rPr>
    </w:lvl>
    <w:lvl w:ilvl="6" w:tplc="C0F870BE" w:tentative="1">
      <w:start w:val="1"/>
      <w:numFmt w:val="bullet"/>
      <w:lvlText w:val=""/>
      <w:lvlJc w:val="left"/>
      <w:pPr>
        <w:tabs>
          <w:tab w:val="num" w:pos="5040"/>
        </w:tabs>
        <w:ind w:left="5040" w:hanging="360"/>
      </w:pPr>
      <w:rPr>
        <w:rFonts w:ascii="Wingdings" w:hAnsi="Wingdings" w:hint="default"/>
      </w:rPr>
    </w:lvl>
    <w:lvl w:ilvl="7" w:tplc="ABB83E7C" w:tentative="1">
      <w:start w:val="1"/>
      <w:numFmt w:val="bullet"/>
      <w:lvlText w:val=""/>
      <w:lvlJc w:val="left"/>
      <w:pPr>
        <w:tabs>
          <w:tab w:val="num" w:pos="5760"/>
        </w:tabs>
        <w:ind w:left="5760" w:hanging="360"/>
      </w:pPr>
      <w:rPr>
        <w:rFonts w:ascii="Wingdings" w:hAnsi="Wingdings" w:hint="default"/>
      </w:rPr>
    </w:lvl>
    <w:lvl w:ilvl="8" w:tplc="94E237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445085"/>
    <w:multiLevelType w:val="hybridMultilevel"/>
    <w:tmpl w:val="6A022AC2"/>
    <w:lvl w:ilvl="0" w:tplc="B80C1496">
      <w:start w:val="1"/>
      <w:numFmt w:val="bullet"/>
      <w:lvlText w:val=""/>
      <w:lvlJc w:val="left"/>
      <w:pPr>
        <w:tabs>
          <w:tab w:val="num" w:pos="720"/>
        </w:tabs>
        <w:ind w:left="720" w:hanging="360"/>
      </w:pPr>
      <w:rPr>
        <w:rFonts w:ascii="Wingdings" w:hAnsi="Wingdings" w:hint="default"/>
      </w:rPr>
    </w:lvl>
    <w:lvl w:ilvl="1" w:tplc="4244B410" w:tentative="1">
      <w:start w:val="1"/>
      <w:numFmt w:val="bullet"/>
      <w:lvlText w:val=""/>
      <w:lvlJc w:val="left"/>
      <w:pPr>
        <w:tabs>
          <w:tab w:val="num" w:pos="1440"/>
        </w:tabs>
        <w:ind w:left="1440" w:hanging="360"/>
      </w:pPr>
      <w:rPr>
        <w:rFonts w:ascii="Wingdings" w:hAnsi="Wingdings" w:hint="default"/>
      </w:rPr>
    </w:lvl>
    <w:lvl w:ilvl="2" w:tplc="7E10BF58" w:tentative="1">
      <w:start w:val="1"/>
      <w:numFmt w:val="bullet"/>
      <w:lvlText w:val=""/>
      <w:lvlJc w:val="left"/>
      <w:pPr>
        <w:tabs>
          <w:tab w:val="num" w:pos="2160"/>
        </w:tabs>
        <w:ind w:left="2160" w:hanging="360"/>
      </w:pPr>
      <w:rPr>
        <w:rFonts w:ascii="Wingdings" w:hAnsi="Wingdings" w:hint="default"/>
      </w:rPr>
    </w:lvl>
    <w:lvl w:ilvl="3" w:tplc="31C47202" w:tentative="1">
      <w:start w:val="1"/>
      <w:numFmt w:val="bullet"/>
      <w:lvlText w:val=""/>
      <w:lvlJc w:val="left"/>
      <w:pPr>
        <w:tabs>
          <w:tab w:val="num" w:pos="2880"/>
        </w:tabs>
        <w:ind w:left="2880" w:hanging="360"/>
      </w:pPr>
      <w:rPr>
        <w:rFonts w:ascii="Wingdings" w:hAnsi="Wingdings" w:hint="default"/>
      </w:rPr>
    </w:lvl>
    <w:lvl w:ilvl="4" w:tplc="0F127F76" w:tentative="1">
      <w:start w:val="1"/>
      <w:numFmt w:val="bullet"/>
      <w:lvlText w:val=""/>
      <w:lvlJc w:val="left"/>
      <w:pPr>
        <w:tabs>
          <w:tab w:val="num" w:pos="3600"/>
        </w:tabs>
        <w:ind w:left="3600" w:hanging="360"/>
      </w:pPr>
      <w:rPr>
        <w:rFonts w:ascii="Wingdings" w:hAnsi="Wingdings" w:hint="default"/>
      </w:rPr>
    </w:lvl>
    <w:lvl w:ilvl="5" w:tplc="4300EACA" w:tentative="1">
      <w:start w:val="1"/>
      <w:numFmt w:val="bullet"/>
      <w:lvlText w:val=""/>
      <w:lvlJc w:val="left"/>
      <w:pPr>
        <w:tabs>
          <w:tab w:val="num" w:pos="4320"/>
        </w:tabs>
        <w:ind w:left="4320" w:hanging="360"/>
      </w:pPr>
      <w:rPr>
        <w:rFonts w:ascii="Wingdings" w:hAnsi="Wingdings" w:hint="default"/>
      </w:rPr>
    </w:lvl>
    <w:lvl w:ilvl="6" w:tplc="FAE2354E" w:tentative="1">
      <w:start w:val="1"/>
      <w:numFmt w:val="bullet"/>
      <w:lvlText w:val=""/>
      <w:lvlJc w:val="left"/>
      <w:pPr>
        <w:tabs>
          <w:tab w:val="num" w:pos="5040"/>
        </w:tabs>
        <w:ind w:left="5040" w:hanging="360"/>
      </w:pPr>
      <w:rPr>
        <w:rFonts w:ascii="Wingdings" w:hAnsi="Wingdings" w:hint="default"/>
      </w:rPr>
    </w:lvl>
    <w:lvl w:ilvl="7" w:tplc="44CE28D2" w:tentative="1">
      <w:start w:val="1"/>
      <w:numFmt w:val="bullet"/>
      <w:lvlText w:val=""/>
      <w:lvlJc w:val="left"/>
      <w:pPr>
        <w:tabs>
          <w:tab w:val="num" w:pos="5760"/>
        </w:tabs>
        <w:ind w:left="5760" w:hanging="360"/>
      </w:pPr>
      <w:rPr>
        <w:rFonts w:ascii="Wingdings" w:hAnsi="Wingdings" w:hint="default"/>
      </w:rPr>
    </w:lvl>
    <w:lvl w:ilvl="8" w:tplc="7E76F5D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FC"/>
    <w:rsid w:val="00057492"/>
    <w:rsid w:val="000967A6"/>
    <w:rsid w:val="001141F3"/>
    <w:rsid w:val="001341CC"/>
    <w:rsid w:val="001B1EAB"/>
    <w:rsid w:val="001D0D8C"/>
    <w:rsid w:val="00276239"/>
    <w:rsid w:val="00295765"/>
    <w:rsid w:val="002B1812"/>
    <w:rsid w:val="002D78D4"/>
    <w:rsid w:val="0031174A"/>
    <w:rsid w:val="00347111"/>
    <w:rsid w:val="004048B0"/>
    <w:rsid w:val="0046423C"/>
    <w:rsid w:val="00560853"/>
    <w:rsid w:val="005D1F75"/>
    <w:rsid w:val="005D5A8B"/>
    <w:rsid w:val="006E114B"/>
    <w:rsid w:val="00703033"/>
    <w:rsid w:val="00721F72"/>
    <w:rsid w:val="00782A13"/>
    <w:rsid w:val="00872978"/>
    <w:rsid w:val="00943993"/>
    <w:rsid w:val="00954094"/>
    <w:rsid w:val="0096691F"/>
    <w:rsid w:val="009E3A36"/>
    <w:rsid w:val="009E5F0E"/>
    <w:rsid w:val="00A03792"/>
    <w:rsid w:val="00A21724"/>
    <w:rsid w:val="00A90B66"/>
    <w:rsid w:val="00AE0B9C"/>
    <w:rsid w:val="00B4026E"/>
    <w:rsid w:val="00B721E2"/>
    <w:rsid w:val="00B92E84"/>
    <w:rsid w:val="00BA0AD9"/>
    <w:rsid w:val="00C217D5"/>
    <w:rsid w:val="00C458A4"/>
    <w:rsid w:val="00C93F2B"/>
    <w:rsid w:val="00CB341D"/>
    <w:rsid w:val="00CE5B51"/>
    <w:rsid w:val="00D94F8C"/>
    <w:rsid w:val="00E23AD4"/>
    <w:rsid w:val="00EB03FC"/>
    <w:rsid w:val="00F82803"/>
    <w:rsid w:val="00FA1882"/>
    <w:rsid w:val="00FB17B4"/>
    <w:rsid w:val="00FE26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81F2"/>
  <w15:docId w15:val="{84F0A82E-8DF1-4361-9E96-3AADC33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3E"/>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character" w:customStyle="1" w:styleId="PuestoCar">
    <w:name w:val="Puesto Car"/>
    <w:link w:val="Puest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pPr>
      <w:spacing w:after="240" w:line="240" w:lineRule="auto"/>
    </w:pPr>
    <w:rPr>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34"/>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de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Puest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D5703E"/>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customStyle="1" w:styleId="a">
    <w:basedOn w:val="TableNormal"/>
    <w:pPr>
      <w:widowControl w:val="0"/>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4585">
      <w:bodyDiv w:val="1"/>
      <w:marLeft w:val="0"/>
      <w:marRight w:val="0"/>
      <w:marTop w:val="0"/>
      <w:marBottom w:val="0"/>
      <w:divBdr>
        <w:top w:val="none" w:sz="0" w:space="0" w:color="auto"/>
        <w:left w:val="none" w:sz="0" w:space="0" w:color="auto"/>
        <w:bottom w:val="none" w:sz="0" w:space="0" w:color="auto"/>
        <w:right w:val="none" w:sz="0" w:space="0" w:color="auto"/>
      </w:divBdr>
      <w:divsChild>
        <w:div w:id="1971589720">
          <w:marLeft w:val="1166"/>
          <w:marRight w:val="0"/>
          <w:marTop w:val="0"/>
          <w:marBottom w:val="0"/>
          <w:divBdr>
            <w:top w:val="none" w:sz="0" w:space="0" w:color="auto"/>
            <w:left w:val="none" w:sz="0" w:space="0" w:color="auto"/>
            <w:bottom w:val="none" w:sz="0" w:space="0" w:color="auto"/>
            <w:right w:val="none" w:sz="0" w:space="0" w:color="auto"/>
          </w:divBdr>
        </w:div>
        <w:div w:id="1900360304">
          <w:marLeft w:val="1166"/>
          <w:marRight w:val="0"/>
          <w:marTop w:val="0"/>
          <w:marBottom w:val="0"/>
          <w:divBdr>
            <w:top w:val="none" w:sz="0" w:space="0" w:color="auto"/>
            <w:left w:val="none" w:sz="0" w:space="0" w:color="auto"/>
            <w:bottom w:val="none" w:sz="0" w:space="0" w:color="auto"/>
            <w:right w:val="none" w:sz="0" w:space="0" w:color="auto"/>
          </w:divBdr>
        </w:div>
        <w:div w:id="567618254">
          <w:marLeft w:val="1166"/>
          <w:marRight w:val="0"/>
          <w:marTop w:val="0"/>
          <w:marBottom w:val="0"/>
          <w:divBdr>
            <w:top w:val="none" w:sz="0" w:space="0" w:color="auto"/>
            <w:left w:val="none" w:sz="0" w:space="0" w:color="auto"/>
            <w:bottom w:val="none" w:sz="0" w:space="0" w:color="auto"/>
            <w:right w:val="none" w:sz="0" w:space="0" w:color="auto"/>
          </w:divBdr>
        </w:div>
        <w:div w:id="145633814">
          <w:marLeft w:val="1166"/>
          <w:marRight w:val="0"/>
          <w:marTop w:val="0"/>
          <w:marBottom w:val="0"/>
          <w:divBdr>
            <w:top w:val="none" w:sz="0" w:space="0" w:color="auto"/>
            <w:left w:val="none" w:sz="0" w:space="0" w:color="auto"/>
            <w:bottom w:val="none" w:sz="0" w:space="0" w:color="auto"/>
            <w:right w:val="none" w:sz="0" w:space="0" w:color="auto"/>
          </w:divBdr>
        </w:div>
      </w:divsChild>
    </w:div>
    <w:div w:id="166094235">
      <w:bodyDiv w:val="1"/>
      <w:marLeft w:val="0"/>
      <w:marRight w:val="0"/>
      <w:marTop w:val="0"/>
      <w:marBottom w:val="0"/>
      <w:divBdr>
        <w:top w:val="none" w:sz="0" w:space="0" w:color="auto"/>
        <w:left w:val="none" w:sz="0" w:space="0" w:color="auto"/>
        <w:bottom w:val="none" w:sz="0" w:space="0" w:color="auto"/>
        <w:right w:val="none" w:sz="0" w:space="0" w:color="auto"/>
      </w:divBdr>
    </w:div>
    <w:div w:id="411320125">
      <w:bodyDiv w:val="1"/>
      <w:marLeft w:val="0"/>
      <w:marRight w:val="0"/>
      <w:marTop w:val="0"/>
      <w:marBottom w:val="0"/>
      <w:divBdr>
        <w:top w:val="none" w:sz="0" w:space="0" w:color="auto"/>
        <w:left w:val="none" w:sz="0" w:space="0" w:color="auto"/>
        <w:bottom w:val="none" w:sz="0" w:space="0" w:color="auto"/>
        <w:right w:val="none" w:sz="0" w:space="0" w:color="auto"/>
      </w:divBdr>
      <w:divsChild>
        <w:div w:id="1362364760">
          <w:marLeft w:val="360"/>
          <w:marRight w:val="0"/>
          <w:marTop w:val="200"/>
          <w:marBottom w:val="0"/>
          <w:divBdr>
            <w:top w:val="none" w:sz="0" w:space="0" w:color="auto"/>
            <w:left w:val="none" w:sz="0" w:space="0" w:color="auto"/>
            <w:bottom w:val="none" w:sz="0" w:space="0" w:color="auto"/>
            <w:right w:val="none" w:sz="0" w:space="0" w:color="auto"/>
          </w:divBdr>
        </w:div>
        <w:div w:id="271672175">
          <w:marLeft w:val="1080"/>
          <w:marRight w:val="0"/>
          <w:marTop w:val="100"/>
          <w:marBottom w:val="0"/>
          <w:divBdr>
            <w:top w:val="none" w:sz="0" w:space="0" w:color="auto"/>
            <w:left w:val="none" w:sz="0" w:space="0" w:color="auto"/>
            <w:bottom w:val="none" w:sz="0" w:space="0" w:color="auto"/>
            <w:right w:val="none" w:sz="0" w:space="0" w:color="auto"/>
          </w:divBdr>
        </w:div>
        <w:div w:id="204484906">
          <w:marLeft w:val="1080"/>
          <w:marRight w:val="0"/>
          <w:marTop w:val="100"/>
          <w:marBottom w:val="0"/>
          <w:divBdr>
            <w:top w:val="none" w:sz="0" w:space="0" w:color="auto"/>
            <w:left w:val="none" w:sz="0" w:space="0" w:color="auto"/>
            <w:bottom w:val="none" w:sz="0" w:space="0" w:color="auto"/>
            <w:right w:val="none" w:sz="0" w:space="0" w:color="auto"/>
          </w:divBdr>
        </w:div>
        <w:div w:id="1688017589">
          <w:marLeft w:val="1080"/>
          <w:marRight w:val="0"/>
          <w:marTop w:val="100"/>
          <w:marBottom w:val="0"/>
          <w:divBdr>
            <w:top w:val="none" w:sz="0" w:space="0" w:color="auto"/>
            <w:left w:val="none" w:sz="0" w:space="0" w:color="auto"/>
            <w:bottom w:val="none" w:sz="0" w:space="0" w:color="auto"/>
            <w:right w:val="none" w:sz="0" w:space="0" w:color="auto"/>
          </w:divBdr>
        </w:div>
      </w:divsChild>
    </w:div>
    <w:div w:id="453912291">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9">
          <w:marLeft w:val="446"/>
          <w:marRight w:val="0"/>
          <w:marTop w:val="0"/>
          <w:marBottom w:val="0"/>
          <w:divBdr>
            <w:top w:val="none" w:sz="0" w:space="0" w:color="auto"/>
            <w:left w:val="none" w:sz="0" w:space="0" w:color="auto"/>
            <w:bottom w:val="none" w:sz="0" w:space="0" w:color="auto"/>
            <w:right w:val="none" w:sz="0" w:space="0" w:color="auto"/>
          </w:divBdr>
        </w:div>
        <w:div w:id="1757020441">
          <w:marLeft w:val="446"/>
          <w:marRight w:val="0"/>
          <w:marTop w:val="0"/>
          <w:marBottom w:val="0"/>
          <w:divBdr>
            <w:top w:val="none" w:sz="0" w:space="0" w:color="auto"/>
            <w:left w:val="none" w:sz="0" w:space="0" w:color="auto"/>
            <w:bottom w:val="none" w:sz="0" w:space="0" w:color="auto"/>
            <w:right w:val="none" w:sz="0" w:space="0" w:color="auto"/>
          </w:divBdr>
        </w:div>
      </w:divsChild>
    </w:div>
    <w:div w:id="463734488">
      <w:bodyDiv w:val="1"/>
      <w:marLeft w:val="0"/>
      <w:marRight w:val="0"/>
      <w:marTop w:val="0"/>
      <w:marBottom w:val="0"/>
      <w:divBdr>
        <w:top w:val="none" w:sz="0" w:space="0" w:color="auto"/>
        <w:left w:val="none" w:sz="0" w:space="0" w:color="auto"/>
        <w:bottom w:val="none" w:sz="0" w:space="0" w:color="auto"/>
        <w:right w:val="none" w:sz="0" w:space="0" w:color="auto"/>
      </w:divBdr>
    </w:div>
    <w:div w:id="647713973">
      <w:bodyDiv w:val="1"/>
      <w:marLeft w:val="0"/>
      <w:marRight w:val="0"/>
      <w:marTop w:val="0"/>
      <w:marBottom w:val="0"/>
      <w:divBdr>
        <w:top w:val="none" w:sz="0" w:space="0" w:color="auto"/>
        <w:left w:val="none" w:sz="0" w:space="0" w:color="auto"/>
        <w:bottom w:val="none" w:sz="0" w:space="0" w:color="auto"/>
        <w:right w:val="none" w:sz="0" w:space="0" w:color="auto"/>
      </w:divBdr>
    </w:div>
    <w:div w:id="1068649710">
      <w:bodyDiv w:val="1"/>
      <w:marLeft w:val="0"/>
      <w:marRight w:val="0"/>
      <w:marTop w:val="0"/>
      <w:marBottom w:val="0"/>
      <w:divBdr>
        <w:top w:val="none" w:sz="0" w:space="0" w:color="auto"/>
        <w:left w:val="none" w:sz="0" w:space="0" w:color="auto"/>
        <w:bottom w:val="none" w:sz="0" w:space="0" w:color="auto"/>
        <w:right w:val="none" w:sz="0" w:space="0" w:color="auto"/>
      </w:divBdr>
      <w:divsChild>
        <w:div w:id="1415324943">
          <w:marLeft w:val="446"/>
          <w:marRight w:val="0"/>
          <w:marTop w:val="0"/>
          <w:marBottom w:val="0"/>
          <w:divBdr>
            <w:top w:val="none" w:sz="0" w:space="0" w:color="auto"/>
            <w:left w:val="none" w:sz="0" w:space="0" w:color="auto"/>
            <w:bottom w:val="none" w:sz="0" w:space="0" w:color="auto"/>
            <w:right w:val="none" w:sz="0" w:space="0" w:color="auto"/>
          </w:divBdr>
        </w:div>
        <w:div w:id="1729185995">
          <w:marLeft w:val="446"/>
          <w:marRight w:val="0"/>
          <w:marTop w:val="0"/>
          <w:marBottom w:val="0"/>
          <w:divBdr>
            <w:top w:val="none" w:sz="0" w:space="0" w:color="auto"/>
            <w:left w:val="none" w:sz="0" w:space="0" w:color="auto"/>
            <w:bottom w:val="none" w:sz="0" w:space="0" w:color="auto"/>
            <w:right w:val="none" w:sz="0" w:space="0" w:color="auto"/>
          </w:divBdr>
        </w:div>
        <w:div w:id="1733039997">
          <w:marLeft w:val="446"/>
          <w:marRight w:val="0"/>
          <w:marTop w:val="0"/>
          <w:marBottom w:val="0"/>
          <w:divBdr>
            <w:top w:val="none" w:sz="0" w:space="0" w:color="auto"/>
            <w:left w:val="none" w:sz="0" w:space="0" w:color="auto"/>
            <w:bottom w:val="none" w:sz="0" w:space="0" w:color="auto"/>
            <w:right w:val="none" w:sz="0" w:space="0" w:color="auto"/>
          </w:divBdr>
        </w:div>
        <w:div w:id="1379165376">
          <w:marLeft w:val="446"/>
          <w:marRight w:val="0"/>
          <w:marTop w:val="0"/>
          <w:marBottom w:val="0"/>
          <w:divBdr>
            <w:top w:val="none" w:sz="0" w:space="0" w:color="auto"/>
            <w:left w:val="none" w:sz="0" w:space="0" w:color="auto"/>
            <w:bottom w:val="none" w:sz="0" w:space="0" w:color="auto"/>
            <w:right w:val="none" w:sz="0" w:space="0" w:color="auto"/>
          </w:divBdr>
        </w:div>
      </w:divsChild>
    </w:div>
    <w:div w:id="1089231253">
      <w:bodyDiv w:val="1"/>
      <w:marLeft w:val="0"/>
      <w:marRight w:val="0"/>
      <w:marTop w:val="0"/>
      <w:marBottom w:val="0"/>
      <w:divBdr>
        <w:top w:val="none" w:sz="0" w:space="0" w:color="auto"/>
        <w:left w:val="none" w:sz="0" w:space="0" w:color="auto"/>
        <w:bottom w:val="none" w:sz="0" w:space="0" w:color="auto"/>
        <w:right w:val="none" w:sz="0" w:space="0" w:color="auto"/>
      </w:divBdr>
    </w:div>
    <w:div w:id="1141313353">
      <w:bodyDiv w:val="1"/>
      <w:marLeft w:val="0"/>
      <w:marRight w:val="0"/>
      <w:marTop w:val="0"/>
      <w:marBottom w:val="0"/>
      <w:divBdr>
        <w:top w:val="none" w:sz="0" w:space="0" w:color="auto"/>
        <w:left w:val="none" w:sz="0" w:space="0" w:color="auto"/>
        <w:bottom w:val="none" w:sz="0" w:space="0" w:color="auto"/>
        <w:right w:val="none" w:sz="0" w:space="0" w:color="auto"/>
      </w:divBdr>
      <w:divsChild>
        <w:div w:id="1176503515">
          <w:marLeft w:val="547"/>
          <w:marRight w:val="0"/>
          <w:marTop w:val="0"/>
          <w:marBottom w:val="0"/>
          <w:divBdr>
            <w:top w:val="none" w:sz="0" w:space="0" w:color="auto"/>
            <w:left w:val="none" w:sz="0" w:space="0" w:color="auto"/>
            <w:bottom w:val="none" w:sz="0" w:space="0" w:color="auto"/>
            <w:right w:val="none" w:sz="0" w:space="0" w:color="auto"/>
          </w:divBdr>
        </w:div>
      </w:divsChild>
    </w:div>
    <w:div w:id="1214776848">
      <w:bodyDiv w:val="1"/>
      <w:marLeft w:val="0"/>
      <w:marRight w:val="0"/>
      <w:marTop w:val="0"/>
      <w:marBottom w:val="0"/>
      <w:divBdr>
        <w:top w:val="none" w:sz="0" w:space="0" w:color="auto"/>
        <w:left w:val="none" w:sz="0" w:space="0" w:color="auto"/>
        <w:bottom w:val="none" w:sz="0" w:space="0" w:color="auto"/>
        <w:right w:val="none" w:sz="0" w:space="0" w:color="auto"/>
      </w:divBdr>
    </w:div>
    <w:div w:id="1314142320">
      <w:bodyDiv w:val="1"/>
      <w:marLeft w:val="0"/>
      <w:marRight w:val="0"/>
      <w:marTop w:val="0"/>
      <w:marBottom w:val="0"/>
      <w:divBdr>
        <w:top w:val="none" w:sz="0" w:space="0" w:color="auto"/>
        <w:left w:val="none" w:sz="0" w:space="0" w:color="auto"/>
        <w:bottom w:val="none" w:sz="0" w:space="0" w:color="auto"/>
        <w:right w:val="none" w:sz="0" w:space="0" w:color="auto"/>
      </w:divBdr>
    </w:div>
    <w:div w:id="1441952133">
      <w:bodyDiv w:val="1"/>
      <w:marLeft w:val="0"/>
      <w:marRight w:val="0"/>
      <w:marTop w:val="0"/>
      <w:marBottom w:val="0"/>
      <w:divBdr>
        <w:top w:val="none" w:sz="0" w:space="0" w:color="auto"/>
        <w:left w:val="none" w:sz="0" w:space="0" w:color="auto"/>
        <w:bottom w:val="none" w:sz="0" w:space="0" w:color="auto"/>
        <w:right w:val="none" w:sz="0" w:space="0" w:color="auto"/>
      </w:divBdr>
      <w:divsChild>
        <w:div w:id="983437845">
          <w:marLeft w:val="446"/>
          <w:marRight w:val="0"/>
          <w:marTop w:val="0"/>
          <w:marBottom w:val="0"/>
          <w:divBdr>
            <w:top w:val="none" w:sz="0" w:space="0" w:color="auto"/>
            <w:left w:val="none" w:sz="0" w:space="0" w:color="auto"/>
            <w:bottom w:val="none" w:sz="0" w:space="0" w:color="auto"/>
            <w:right w:val="none" w:sz="0" w:space="0" w:color="auto"/>
          </w:divBdr>
        </w:div>
        <w:div w:id="2087484391">
          <w:marLeft w:val="446"/>
          <w:marRight w:val="0"/>
          <w:marTop w:val="0"/>
          <w:marBottom w:val="0"/>
          <w:divBdr>
            <w:top w:val="none" w:sz="0" w:space="0" w:color="auto"/>
            <w:left w:val="none" w:sz="0" w:space="0" w:color="auto"/>
            <w:bottom w:val="none" w:sz="0" w:space="0" w:color="auto"/>
            <w:right w:val="none" w:sz="0" w:space="0" w:color="auto"/>
          </w:divBdr>
        </w:div>
        <w:div w:id="28995814">
          <w:marLeft w:val="446"/>
          <w:marRight w:val="0"/>
          <w:marTop w:val="0"/>
          <w:marBottom w:val="0"/>
          <w:divBdr>
            <w:top w:val="none" w:sz="0" w:space="0" w:color="auto"/>
            <w:left w:val="none" w:sz="0" w:space="0" w:color="auto"/>
            <w:bottom w:val="none" w:sz="0" w:space="0" w:color="auto"/>
            <w:right w:val="none" w:sz="0" w:space="0" w:color="auto"/>
          </w:divBdr>
        </w:div>
      </w:divsChild>
    </w:div>
    <w:div w:id="1471551550">
      <w:bodyDiv w:val="1"/>
      <w:marLeft w:val="0"/>
      <w:marRight w:val="0"/>
      <w:marTop w:val="0"/>
      <w:marBottom w:val="0"/>
      <w:divBdr>
        <w:top w:val="none" w:sz="0" w:space="0" w:color="auto"/>
        <w:left w:val="none" w:sz="0" w:space="0" w:color="auto"/>
        <w:bottom w:val="none" w:sz="0" w:space="0" w:color="auto"/>
        <w:right w:val="none" w:sz="0" w:space="0" w:color="auto"/>
      </w:divBdr>
      <w:divsChild>
        <w:div w:id="1742487659">
          <w:marLeft w:val="547"/>
          <w:marRight w:val="0"/>
          <w:marTop w:val="0"/>
          <w:marBottom w:val="0"/>
          <w:divBdr>
            <w:top w:val="none" w:sz="0" w:space="0" w:color="auto"/>
            <w:left w:val="none" w:sz="0" w:space="0" w:color="auto"/>
            <w:bottom w:val="none" w:sz="0" w:space="0" w:color="auto"/>
            <w:right w:val="none" w:sz="0" w:space="0" w:color="auto"/>
          </w:divBdr>
        </w:div>
      </w:divsChild>
    </w:div>
    <w:div w:id="1898011401">
      <w:bodyDiv w:val="1"/>
      <w:marLeft w:val="0"/>
      <w:marRight w:val="0"/>
      <w:marTop w:val="0"/>
      <w:marBottom w:val="0"/>
      <w:divBdr>
        <w:top w:val="none" w:sz="0" w:space="0" w:color="auto"/>
        <w:left w:val="none" w:sz="0" w:space="0" w:color="auto"/>
        <w:bottom w:val="none" w:sz="0" w:space="0" w:color="auto"/>
        <w:right w:val="none" w:sz="0" w:space="0" w:color="auto"/>
      </w:divBdr>
      <w:divsChild>
        <w:div w:id="1744989915">
          <w:marLeft w:val="547"/>
          <w:marRight w:val="0"/>
          <w:marTop w:val="0"/>
          <w:marBottom w:val="160"/>
          <w:divBdr>
            <w:top w:val="none" w:sz="0" w:space="0" w:color="auto"/>
            <w:left w:val="none" w:sz="0" w:space="0" w:color="auto"/>
            <w:bottom w:val="none" w:sz="0" w:space="0" w:color="auto"/>
            <w:right w:val="none" w:sz="0" w:space="0" w:color="auto"/>
          </w:divBdr>
        </w:div>
        <w:div w:id="818379792">
          <w:marLeft w:val="547"/>
          <w:marRight w:val="0"/>
          <w:marTop w:val="0"/>
          <w:marBottom w:val="160"/>
          <w:divBdr>
            <w:top w:val="none" w:sz="0" w:space="0" w:color="auto"/>
            <w:left w:val="none" w:sz="0" w:space="0" w:color="auto"/>
            <w:bottom w:val="none" w:sz="0" w:space="0" w:color="auto"/>
            <w:right w:val="none" w:sz="0" w:space="0" w:color="auto"/>
          </w:divBdr>
        </w:div>
        <w:div w:id="99185144">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EzHar1OuiA+A7fkyY9BdaTNgw==">AMUW2mWt403YXLReqddhraIPNuImsZlt6D08CJHhBMiRoT3GZVhD+RaZEnleGYLu6AgaHnbzzmMT1wYvGNaMwD2buBEdC92nmHt4LVBtwpG+TzwXaY40XXnf85uOsnH8/JxE/ka3Fw/tT5VXM4eyf0DSYPPBJB56VKMrwBbS4NtpuH6D+iBymmZknp/CDlscP64nFnPX49IdICq/TFWmB16YBjF0ucU+x/DcX1XcGUt88eXSwue6jVcErcBY0zLXbajlXw75peOoFtbSPxPKyNH7yJcGNWTqJ48QYuDshULV6cZnmD3KvoQ3FGFt8Cn1uarmIPkUVy7+gvEpyIMyB+6tHC1fI62VFKnFMd7sVu426kJUhVU2mc+1/divAREbhnNrB9pil3F7GzuPm2a0JiPh8kP+Pl9v7cNotlOvFI6xi7TVjU13tl6TUqe6+nk8nM/OuAHHuvHXhNbGP/Jf5xEwhJzrk1fN5/4yCrdne+1nfp7VpQ0TcYdn6n6bUzX1CPRe8JYRwO34KMVyufKDANM7gZEL60uVv4v9MWO1wHLaPjT66VXkuJH51mDUtJT9F4mIIMIjmd9q3y3KXva8HubNhjR/5PBoC67jIpwclbn3GXMxunw6oss/XAi38Wbl3fmo/azB2nffG0C6I3nOVKLG+VBZhYO/LpypZs1cnJo8iylnh/rUJjLOddVzqwFpYhpOr8G7fWO9o4RAv/48ahL/1LrW+Q5TSLnedzg8udRdX8oqwn0wXbAYnjyV6Zq1afoAIDnxSx0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Nacional de Salud</dc:creator>
  <cp:lastModifiedBy>Alejandra del Pilar Diaz Gomez</cp:lastModifiedBy>
  <cp:revision>17</cp:revision>
  <dcterms:created xsi:type="dcterms:W3CDTF">2022-08-05T02:44:00Z</dcterms:created>
  <dcterms:modified xsi:type="dcterms:W3CDTF">2022-08-17T17:20:00Z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