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EA3C2B" w14:textId="3DCF869B" w:rsidR="00A22075" w:rsidRDefault="00A22075" w:rsidP="00A22075">
      <w:pPr>
        <w:spacing w:line="240" w:lineRule="auto"/>
        <w:jc w:val="center"/>
        <w:rPr>
          <w:rFonts w:ascii="Arial" w:eastAsia="Arial" w:hAnsi="Arial" w:cs="Arial"/>
          <w:b/>
          <w:bCs/>
          <w:color w:val="1F4E79"/>
          <w:sz w:val="36"/>
          <w:szCs w:val="36"/>
        </w:rPr>
      </w:pPr>
      <w:r>
        <w:rPr>
          <w:rFonts w:ascii="Arial" w:eastAsia="Arial" w:hAnsi="Arial" w:cs="Arial"/>
          <w:b/>
          <w:bCs/>
          <w:color w:val="1F4E79"/>
          <w:sz w:val="36"/>
          <w:szCs w:val="36"/>
        </w:rPr>
        <w:t>Vigilancia Intensificada</w:t>
      </w:r>
    </w:p>
    <w:p w14:paraId="0512E8A2" w14:textId="0A06DD5A" w:rsidR="00A22075" w:rsidRPr="00FA1882" w:rsidRDefault="00A22075" w:rsidP="00A22075">
      <w:pPr>
        <w:spacing w:line="240" w:lineRule="auto"/>
        <w:jc w:val="both"/>
        <w:rPr>
          <w:rFonts w:ascii="Arial" w:eastAsia="Arial" w:hAnsi="Arial" w:cs="Arial"/>
          <w:b/>
          <w:color w:val="1F4E79"/>
          <w:sz w:val="36"/>
          <w:szCs w:val="36"/>
        </w:rPr>
      </w:pPr>
      <w:r w:rsidRPr="00FA1882">
        <w:rPr>
          <w:rFonts w:ascii="Arial" w:eastAsia="Arial" w:hAnsi="Arial" w:cs="Arial"/>
          <w:b/>
          <w:color w:val="1F4E79"/>
          <w:sz w:val="36"/>
          <w:szCs w:val="36"/>
        </w:rPr>
        <w:t xml:space="preserve">Unidad </w:t>
      </w:r>
      <w:r>
        <w:rPr>
          <w:rFonts w:ascii="Arial" w:eastAsia="Arial" w:hAnsi="Arial" w:cs="Arial"/>
          <w:b/>
          <w:color w:val="1F4E79"/>
          <w:sz w:val="36"/>
          <w:szCs w:val="36"/>
        </w:rPr>
        <w:t>4</w:t>
      </w:r>
    </w:p>
    <w:p w14:paraId="3CB9E769" w14:textId="77777777" w:rsidR="006E09DA" w:rsidRPr="003050CE" w:rsidRDefault="006E09DA" w:rsidP="006E09DA">
      <w:pPr>
        <w:jc w:val="both"/>
        <w:rPr>
          <w:rFonts w:ascii="Arial" w:hAnsi="Arial" w:cs="Arial"/>
          <w:sz w:val="24"/>
          <w:szCs w:val="24"/>
        </w:rPr>
      </w:pPr>
      <w:bookmarkStart w:id="0" w:name="_Hlk111204323"/>
      <w:r w:rsidRPr="003050CE">
        <w:rPr>
          <w:rStyle w:val="A8"/>
          <w:rFonts w:ascii="Arial" w:hAnsi="Arial" w:cs="Arial"/>
          <w:b/>
          <w:bCs/>
          <w:color w:val="1F4E79"/>
          <w:sz w:val="24"/>
          <w:szCs w:val="24"/>
        </w:rPr>
        <w:t>Diapositiva 1</w:t>
      </w:r>
    </w:p>
    <w:p w14:paraId="42EF751C" w14:textId="77777777" w:rsidR="006E09DA" w:rsidRPr="003050CE" w:rsidRDefault="006E09DA" w:rsidP="006E09DA">
      <w:pPr>
        <w:spacing w:after="0" w:line="276" w:lineRule="auto"/>
        <w:jc w:val="both"/>
        <w:rPr>
          <w:rFonts w:ascii="Arial" w:hAnsi="Arial" w:cs="Arial"/>
          <w:color w:val="000000"/>
          <w:sz w:val="24"/>
          <w:szCs w:val="24"/>
        </w:rPr>
      </w:pPr>
      <w:bookmarkStart w:id="1" w:name="_Hlk111202261"/>
      <w:r w:rsidRPr="003050CE">
        <w:rPr>
          <w:rFonts w:ascii="Arial" w:hAnsi="Arial" w:cs="Arial"/>
          <w:color w:val="000000"/>
          <w:sz w:val="24"/>
          <w:szCs w:val="24"/>
        </w:rPr>
        <w:t>Curso Virtual de la vigilancia epidemiológica de las Intoxicaciones agudas por sustancias químicas</w:t>
      </w:r>
    </w:p>
    <w:p w14:paraId="7D5DD734" w14:textId="5D029D81" w:rsidR="006E09DA" w:rsidRPr="003050CE" w:rsidRDefault="002A3BCA" w:rsidP="006E09DA">
      <w:pPr>
        <w:spacing w:after="0" w:line="276" w:lineRule="auto"/>
        <w:jc w:val="both"/>
        <w:rPr>
          <w:rFonts w:ascii="Arial" w:hAnsi="Arial" w:cs="Arial"/>
          <w:color w:val="000000"/>
          <w:sz w:val="24"/>
          <w:szCs w:val="24"/>
          <w:lang w:val="es-MX"/>
        </w:rPr>
      </w:pPr>
      <w:r w:rsidRPr="002A3BCA">
        <w:rPr>
          <w:rFonts w:ascii="Arial" w:hAnsi="Arial" w:cs="Arial"/>
          <w:color w:val="000000"/>
          <w:sz w:val="24"/>
          <w:szCs w:val="24"/>
        </w:rPr>
        <w:t>Vigilancia Intensificada</w:t>
      </w:r>
      <w:bookmarkStart w:id="2" w:name="_GoBack"/>
      <w:bookmarkEnd w:id="2"/>
    </w:p>
    <w:bookmarkEnd w:id="0"/>
    <w:bookmarkEnd w:id="1"/>
    <w:p w14:paraId="160AF085" w14:textId="77777777" w:rsidR="006E09DA" w:rsidRDefault="006E09DA" w:rsidP="00616495">
      <w:pPr>
        <w:jc w:val="both"/>
        <w:rPr>
          <w:rFonts w:ascii="Arial" w:hAnsi="Arial" w:cs="Arial"/>
          <w:b/>
          <w:bCs/>
          <w:color w:val="1F4E79"/>
          <w:sz w:val="36"/>
          <w:szCs w:val="36"/>
        </w:rPr>
      </w:pPr>
    </w:p>
    <w:p w14:paraId="573CFDA2" w14:textId="2D6BA7A3" w:rsidR="00332255" w:rsidRPr="00B2249D" w:rsidRDefault="00332255" w:rsidP="00616495">
      <w:pPr>
        <w:jc w:val="both"/>
        <w:rPr>
          <w:rFonts w:ascii="Arial" w:hAnsi="Arial" w:cs="Arial"/>
          <w:b/>
          <w:bCs/>
          <w:color w:val="1F4E79"/>
          <w:sz w:val="36"/>
          <w:szCs w:val="36"/>
        </w:rPr>
      </w:pPr>
      <w:r w:rsidRPr="00B2249D">
        <w:rPr>
          <w:rFonts w:ascii="Arial" w:hAnsi="Arial" w:cs="Arial"/>
          <w:b/>
          <w:bCs/>
          <w:color w:val="1F4E79"/>
          <w:sz w:val="36"/>
          <w:szCs w:val="36"/>
        </w:rPr>
        <w:t xml:space="preserve">Diapositiva </w:t>
      </w:r>
      <w:r w:rsidR="00B2249D">
        <w:rPr>
          <w:rFonts w:ascii="Arial" w:hAnsi="Arial" w:cs="Arial"/>
          <w:b/>
          <w:bCs/>
          <w:color w:val="1F4E79"/>
          <w:sz w:val="36"/>
          <w:szCs w:val="36"/>
        </w:rPr>
        <w:t>2</w:t>
      </w:r>
      <w:r w:rsidRPr="00B2249D">
        <w:rPr>
          <w:rFonts w:ascii="Arial" w:hAnsi="Arial" w:cs="Arial"/>
          <w:b/>
          <w:bCs/>
          <w:color w:val="1F4E79"/>
          <w:sz w:val="36"/>
          <w:szCs w:val="36"/>
        </w:rPr>
        <w:t>. Vigilancia Intensificada</w:t>
      </w:r>
    </w:p>
    <w:p w14:paraId="7B67D84A" w14:textId="1D51D2D8" w:rsidR="00332255" w:rsidRDefault="0053670E" w:rsidP="00616495">
      <w:pPr>
        <w:jc w:val="both"/>
        <w:rPr>
          <w:rFonts w:ascii="Arial" w:hAnsi="Arial" w:cs="Arial"/>
        </w:rPr>
      </w:pPr>
      <w:r>
        <w:rPr>
          <w:rFonts w:ascii="Arial" w:hAnsi="Arial" w:cs="Arial"/>
        </w:rPr>
        <w:t xml:space="preserve">Para finalizar este curso, es necesario </w:t>
      </w:r>
      <w:r w:rsidRPr="0053670E">
        <w:rPr>
          <w:rFonts w:ascii="Arial" w:hAnsi="Arial" w:cs="Arial"/>
        </w:rPr>
        <w:t>Identificar la metodología de la vigilancia de las intoxicaciones por sustancias químicas durante la temporada de la vigilancia intensificada.</w:t>
      </w:r>
    </w:p>
    <w:p w14:paraId="6712666F" w14:textId="24C26936" w:rsidR="0053670E" w:rsidRDefault="0053670E" w:rsidP="00616495">
      <w:pPr>
        <w:jc w:val="both"/>
        <w:rPr>
          <w:rFonts w:ascii="Arial" w:hAnsi="Arial" w:cs="Arial"/>
        </w:rPr>
      </w:pPr>
      <w:r>
        <w:rPr>
          <w:rFonts w:ascii="Arial" w:hAnsi="Arial" w:cs="Arial"/>
        </w:rPr>
        <w:t>Es decir, intoxicaciones que se presenten por metanol asociado a bebida alcohólica adulterada y por fósforo blanco asociadas a artefactos pirotécnicos y de forma accidental.</w:t>
      </w:r>
    </w:p>
    <w:p w14:paraId="17FBAD44" w14:textId="77777777" w:rsidR="0053670E" w:rsidRPr="0053670E" w:rsidRDefault="0053670E" w:rsidP="00616495">
      <w:pPr>
        <w:jc w:val="both"/>
        <w:rPr>
          <w:rFonts w:ascii="Arial" w:hAnsi="Arial" w:cs="Arial"/>
        </w:rPr>
      </w:pPr>
    </w:p>
    <w:p w14:paraId="2F9EFCCD" w14:textId="619BF7DE" w:rsidR="00A03660" w:rsidRPr="00B2249D" w:rsidRDefault="00A03660" w:rsidP="00616495">
      <w:pPr>
        <w:jc w:val="both"/>
        <w:rPr>
          <w:rFonts w:ascii="Arial" w:hAnsi="Arial" w:cs="Arial"/>
          <w:b/>
          <w:bCs/>
          <w:color w:val="1F4E79"/>
          <w:sz w:val="36"/>
          <w:szCs w:val="36"/>
        </w:rPr>
      </w:pPr>
      <w:r w:rsidRPr="00B2249D">
        <w:rPr>
          <w:rFonts w:ascii="Arial" w:hAnsi="Arial" w:cs="Arial"/>
          <w:b/>
          <w:bCs/>
          <w:color w:val="1F4E79"/>
          <w:sz w:val="36"/>
          <w:szCs w:val="36"/>
        </w:rPr>
        <w:t xml:space="preserve">Diapositiva </w:t>
      </w:r>
      <w:r w:rsidR="00B2249D">
        <w:rPr>
          <w:rFonts w:ascii="Arial" w:hAnsi="Arial" w:cs="Arial"/>
          <w:b/>
          <w:bCs/>
          <w:color w:val="1F4E79"/>
          <w:sz w:val="36"/>
          <w:szCs w:val="36"/>
        </w:rPr>
        <w:t>3</w:t>
      </w:r>
      <w:r w:rsidRPr="00B2249D">
        <w:rPr>
          <w:rFonts w:ascii="Arial" w:hAnsi="Arial" w:cs="Arial"/>
          <w:b/>
          <w:bCs/>
          <w:color w:val="1F4E79"/>
          <w:sz w:val="36"/>
          <w:szCs w:val="36"/>
        </w:rPr>
        <w:t>. Introducción</w:t>
      </w:r>
    </w:p>
    <w:p w14:paraId="331133EE" w14:textId="2F44C99B" w:rsidR="005E7777" w:rsidRDefault="00BA7B03" w:rsidP="00616495">
      <w:pPr>
        <w:jc w:val="both"/>
        <w:rPr>
          <w:rFonts w:ascii="Arial" w:hAnsi="Arial" w:cs="Arial"/>
          <w:lang w:val="es-MX"/>
        </w:rPr>
      </w:pPr>
      <w:r w:rsidRPr="00A03660">
        <w:rPr>
          <w:rFonts w:ascii="Arial" w:hAnsi="Arial" w:cs="Arial"/>
        </w:rPr>
        <w:t>La v</w:t>
      </w:r>
      <w:r w:rsidR="00F80827" w:rsidRPr="00A03660">
        <w:rPr>
          <w:rFonts w:ascii="Arial" w:hAnsi="Arial" w:cs="Arial"/>
        </w:rPr>
        <w:t>igilancia Intensificada</w:t>
      </w:r>
      <w:r w:rsidRPr="00A03660">
        <w:rPr>
          <w:rFonts w:ascii="Arial" w:hAnsi="Arial" w:cs="Arial"/>
        </w:rPr>
        <w:t xml:space="preserve"> c</w:t>
      </w:r>
      <w:r w:rsidR="00F80827" w:rsidRPr="00A03660">
        <w:rPr>
          <w:rFonts w:ascii="Arial" w:hAnsi="Arial" w:cs="Arial"/>
        </w:rPr>
        <w:t>orresponde a una de las estrategias en salud pública</w:t>
      </w:r>
      <w:r w:rsidR="005E7777" w:rsidRPr="00A03660">
        <w:rPr>
          <w:rFonts w:ascii="Arial" w:hAnsi="Arial" w:cs="Arial"/>
        </w:rPr>
        <w:t xml:space="preserve"> que </w:t>
      </w:r>
      <w:r w:rsidR="005E7777" w:rsidRPr="00A03660">
        <w:rPr>
          <w:rFonts w:ascii="Arial" w:hAnsi="Arial" w:cs="Arial"/>
          <w:lang w:val="es-MX"/>
        </w:rPr>
        <w:t xml:space="preserve">implica la investigación exhaustiva de cada caso de enfermedad o evento en salud y </w:t>
      </w:r>
      <w:r w:rsidRPr="00A03660">
        <w:rPr>
          <w:rFonts w:ascii="Arial" w:hAnsi="Arial" w:cs="Arial"/>
          <w:lang w:val="es-MX"/>
        </w:rPr>
        <w:t xml:space="preserve">que </w:t>
      </w:r>
      <w:r w:rsidR="005E7777" w:rsidRPr="00A03660">
        <w:rPr>
          <w:rFonts w:ascii="Arial" w:hAnsi="Arial" w:cs="Arial"/>
          <w:lang w:val="es-MX"/>
        </w:rPr>
        <w:t xml:space="preserve">por su trascendencia o gravedad requiere de recursos especializados. Así mismo, </w:t>
      </w:r>
      <w:r w:rsidR="005E7777" w:rsidRPr="005E7777">
        <w:rPr>
          <w:rFonts w:ascii="Arial" w:hAnsi="Arial" w:cs="Arial"/>
          <w:lang w:val="es-MX"/>
        </w:rPr>
        <w:t xml:space="preserve">los organismos, instituciones, funcionarios y la comunidad </w:t>
      </w:r>
      <w:r w:rsidR="005E7777" w:rsidRPr="00A03660">
        <w:rPr>
          <w:rFonts w:ascii="Arial" w:hAnsi="Arial" w:cs="Arial"/>
          <w:lang w:val="es-MX"/>
        </w:rPr>
        <w:t>participan en la detección</w:t>
      </w:r>
      <w:r w:rsidR="005E7777" w:rsidRPr="005E7777">
        <w:rPr>
          <w:rFonts w:ascii="Arial" w:hAnsi="Arial" w:cs="Arial"/>
          <w:lang w:val="es-MX"/>
        </w:rPr>
        <w:t xml:space="preserve"> de casos, </w:t>
      </w:r>
      <w:r w:rsidR="005E7777" w:rsidRPr="00A03660">
        <w:rPr>
          <w:rFonts w:ascii="Arial" w:hAnsi="Arial" w:cs="Arial"/>
          <w:lang w:val="es-MX"/>
        </w:rPr>
        <w:t>lo</w:t>
      </w:r>
      <w:r w:rsidR="005E7777" w:rsidRPr="005E7777">
        <w:rPr>
          <w:rFonts w:ascii="Arial" w:hAnsi="Arial" w:cs="Arial"/>
          <w:lang w:val="es-MX"/>
        </w:rPr>
        <w:t xml:space="preserve"> que permite </w:t>
      </w:r>
      <w:r w:rsidR="005E7777" w:rsidRPr="00A03660">
        <w:rPr>
          <w:rFonts w:ascii="Arial" w:hAnsi="Arial" w:cs="Arial"/>
          <w:lang w:val="es-MX"/>
        </w:rPr>
        <w:t>descubrir</w:t>
      </w:r>
      <w:r w:rsidR="005E7777" w:rsidRPr="005E7777">
        <w:rPr>
          <w:rFonts w:ascii="Arial" w:hAnsi="Arial" w:cs="Arial"/>
          <w:lang w:val="es-MX"/>
        </w:rPr>
        <w:t xml:space="preserve"> los eventos precozmente o descartar aquellos que no </w:t>
      </w:r>
      <w:r w:rsidR="005E7777" w:rsidRPr="00A03660">
        <w:rPr>
          <w:rFonts w:ascii="Arial" w:hAnsi="Arial" w:cs="Arial"/>
          <w:lang w:val="es-MX"/>
        </w:rPr>
        <w:t>corresponden.</w:t>
      </w:r>
      <w:r w:rsidR="00616495">
        <w:rPr>
          <w:rFonts w:ascii="Arial" w:hAnsi="Arial" w:cs="Arial"/>
          <w:lang w:val="es-MX"/>
        </w:rPr>
        <w:t xml:space="preserve"> Cada año el Ministerio de Salud y protección Social y el INS generan una circular conjunta con las directrices de la vigilancia intensificada. </w:t>
      </w:r>
    </w:p>
    <w:p w14:paraId="07D26583" w14:textId="5A8F2DE5" w:rsidR="00A03660" w:rsidRDefault="00A03660" w:rsidP="00616495">
      <w:pPr>
        <w:jc w:val="both"/>
        <w:rPr>
          <w:rFonts w:ascii="Arial" w:hAnsi="Arial" w:cs="Arial"/>
          <w:lang w:val="es-MX"/>
        </w:rPr>
      </w:pPr>
      <w:r>
        <w:rPr>
          <w:rFonts w:ascii="Arial" w:hAnsi="Arial" w:cs="Arial"/>
          <w:lang w:val="es-MX"/>
        </w:rPr>
        <w:t>Ante la presentación de casos</w:t>
      </w:r>
      <w:r w:rsidR="0011292D">
        <w:rPr>
          <w:rFonts w:ascii="Arial" w:hAnsi="Arial" w:cs="Arial"/>
          <w:lang w:val="es-MX"/>
        </w:rPr>
        <w:t xml:space="preserve"> de intoxicaciones agudas por metanol asociado a licor adulterado y fósforo blanco asociado a pólvora pirotécnica</w:t>
      </w:r>
      <w:r>
        <w:rPr>
          <w:rFonts w:ascii="Arial" w:hAnsi="Arial" w:cs="Arial"/>
          <w:lang w:val="es-MX"/>
        </w:rPr>
        <w:t>, la vigilancia intensificada busca que estos se notifiquen de forma inmediata</w:t>
      </w:r>
      <w:r w:rsidR="00E23C26">
        <w:rPr>
          <w:rFonts w:ascii="Arial" w:hAnsi="Arial" w:cs="Arial"/>
          <w:lang w:val="es-MX"/>
        </w:rPr>
        <w:t>, se realice la investigación epidemiológica de campo y se active la Sala de Análisis del Riesgo frente a comportamientos inusuales.</w:t>
      </w:r>
    </w:p>
    <w:p w14:paraId="65B3DD34" w14:textId="55AF9BEB" w:rsidR="006E09DA" w:rsidRDefault="006E09DA" w:rsidP="00616495">
      <w:pPr>
        <w:jc w:val="both"/>
        <w:rPr>
          <w:rFonts w:ascii="Arial" w:hAnsi="Arial" w:cs="Arial"/>
          <w:lang w:val="es-MX"/>
        </w:rPr>
      </w:pPr>
      <w:r w:rsidRPr="00B2249D">
        <w:rPr>
          <w:rFonts w:ascii="Arial" w:hAnsi="Arial" w:cs="Arial"/>
          <w:b/>
          <w:bCs/>
          <w:color w:val="1F4E79"/>
          <w:sz w:val="36"/>
          <w:szCs w:val="36"/>
        </w:rPr>
        <w:t>Diapositiva 4</w:t>
      </w:r>
      <w:r>
        <w:rPr>
          <w:rFonts w:ascii="Arial" w:hAnsi="Arial" w:cs="Arial"/>
          <w:b/>
          <w:bCs/>
          <w:color w:val="1F4E79"/>
          <w:sz w:val="36"/>
          <w:szCs w:val="36"/>
        </w:rPr>
        <w:t>. Justificación</w:t>
      </w:r>
    </w:p>
    <w:p w14:paraId="03438FE4" w14:textId="0F8B1511" w:rsidR="00CB2F48" w:rsidRDefault="00E23C26" w:rsidP="00616495">
      <w:pPr>
        <w:jc w:val="both"/>
        <w:rPr>
          <w:rFonts w:ascii="Arial" w:hAnsi="Arial" w:cs="Arial"/>
        </w:rPr>
      </w:pPr>
      <w:r>
        <w:rPr>
          <w:rFonts w:ascii="Arial" w:hAnsi="Arial" w:cs="Arial"/>
          <w:lang w:val="es-MX"/>
        </w:rPr>
        <w:t xml:space="preserve">La Vigilancia Intensificada se justifica en </w:t>
      </w:r>
      <w:r w:rsidR="007C0558">
        <w:rPr>
          <w:rFonts w:ascii="Arial" w:hAnsi="Arial" w:cs="Arial"/>
          <w:lang w:val="es-MX"/>
        </w:rPr>
        <w:t>el riesgo de aumento (basado en el comportamiento histórico) de las intoxicaciones por licor adulterado con metanol y por fósforo blanco asociado a artefactos pirotécnicos durante las festividade</w:t>
      </w:r>
      <w:r w:rsidR="00CB2F48">
        <w:rPr>
          <w:rFonts w:ascii="Arial" w:hAnsi="Arial" w:cs="Arial"/>
          <w:lang w:val="es-MX"/>
        </w:rPr>
        <w:t>s durante diciembre y enero</w:t>
      </w:r>
      <w:r w:rsidR="007C0558">
        <w:rPr>
          <w:rFonts w:ascii="Arial" w:hAnsi="Arial" w:cs="Arial"/>
          <w:lang w:val="es-MX"/>
        </w:rPr>
        <w:t xml:space="preserve"> comparado con otras épocas del año. Además, la </w:t>
      </w:r>
      <w:r w:rsidR="00CB2F48">
        <w:rPr>
          <w:rFonts w:ascii="Arial" w:hAnsi="Arial" w:cs="Arial"/>
          <w:lang w:val="es-MX"/>
        </w:rPr>
        <w:t xml:space="preserve">Ley </w:t>
      </w:r>
      <w:r w:rsidR="00CB2F48" w:rsidRPr="00CB2F48">
        <w:rPr>
          <w:rFonts w:ascii="Arial" w:hAnsi="Arial" w:cs="Arial"/>
        </w:rPr>
        <w:t>670 de 2001</w:t>
      </w:r>
      <w:r w:rsidR="00CB2F48">
        <w:rPr>
          <w:rFonts w:ascii="Arial" w:hAnsi="Arial" w:cs="Arial"/>
        </w:rPr>
        <w:t xml:space="preserve"> en su </w:t>
      </w:r>
      <w:r w:rsidR="00B2249D">
        <w:rPr>
          <w:rFonts w:ascii="Arial" w:hAnsi="Arial" w:cs="Arial"/>
        </w:rPr>
        <w:t>A</w:t>
      </w:r>
      <w:r w:rsidR="00CB2F48">
        <w:rPr>
          <w:rFonts w:ascii="Arial" w:hAnsi="Arial" w:cs="Arial"/>
        </w:rPr>
        <w:t xml:space="preserve">rtículo 8 </w:t>
      </w:r>
      <w:r w:rsidR="00CB2F48" w:rsidRPr="00CB2F48">
        <w:rPr>
          <w:rFonts w:ascii="Arial" w:hAnsi="Arial" w:cs="Arial"/>
        </w:rPr>
        <w:t>prohíbe totalmente la producción o fabricación, la manipulación o uso y la comercialización de artículos pirotécnicos o fuegos artificiales que contengan fósforo blanco</w:t>
      </w:r>
      <w:r w:rsidR="00CB2F48">
        <w:rPr>
          <w:rFonts w:ascii="Arial" w:hAnsi="Arial" w:cs="Arial"/>
        </w:rPr>
        <w:t xml:space="preserve"> y en su Artículo 9 habla sobre las sanciones,</w:t>
      </w:r>
      <w:r w:rsidR="00CB2F48" w:rsidRPr="00CB2F48">
        <w:rPr>
          <w:rFonts w:ascii="Arial" w:hAnsi="Arial" w:cs="Arial"/>
        </w:rPr>
        <w:t xml:space="preserve"> y el Decreto Nacional 4481 de 2006 </w:t>
      </w:r>
      <w:r w:rsidR="00CB2F48">
        <w:rPr>
          <w:rFonts w:ascii="Arial" w:hAnsi="Arial" w:cs="Arial"/>
        </w:rPr>
        <w:t xml:space="preserve">reitera la </w:t>
      </w:r>
      <w:r w:rsidR="00CB2F48" w:rsidRPr="00CB2F48">
        <w:rPr>
          <w:rFonts w:ascii="Arial" w:hAnsi="Arial" w:cs="Arial"/>
        </w:rPr>
        <w:t>proh</w:t>
      </w:r>
      <w:r w:rsidR="00CB2F48">
        <w:rPr>
          <w:rFonts w:ascii="Arial" w:hAnsi="Arial" w:cs="Arial"/>
        </w:rPr>
        <w:t>ibición d</w:t>
      </w:r>
      <w:r w:rsidR="00CB2F48" w:rsidRPr="00CB2F48">
        <w:rPr>
          <w:rFonts w:ascii="Arial" w:hAnsi="Arial" w:cs="Arial"/>
        </w:rPr>
        <w:t xml:space="preserve">el fósforo blanco. </w:t>
      </w:r>
    </w:p>
    <w:p w14:paraId="7086DCFA" w14:textId="00D845A8" w:rsidR="00187A83" w:rsidRDefault="00187A83" w:rsidP="00616495">
      <w:pPr>
        <w:jc w:val="both"/>
        <w:rPr>
          <w:rFonts w:ascii="Arial" w:hAnsi="Arial" w:cs="Arial"/>
        </w:rPr>
      </w:pPr>
    </w:p>
    <w:p w14:paraId="03F4E1A0" w14:textId="2F04CD6E" w:rsidR="00187A83" w:rsidRPr="00B2249D" w:rsidRDefault="00187A83" w:rsidP="00616495">
      <w:pPr>
        <w:jc w:val="both"/>
        <w:rPr>
          <w:rFonts w:ascii="Arial" w:hAnsi="Arial" w:cs="Arial"/>
          <w:b/>
          <w:bCs/>
          <w:color w:val="1F4E79"/>
          <w:sz w:val="36"/>
          <w:szCs w:val="36"/>
        </w:rPr>
      </w:pPr>
      <w:r w:rsidRPr="00B2249D">
        <w:rPr>
          <w:rFonts w:ascii="Arial" w:hAnsi="Arial" w:cs="Arial"/>
          <w:b/>
          <w:bCs/>
          <w:color w:val="1F4E79"/>
          <w:sz w:val="36"/>
          <w:szCs w:val="36"/>
        </w:rPr>
        <w:lastRenderedPageBreak/>
        <w:t xml:space="preserve">Diapositiva </w:t>
      </w:r>
      <w:r w:rsidR="006E09DA">
        <w:rPr>
          <w:rFonts w:ascii="Arial" w:hAnsi="Arial" w:cs="Arial"/>
          <w:b/>
          <w:bCs/>
          <w:color w:val="1F4E79"/>
          <w:sz w:val="36"/>
          <w:szCs w:val="36"/>
        </w:rPr>
        <w:t>5</w:t>
      </w:r>
      <w:r w:rsidRPr="00B2249D">
        <w:rPr>
          <w:rFonts w:ascii="Arial" w:hAnsi="Arial" w:cs="Arial"/>
          <w:b/>
          <w:bCs/>
          <w:color w:val="1F4E79"/>
          <w:sz w:val="36"/>
          <w:szCs w:val="36"/>
        </w:rPr>
        <w:t>. Implementación de la Vigilancia Intensificada</w:t>
      </w:r>
    </w:p>
    <w:p w14:paraId="18623EB1" w14:textId="1DD76F21" w:rsidR="00187A83" w:rsidRDefault="00187A83" w:rsidP="00616495">
      <w:pPr>
        <w:jc w:val="both"/>
        <w:rPr>
          <w:rFonts w:ascii="Arial" w:hAnsi="Arial" w:cs="Arial"/>
        </w:rPr>
      </w:pPr>
      <w:r w:rsidRPr="00187A83">
        <w:rPr>
          <w:rFonts w:ascii="Arial" w:hAnsi="Arial" w:cs="Arial"/>
        </w:rPr>
        <w:t xml:space="preserve">Para implementar la Vigilancia Intensificada se requiere el alistamiento de diferentes </w:t>
      </w:r>
      <w:r>
        <w:rPr>
          <w:rFonts w:ascii="Arial" w:hAnsi="Arial" w:cs="Arial"/>
        </w:rPr>
        <w:t>partes, incluyendo a</w:t>
      </w:r>
      <w:r w:rsidRPr="00187A83">
        <w:rPr>
          <w:rFonts w:ascii="Arial" w:hAnsi="Arial" w:cs="Arial"/>
        </w:rPr>
        <w:t xml:space="preserve"> los Consejos Territoriales de Gestión del Riesgo de Desastres</w:t>
      </w:r>
      <w:r>
        <w:rPr>
          <w:rFonts w:ascii="Arial" w:hAnsi="Arial" w:cs="Arial"/>
        </w:rPr>
        <w:t xml:space="preserve"> y a los </w:t>
      </w:r>
      <w:r w:rsidRPr="00187A83">
        <w:rPr>
          <w:rFonts w:ascii="Arial" w:hAnsi="Arial" w:cs="Arial"/>
        </w:rPr>
        <w:t>Centro</w:t>
      </w:r>
      <w:r>
        <w:rPr>
          <w:rFonts w:ascii="Arial" w:hAnsi="Arial" w:cs="Arial"/>
        </w:rPr>
        <w:t>s</w:t>
      </w:r>
      <w:r w:rsidRPr="00187A83">
        <w:rPr>
          <w:rFonts w:ascii="Arial" w:hAnsi="Arial" w:cs="Arial"/>
        </w:rPr>
        <w:t xml:space="preserve"> Regulador</w:t>
      </w:r>
      <w:r>
        <w:rPr>
          <w:rFonts w:ascii="Arial" w:hAnsi="Arial" w:cs="Arial"/>
        </w:rPr>
        <w:t>es</w:t>
      </w:r>
      <w:r w:rsidRPr="00187A83">
        <w:rPr>
          <w:rFonts w:ascii="Arial" w:hAnsi="Arial" w:cs="Arial"/>
        </w:rPr>
        <w:t xml:space="preserve"> de Urgencias y Emergencias </w:t>
      </w:r>
      <w:r>
        <w:rPr>
          <w:rFonts w:ascii="Arial" w:hAnsi="Arial" w:cs="Arial"/>
        </w:rPr>
        <w:t>–</w:t>
      </w:r>
      <w:r w:rsidRPr="00187A83">
        <w:rPr>
          <w:rFonts w:ascii="Arial" w:hAnsi="Arial" w:cs="Arial"/>
        </w:rPr>
        <w:t xml:space="preserve"> CRUE</w:t>
      </w:r>
      <w:r>
        <w:rPr>
          <w:rFonts w:ascii="Arial" w:hAnsi="Arial" w:cs="Arial"/>
        </w:rPr>
        <w:t xml:space="preserve">, quienes deberán </w:t>
      </w:r>
      <w:r w:rsidR="00842060">
        <w:rPr>
          <w:rFonts w:ascii="Arial" w:hAnsi="Arial" w:cs="Arial"/>
        </w:rPr>
        <w:t xml:space="preserve">diseñar </w:t>
      </w:r>
      <w:r>
        <w:rPr>
          <w:rFonts w:ascii="Arial" w:hAnsi="Arial" w:cs="Arial"/>
        </w:rPr>
        <w:t>planes de emergencia y contingencia frente a la presentación de un evento</w:t>
      </w:r>
      <w:r w:rsidR="0053325C">
        <w:rPr>
          <w:rFonts w:ascii="Arial" w:hAnsi="Arial" w:cs="Arial"/>
        </w:rPr>
        <w:t xml:space="preserve"> y </w:t>
      </w:r>
      <w:r>
        <w:rPr>
          <w:rFonts w:ascii="Arial" w:hAnsi="Arial" w:cs="Arial"/>
        </w:rPr>
        <w:t>los departamentos y municipios</w:t>
      </w:r>
      <w:r w:rsidR="0053325C">
        <w:rPr>
          <w:rFonts w:ascii="Arial" w:hAnsi="Arial" w:cs="Arial"/>
        </w:rPr>
        <w:t xml:space="preserve"> quienes deberán</w:t>
      </w:r>
      <w:r>
        <w:rPr>
          <w:rFonts w:ascii="Arial" w:hAnsi="Arial" w:cs="Arial"/>
        </w:rPr>
        <w:t xml:space="preserve"> garantizar </w:t>
      </w:r>
      <w:r w:rsidR="0053325C">
        <w:rPr>
          <w:rFonts w:ascii="Arial" w:hAnsi="Arial" w:cs="Arial"/>
        </w:rPr>
        <w:t>la puesta en marcha de la estrategia de vigilancia intensificada</w:t>
      </w:r>
      <w:r w:rsidR="007F5A69">
        <w:rPr>
          <w:rFonts w:ascii="Arial" w:hAnsi="Arial" w:cs="Arial"/>
        </w:rPr>
        <w:t xml:space="preserve"> a partir del 1 de diciembre y hasta la segunda semana epidemiológica del año siguiente, es decir, durante la celebración de fin de año y las fiestas locales de enero. Implica la notificación superinmediata de los casos probables, garantizando la continuidad de la notificación semanal no solo de casos atendidos por las UPGD, sino también los provenientes de otras fuentes de información.</w:t>
      </w:r>
    </w:p>
    <w:p w14:paraId="6CCF06B3" w14:textId="4BC7B7A3" w:rsidR="009800E6" w:rsidRDefault="009800E6" w:rsidP="00616495">
      <w:pPr>
        <w:jc w:val="both"/>
        <w:rPr>
          <w:rFonts w:ascii="Arial" w:hAnsi="Arial" w:cs="Arial"/>
        </w:rPr>
      </w:pPr>
      <w:r>
        <w:rPr>
          <w:rFonts w:ascii="Arial" w:hAnsi="Arial" w:cs="Arial"/>
        </w:rPr>
        <w:t xml:space="preserve">La articulación institucional implica que los CRUE </w:t>
      </w:r>
      <w:r w:rsidRPr="009800E6">
        <w:rPr>
          <w:rFonts w:ascii="Arial" w:hAnsi="Arial" w:cs="Arial"/>
        </w:rPr>
        <w:t>consolid</w:t>
      </w:r>
      <w:r>
        <w:rPr>
          <w:rFonts w:ascii="Arial" w:hAnsi="Arial" w:cs="Arial"/>
        </w:rPr>
        <w:t>en</w:t>
      </w:r>
      <w:r w:rsidRPr="009800E6">
        <w:rPr>
          <w:rFonts w:ascii="Arial" w:hAnsi="Arial" w:cs="Arial"/>
        </w:rPr>
        <w:t xml:space="preserve"> la información que obtenga</w:t>
      </w:r>
      <w:r>
        <w:rPr>
          <w:rFonts w:ascii="Arial" w:hAnsi="Arial" w:cs="Arial"/>
        </w:rPr>
        <w:t>n</w:t>
      </w:r>
      <w:r w:rsidRPr="009800E6">
        <w:rPr>
          <w:rFonts w:ascii="Arial" w:hAnsi="Arial" w:cs="Arial"/>
        </w:rPr>
        <w:t xml:space="preserve"> de intoxicaciones e inform</w:t>
      </w:r>
      <w:r>
        <w:rPr>
          <w:rFonts w:ascii="Arial" w:hAnsi="Arial" w:cs="Arial"/>
        </w:rPr>
        <w:t>en</w:t>
      </w:r>
      <w:r w:rsidRPr="009800E6">
        <w:rPr>
          <w:rFonts w:ascii="Arial" w:hAnsi="Arial" w:cs="Arial"/>
        </w:rPr>
        <w:t xml:space="preserve"> al encargado de la vigilancia intensificada municipal, distrital o departamental, con el fin de verificar su notificación al Sivigila</w:t>
      </w:r>
      <w:r>
        <w:rPr>
          <w:rFonts w:ascii="Arial" w:hAnsi="Arial" w:cs="Arial"/>
        </w:rPr>
        <w:t xml:space="preserve">. Y desde el área </w:t>
      </w:r>
      <w:r w:rsidRPr="009800E6">
        <w:rPr>
          <w:rFonts w:ascii="Arial" w:hAnsi="Arial" w:cs="Arial"/>
          <w:lang w:val="es-ES_tradnl"/>
        </w:rPr>
        <w:t>de vigilancia en salud pública</w:t>
      </w:r>
      <w:r w:rsidR="003D047B">
        <w:rPr>
          <w:rFonts w:ascii="Arial" w:hAnsi="Arial" w:cs="Arial"/>
          <w:lang w:val="es-ES_tradnl"/>
        </w:rPr>
        <w:t xml:space="preserve">, se </w:t>
      </w:r>
      <w:r w:rsidRPr="009800E6">
        <w:rPr>
          <w:rFonts w:ascii="Arial" w:hAnsi="Arial" w:cs="Arial"/>
          <w:lang w:val="es-ES_tradnl"/>
        </w:rPr>
        <w:t xml:space="preserve">debe informar el comportamiento de la notificación de </w:t>
      </w:r>
      <w:r w:rsidR="003D047B">
        <w:rPr>
          <w:rFonts w:ascii="Arial" w:hAnsi="Arial" w:cs="Arial"/>
          <w:lang w:val="es-ES_tradnl"/>
        </w:rPr>
        <w:t>las</w:t>
      </w:r>
      <w:r w:rsidRPr="009800E6">
        <w:rPr>
          <w:rFonts w:ascii="Arial" w:hAnsi="Arial" w:cs="Arial"/>
          <w:lang w:val="es-ES_tradnl"/>
        </w:rPr>
        <w:t xml:space="preserve"> intoxicaciones </w:t>
      </w:r>
      <w:r w:rsidR="003D047B">
        <w:rPr>
          <w:rFonts w:ascii="Arial" w:hAnsi="Arial" w:cs="Arial"/>
          <w:lang w:val="es-ES_tradnl"/>
        </w:rPr>
        <w:t xml:space="preserve">a </w:t>
      </w:r>
      <w:r w:rsidRPr="009800E6">
        <w:rPr>
          <w:rFonts w:ascii="Arial" w:hAnsi="Arial" w:cs="Arial"/>
          <w:lang w:val="es-ES_tradnl"/>
        </w:rPr>
        <w:t>los</w:t>
      </w:r>
      <w:r w:rsidRPr="009800E6">
        <w:rPr>
          <w:rFonts w:ascii="Arial" w:hAnsi="Arial" w:cs="Arial"/>
        </w:rPr>
        <w:t xml:space="preserve"> Consejos Territoriales de Gestión del Riesgo, con el fin de contribuir al seguimiento de amenazas, vulnerabilidades y riesgos ocasionados por </w:t>
      </w:r>
      <w:r w:rsidR="003D047B">
        <w:rPr>
          <w:rFonts w:ascii="Arial" w:hAnsi="Arial" w:cs="Arial"/>
        </w:rPr>
        <w:t>estas sustancias.</w:t>
      </w:r>
    </w:p>
    <w:p w14:paraId="00235875" w14:textId="77777777" w:rsidR="00187A83" w:rsidRDefault="00187A83" w:rsidP="00616495">
      <w:pPr>
        <w:jc w:val="both"/>
        <w:rPr>
          <w:rFonts w:ascii="Arial" w:hAnsi="Arial" w:cs="Arial"/>
        </w:rPr>
      </w:pPr>
    </w:p>
    <w:p w14:paraId="6F5485B7" w14:textId="59C6F6BE" w:rsidR="002F406D" w:rsidRPr="00B2249D" w:rsidRDefault="00B40F4B" w:rsidP="00616495">
      <w:pPr>
        <w:jc w:val="both"/>
        <w:rPr>
          <w:rFonts w:ascii="Arial" w:hAnsi="Arial" w:cs="Arial"/>
          <w:b/>
          <w:bCs/>
          <w:color w:val="1F4E79"/>
          <w:sz w:val="36"/>
          <w:szCs w:val="36"/>
        </w:rPr>
      </w:pPr>
      <w:r w:rsidRPr="00B2249D">
        <w:rPr>
          <w:rFonts w:ascii="Arial" w:hAnsi="Arial" w:cs="Arial"/>
          <w:b/>
          <w:bCs/>
          <w:color w:val="1F4E79"/>
          <w:sz w:val="36"/>
          <w:szCs w:val="36"/>
        </w:rPr>
        <w:t xml:space="preserve">Diapositiva </w:t>
      </w:r>
      <w:r w:rsidR="00B2249D" w:rsidRPr="00B2249D">
        <w:rPr>
          <w:rFonts w:ascii="Arial" w:hAnsi="Arial" w:cs="Arial"/>
          <w:b/>
          <w:bCs/>
          <w:color w:val="1F4E79"/>
          <w:sz w:val="36"/>
          <w:szCs w:val="36"/>
        </w:rPr>
        <w:t>5</w:t>
      </w:r>
      <w:r w:rsidRPr="00B2249D">
        <w:rPr>
          <w:rFonts w:ascii="Arial" w:hAnsi="Arial" w:cs="Arial"/>
          <w:b/>
          <w:bCs/>
          <w:color w:val="1F4E79"/>
          <w:sz w:val="36"/>
          <w:szCs w:val="36"/>
        </w:rPr>
        <w:t xml:space="preserve">. </w:t>
      </w:r>
      <w:r w:rsidRPr="00B2249D">
        <w:rPr>
          <w:rFonts w:ascii="Arial" w:hAnsi="Arial" w:cs="Arial"/>
          <w:b/>
          <w:bCs/>
          <w:color w:val="1F4E79"/>
          <w:sz w:val="36"/>
          <w:szCs w:val="36"/>
          <w:lang w:val="es-ES"/>
        </w:rPr>
        <w:t>intoxicación por fósforo blanco</w:t>
      </w:r>
    </w:p>
    <w:p w14:paraId="76998733" w14:textId="77777777" w:rsidR="00B40F4B" w:rsidRDefault="00B40F4B" w:rsidP="00616495">
      <w:pPr>
        <w:jc w:val="both"/>
        <w:rPr>
          <w:rFonts w:ascii="Arial" w:hAnsi="Arial" w:cs="Arial"/>
          <w:lang w:val="es-MX"/>
        </w:rPr>
      </w:pPr>
      <w:r>
        <w:rPr>
          <w:rFonts w:ascii="Arial" w:hAnsi="Arial" w:cs="Arial"/>
        </w:rPr>
        <w:t xml:space="preserve">La definición de caso corresponde a </w:t>
      </w:r>
      <w:r w:rsidRPr="00B40F4B">
        <w:rPr>
          <w:rFonts w:ascii="Arial" w:hAnsi="Arial" w:cs="Arial"/>
          <w:lang w:val="es-MX"/>
        </w:rPr>
        <w:t>Paciente con manifestaciones o un cuadro clínico de intoxicación aguda</w:t>
      </w:r>
      <w:r>
        <w:rPr>
          <w:rFonts w:ascii="Arial" w:hAnsi="Arial" w:cs="Arial"/>
          <w:lang w:val="es-MX"/>
        </w:rPr>
        <w:t xml:space="preserve"> </w:t>
      </w:r>
      <w:r w:rsidRPr="00B40F4B">
        <w:rPr>
          <w:rFonts w:ascii="Arial" w:hAnsi="Arial" w:cs="Arial"/>
          <w:lang w:val="es-MX"/>
        </w:rPr>
        <w:t>compatible o característico con la exposición a fósforo blanco asociado a artefactos</w:t>
      </w:r>
      <w:r>
        <w:rPr>
          <w:rFonts w:ascii="Arial" w:hAnsi="Arial" w:cs="Arial"/>
          <w:lang w:val="es-MX"/>
        </w:rPr>
        <w:t xml:space="preserve"> </w:t>
      </w:r>
      <w:r w:rsidRPr="00B40F4B">
        <w:rPr>
          <w:rFonts w:ascii="Arial" w:hAnsi="Arial" w:cs="Arial"/>
          <w:lang w:val="es-MX"/>
        </w:rPr>
        <w:t>Pirotécnicos,</w:t>
      </w:r>
      <w:r>
        <w:rPr>
          <w:rFonts w:ascii="Arial" w:hAnsi="Arial" w:cs="Arial"/>
          <w:lang w:val="es-MX"/>
        </w:rPr>
        <w:t xml:space="preserve"> esta exposición debe ser accidental para que se incluya dentro de los casos de la vigilancia intensificada.</w:t>
      </w:r>
    </w:p>
    <w:p w14:paraId="2FA4285F" w14:textId="3EA4D133" w:rsidR="00B40F4B" w:rsidRDefault="00B40F4B" w:rsidP="00616495">
      <w:pPr>
        <w:jc w:val="both"/>
        <w:rPr>
          <w:rFonts w:ascii="Arial" w:hAnsi="Arial" w:cs="Arial"/>
          <w:lang w:val="es-MX"/>
        </w:rPr>
      </w:pPr>
      <w:r>
        <w:rPr>
          <w:rFonts w:ascii="Arial" w:hAnsi="Arial" w:cs="Arial"/>
          <w:lang w:val="es-MX"/>
        </w:rPr>
        <w:t xml:space="preserve">Los artículos pirotécnicos que contienen fósforo blanco incluyen </w:t>
      </w:r>
      <w:r w:rsidR="00B0795C">
        <w:rPr>
          <w:rFonts w:ascii="Arial" w:hAnsi="Arial" w:cs="Arial"/>
          <w:lang w:val="es-MX"/>
        </w:rPr>
        <w:t>los conocidos como totes, martinicas, saltapericos, diablillos</w:t>
      </w:r>
      <w:r w:rsidR="0095566C">
        <w:rPr>
          <w:rFonts w:ascii="Arial" w:hAnsi="Arial" w:cs="Arial"/>
          <w:lang w:val="es-MX"/>
        </w:rPr>
        <w:t>, triquitraques, entro otros nombres</w:t>
      </w:r>
      <w:r w:rsidR="00B0795C">
        <w:rPr>
          <w:rFonts w:ascii="Arial" w:hAnsi="Arial" w:cs="Arial"/>
          <w:lang w:val="es-MX"/>
        </w:rPr>
        <w:t>.</w:t>
      </w:r>
    </w:p>
    <w:p w14:paraId="5C0333C8" w14:textId="6217C679" w:rsidR="00B40F4B" w:rsidRPr="00B40F4B" w:rsidRDefault="006E71C8" w:rsidP="00616495">
      <w:pPr>
        <w:jc w:val="both"/>
        <w:rPr>
          <w:rFonts w:ascii="Arial" w:hAnsi="Arial" w:cs="Arial"/>
        </w:rPr>
      </w:pPr>
      <w:r>
        <w:rPr>
          <w:rFonts w:ascii="Arial" w:hAnsi="Arial" w:cs="Arial"/>
          <w:lang w:val="es-MX"/>
        </w:rPr>
        <w:t>Dada la severidad del</w:t>
      </w:r>
      <w:r w:rsidR="00B0795C">
        <w:rPr>
          <w:rFonts w:ascii="Arial" w:hAnsi="Arial" w:cs="Arial"/>
          <w:lang w:val="es-MX"/>
        </w:rPr>
        <w:t xml:space="preserve"> cuadro clínico </w:t>
      </w:r>
      <w:r>
        <w:rPr>
          <w:rFonts w:ascii="Arial" w:hAnsi="Arial" w:cs="Arial"/>
          <w:lang w:val="es-MX"/>
        </w:rPr>
        <w:t xml:space="preserve">que </w:t>
      </w:r>
      <w:r w:rsidR="00B40F4B" w:rsidRPr="00B40F4B">
        <w:rPr>
          <w:rFonts w:ascii="Arial" w:hAnsi="Arial" w:cs="Arial"/>
          <w:lang w:val="es-ES_tradnl"/>
        </w:rPr>
        <w:t>compromete múltiples sistemas</w:t>
      </w:r>
      <w:r w:rsidR="00B0795C">
        <w:rPr>
          <w:rFonts w:ascii="Arial" w:hAnsi="Arial" w:cs="Arial"/>
          <w:lang w:val="es-ES_tradnl"/>
        </w:rPr>
        <w:t xml:space="preserve"> y</w:t>
      </w:r>
      <w:r w:rsidR="0053670E">
        <w:rPr>
          <w:rFonts w:ascii="Arial" w:hAnsi="Arial" w:cs="Arial"/>
          <w:lang w:val="es-ES_tradnl"/>
        </w:rPr>
        <w:t xml:space="preserve"> la vida del paciente</w:t>
      </w:r>
      <w:r>
        <w:rPr>
          <w:rFonts w:ascii="Arial" w:hAnsi="Arial" w:cs="Arial"/>
          <w:lang w:val="es-ES_tradnl"/>
        </w:rPr>
        <w:t>, (especialmente niños menores de 5 años), esta intoxicación c</w:t>
      </w:r>
      <w:r w:rsidRPr="006E71C8">
        <w:rPr>
          <w:rFonts w:ascii="Arial" w:hAnsi="Arial" w:cs="Arial"/>
          <w:lang w:val="es-ES_tradnl"/>
        </w:rPr>
        <w:t xml:space="preserve">onstituye una alerta </w:t>
      </w:r>
      <w:r>
        <w:rPr>
          <w:rFonts w:ascii="Arial" w:hAnsi="Arial" w:cs="Arial"/>
          <w:lang w:val="es-ES_tradnl"/>
        </w:rPr>
        <w:t xml:space="preserve">que requiere una </w:t>
      </w:r>
      <w:r w:rsidRPr="006E71C8">
        <w:rPr>
          <w:rFonts w:ascii="Arial" w:hAnsi="Arial" w:cs="Arial"/>
          <w:lang w:val="es-ES_tradnl"/>
        </w:rPr>
        <w:t xml:space="preserve">notificación </w:t>
      </w:r>
      <w:r>
        <w:rPr>
          <w:rFonts w:ascii="Arial" w:hAnsi="Arial" w:cs="Arial"/>
          <w:lang w:val="es-ES_tradnl"/>
        </w:rPr>
        <w:t>super</w:t>
      </w:r>
      <w:r w:rsidRPr="006E71C8">
        <w:rPr>
          <w:rFonts w:ascii="Arial" w:hAnsi="Arial" w:cs="Arial"/>
          <w:lang w:val="es-ES_tradnl"/>
        </w:rPr>
        <w:t xml:space="preserve">inmediata y </w:t>
      </w:r>
      <w:r>
        <w:rPr>
          <w:rFonts w:ascii="Arial" w:hAnsi="Arial" w:cs="Arial"/>
          <w:lang w:val="es-ES_tradnl"/>
        </w:rPr>
        <w:t xml:space="preserve">la realización de la Investigación Epidemiológica de Campo IEC. Además, ya que el caso ingresa inicialmente como probable, </w:t>
      </w:r>
      <w:r w:rsidRPr="006E71C8">
        <w:rPr>
          <w:rFonts w:ascii="Arial" w:hAnsi="Arial" w:cs="Arial"/>
          <w:lang w:val="es-ES_tradnl"/>
        </w:rPr>
        <w:t>debe quedar finalmente clasificado como caso confirmado por laboratorio o confirmado por clínica tras la unidad de análisis</w:t>
      </w:r>
      <w:r>
        <w:rPr>
          <w:rFonts w:ascii="Arial" w:hAnsi="Arial" w:cs="Arial"/>
          <w:lang w:val="es-ES_tradnl"/>
        </w:rPr>
        <w:t>.</w:t>
      </w:r>
    </w:p>
    <w:p w14:paraId="63883772" w14:textId="77777777" w:rsidR="00616495" w:rsidRDefault="00616495" w:rsidP="00616495">
      <w:pPr>
        <w:jc w:val="both"/>
        <w:rPr>
          <w:rFonts w:ascii="Arial" w:hAnsi="Arial" w:cs="Arial"/>
          <w:b/>
          <w:bCs/>
        </w:rPr>
      </w:pPr>
    </w:p>
    <w:p w14:paraId="611F865F" w14:textId="3542462B" w:rsidR="00B40F4B" w:rsidRPr="00B2249D" w:rsidRDefault="00616495" w:rsidP="00616495">
      <w:pPr>
        <w:jc w:val="both"/>
        <w:rPr>
          <w:rFonts w:ascii="Arial" w:hAnsi="Arial" w:cs="Arial"/>
          <w:b/>
          <w:bCs/>
          <w:color w:val="1F4E79"/>
          <w:sz w:val="36"/>
          <w:szCs w:val="36"/>
        </w:rPr>
      </w:pPr>
      <w:r w:rsidRPr="00B2249D">
        <w:rPr>
          <w:rFonts w:ascii="Arial" w:hAnsi="Arial" w:cs="Arial"/>
          <w:b/>
          <w:bCs/>
          <w:color w:val="1F4E79"/>
          <w:sz w:val="36"/>
          <w:szCs w:val="36"/>
        </w:rPr>
        <w:t xml:space="preserve">Diapositiva </w:t>
      </w:r>
      <w:r w:rsidR="006E09DA">
        <w:rPr>
          <w:rFonts w:ascii="Arial" w:hAnsi="Arial" w:cs="Arial"/>
          <w:b/>
          <w:bCs/>
          <w:color w:val="1F4E79"/>
          <w:sz w:val="36"/>
          <w:szCs w:val="36"/>
        </w:rPr>
        <w:t>7</w:t>
      </w:r>
      <w:r w:rsidRPr="00B2249D">
        <w:rPr>
          <w:rFonts w:ascii="Arial" w:hAnsi="Arial" w:cs="Arial"/>
          <w:b/>
          <w:bCs/>
          <w:color w:val="1F4E79"/>
          <w:sz w:val="36"/>
          <w:szCs w:val="36"/>
        </w:rPr>
        <w:t>. Notificación de intoxicaciones por fósforo blanco</w:t>
      </w:r>
    </w:p>
    <w:p w14:paraId="670F71C4" w14:textId="666746EE" w:rsidR="00B40F4B" w:rsidRDefault="00616495" w:rsidP="00616495">
      <w:pPr>
        <w:jc w:val="both"/>
        <w:rPr>
          <w:rFonts w:ascii="Arial" w:hAnsi="Arial" w:cs="Arial"/>
          <w:lang w:val="es-MX"/>
        </w:rPr>
      </w:pPr>
      <w:r>
        <w:rPr>
          <w:rFonts w:ascii="Arial" w:hAnsi="Arial" w:cs="Arial"/>
        </w:rPr>
        <w:t xml:space="preserve">Ante la presencia de un caso probable de intoxicación por fósforo blanco, que esté asociado a artefactos pirotécnicos y que </w:t>
      </w:r>
      <w:r w:rsidR="00F01713">
        <w:rPr>
          <w:rFonts w:ascii="Arial" w:hAnsi="Arial" w:cs="Arial"/>
        </w:rPr>
        <w:t xml:space="preserve">haya ocurrido de forma accidental, esta debe ingresarse al Sivigila a través de la plataforma de captura en línea, donde de forma inmediata puede </w:t>
      </w:r>
      <w:r w:rsidR="00F01713">
        <w:rPr>
          <w:rFonts w:ascii="Arial" w:hAnsi="Arial" w:cs="Arial"/>
        </w:rPr>
        <w:lastRenderedPageBreak/>
        <w:t xml:space="preserve">diligenciarse la información correspondiente al caso. Se resalta que en el apartado </w:t>
      </w:r>
      <w:r w:rsidR="00F01713" w:rsidRPr="00F01713">
        <w:rPr>
          <w:rFonts w:ascii="Arial" w:hAnsi="Arial" w:cs="Arial"/>
        </w:rPr>
        <w:t xml:space="preserve">3.6 </w:t>
      </w:r>
      <w:r w:rsidR="00F01713">
        <w:rPr>
          <w:rFonts w:ascii="Arial" w:hAnsi="Arial" w:cs="Arial"/>
        </w:rPr>
        <w:t>sobre la c</w:t>
      </w:r>
      <w:r w:rsidR="00F01713" w:rsidRPr="00F01713">
        <w:rPr>
          <w:rFonts w:ascii="Arial" w:hAnsi="Arial" w:cs="Arial"/>
        </w:rPr>
        <w:t>lasificación inicial de caso</w:t>
      </w:r>
      <w:r w:rsidR="00F01713">
        <w:rPr>
          <w:rFonts w:ascii="Arial" w:hAnsi="Arial" w:cs="Arial"/>
        </w:rPr>
        <w:t xml:space="preserve">, en los datos básicos, se debe ingresar como un caso tipo 2 o probable y en los datos complementarios, clasificar en el grupo 6 correspondiente </w:t>
      </w:r>
      <w:r w:rsidR="004F4F67">
        <w:rPr>
          <w:rFonts w:ascii="Arial" w:hAnsi="Arial" w:cs="Arial"/>
        </w:rPr>
        <w:t>a “otras</w:t>
      </w:r>
      <w:r w:rsidR="00F01713">
        <w:rPr>
          <w:rFonts w:ascii="Arial" w:hAnsi="Arial" w:cs="Arial"/>
        </w:rPr>
        <w:t xml:space="preserve"> sustancias químicas”</w:t>
      </w:r>
      <w:r w:rsidR="000108FE">
        <w:rPr>
          <w:rFonts w:ascii="Arial" w:hAnsi="Arial" w:cs="Arial"/>
        </w:rPr>
        <w:t>;</w:t>
      </w:r>
      <w:r w:rsidR="00F01713">
        <w:rPr>
          <w:rFonts w:ascii="Arial" w:hAnsi="Arial" w:cs="Arial"/>
        </w:rPr>
        <w:t xml:space="preserve"> en el ítem 5.2 ingresar </w:t>
      </w:r>
      <w:r w:rsidR="000108FE">
        <w:rPr>
          <w:rFonts w:ascii="Arial" w:hAnsi="Arial" w:cs="Arial"/>
        </w:rPr>
        <w:t xml:space="preserve">el nombre del producto bajo el código 1080 para fósforo blanco, </w:t>
      </w:r>
      <w:r w:rsidR="000108FE" w:rsidRPr="000108FE">
        <w:rPr>
          <w:rFonts w:ascii="Arial" w:hAnsi="Arial" w:cs="Arial"/>
          <w:lang w:val="es-MX"/>
        </w:rPr>
        <w:t xml:space="preserve">1104 </w:t>
      </w:r>
      <w:r w:rsidR="000108FE">
        <w:rPr>
          <w:rFonts w:ascii="Arial" w:hAnsi="Arial" w:cs="Arial"/>
          <w:lang w:val="es-MX"/>
        </w:rPr>
        <w:t xml:space="preserve">para </w:t>
      </w:r>
      <w:r w:rsidR="000108FE" w:rsidRPr="000108FE">
        <w:rPr>
          <w:rFonts w:ascii="Arial" w:hAnsi="Arial" w:cs="Arial"/>
          <w:lang w:val="es-MX"/>
        </w:rPr>
        <w:t xml:space="preserve">martinicas y 1142 </w:t>
      </w:r>
      <w:r w:rsidR="000108FE">
        <w:rPr>
          <w:rFonts w:ascii="Arial" w:hAnsi="Arial" w:cs="Arial"/>
          <w:lang w:val="es-MX"/>
        </w:rPr>
        <w:t xml:space="preserve">para </w:t>
      </w:r>
      <w:r w:rsidR="000108FE" w:rsidRPr="000108FE">
        <w:rPr>
          <w:rFonts w:ascii="Arial" w:hAnsi="Arial" w:cs="Arial"/>
          <w:lang w:val="es-MX"/>
        </w:rPr>
        <w:t>totes</w:t>
      </w:r>
      <w:r w:rsidR="000108FE">
        <w:rPr>
          <w:rFonts w:ascii="Arial" w:hAnsi="Arial" w:cs="Arial"/>
          <w:lang w:val="es-MX"/>
        </w:rPr>
        <w:t xml:space="preserve"> según corresponda y</w:t>
      </w:r>
      <w:r w:rsidR="004F4F67">
        <w:rPr>
          <w:rFonts w:ascii="Arial" w:hAnsi="Arial" w:cs="Arial"/>
          <w:lang w:val="es-MX"/>
        </w:rPr>
        <w:t xml:space="preserve"> para</w:t>
      </w:r>
      <w:r w:rsidR="000108FE">
        <w:rPr>
          <w:rFonts w:ascii="Arial" w:hAnsi="Arial" w:cs="Arial"/>
          <w:lang w:val="es-MX"/>
        </w:rPr>
        <w:t xml:space="preserve"> el tipo de exposición escoger la opción 2 o accidental. En el apartado 7.4 seleccionar la opción 1., que significa que se trata de una situación de alerta, e indicar en el apartado 8 si se tomaron muestras de laboratorio y actualizar el resultado cuando ya esté disponible.</w:t>
      </w:r>
    </w:p>
    <w:p w14:paraId="2318F48D" w14:textId="0EC1578D" w:rsidR="004F4F67" w:rsidRDefault="004F4F67" w:rsidP="00616495">
      <w:pPr>
        <w:jc w:val="both"/>
        <w:rPr>
          <w:rFonts w:ascii="Arial" w:hAnsi="Arial" w:cs="Arial"/>
          <w:lang w:val="es-MX"/>
        </w:rPr>
      </w:pPr>
      <w:r>
        <w:rPr>
          <w:rFonts w:ascii="Arial" w:hAnsi="Arial" w:cs="Arial"/>
          <w:lang w:val="es-MX"/>
        </w:rPr>
        <w:t>Continúe con la comunicación superinmediata y las acciones correspondientes a una alerta epidemiológica. Posteriormente realizar los ajustes para que el caso quede como confirmado por clínica tras la Unidad de Análisis, confirmado por laboratorio (si se logra la identificación de la sustancia) o descartarlo sino corresponde a la definición de caso.</w:t>
      </w:r>
    </w:p>
    <w:p w14:paraId="2A48794A" w14:textId="3961E725" w:rsidR="004F4F67" w:rsidRDefault="004F4F67" w:rsidP="00616495">
      <w:pPr>
        <w:jc w:val="both"/>
        <w:rPr>
          <w:rFonts w:ascii="Arial" w:hAnsi="Arial" w:cs="Arial"/>
          <w:lang w:val="es-MX"/>
        </w:rPr>
      </w:pPr>
    </w:p>
    <w:p w14:paraId="7BED596B" w14:textId="1A4D26C6" w:rsidR="004F4F67" w:rsidRPr="00B2249D" w:rsidRDefault="004F4F67" w:rsidP="00616495">
      <w:pPr>
        <w:jc w:val="both"/>
        <w:rPr>
          <w:rFonts w:ascii="Arial" w:hAnsi="Arial" w:cs="Arial"/>
          <w:b/>
          <w:bCs/>
          <w:color w:val="1F4E79"/>
          <w:sz w:val="36"/>
          <w:szCs w:val="36"/>
        </w:rPr>
      </w:pPr>
      <w:r w:rsidRPr="00B2249D">
        <w:rPr>
          <w:rFonts w:ascii="Arial" w:hAnsi="Arial" w:cs="Arial"/>
          <w:b/>
          <w:bCs/>
          <w:color w:val="1F4E79"/>
          <w:sz w:val="36"/>
          <w:szCs w:val="36"/>
          <w:lang w:val="es-MX"/>
        </w:rPr>
        <w:t xml:space="preserve">Diapositiva </w:t>
      </w:r>
      <w:r w:rsidR="00B2249D" w:rsidRPr="00B2249D">
        <w:rPr>
          <w:rFonts w:ascii="Arial" w:hAnsi="Arial" w:cs="Arial"/>
          <w:b/>
          <w:bCs/>
          <w:color w:val="1F4E79"/>
          <w:sz w:val="36"/>
          <w:szCs w:val="36"/>
          <w:lang w:val="es-MX"/>
        </w:rPr>
        <w:t>7</w:t>
      </w:r>
      <w:r w:rsidRPr="00B2249D">
        <w:rPr>
          <w:rFonts w:ascii="Arial" w:hAnsi="Arial" w:cs="Arial"/>
          <w:b/>
          <w:bCs/>
          <w:color w:val="1F4E79"/>
          <w:sz w:val="36"/>
          <w:szCs w:val="36"/>
          <w:lang w:val="es-MX"/>
        </w:rPr>
        <w:t xml:space="preserve">. </w:t>
      </w:r>
      <w:r w:rsidR="0028379B" w:rsidRPr="00B2249D">
        <w:rPr>
          <w:rFonts w:ascii="Arial" w:hAnsi="Arial" w:cs="Arial"/>
          <w:b/>
          <w:bCs/>
          <w:color w:val="1F4E79"/>
          <w:sz w:val="36"/>
          <w:szCs w:val="36"/>
          <w:lang w:val="es-MX"/>
        </w:rPr>
        <w:t>Definición de caso: intoxicación por metanol asociado a bebida alcohólica adulterada</w:t>
      </w:r>
    </w:p>
    <w:p w14:paraId="00879244" w14:textId="4F31D4DA" w:rsidR="00E23C26" w:rsidRDefault="00353B3F" w:rsidP="00616495">
      <w:pPr>
        <w:jc w:val="both"/>
        <w:rPr>
          <w:rFonts w:ascii="Arial" w:hAnsi="Arial" w:cs="Arial"/>
        </w:rPr>
      </w:pPr>
      <w:r>
        <w:rPr>
          <w:rFonts w:ascii="Arial" w:hAnsi="Arial" w:cs="Arial"/>
        </w:rPr>
        <w:t xml:space="preserve">El licor </w:t>
      </w:r>
      <w:r w:rsidR="0028379B">
        <w:rPr>
          <w:rFonts w:ascii="Arial" w:hAnsi="Arial" w:cs="Arial"/>
        </w:rPr>
        <w:t>adulterad</w:t>
      </w:r>
      <w:r>
        <w:rPr>
          <w:rFonts w:ascii="Arial" w:hAnsi="Arial" w:cs="Arial"/>
        </w:rPr>
        <w:t>o</w:t>
      </w:r>
      <w:r w:rsidR="0028379B">
        <w:rPr>
          <w:rFonts w:ascii="Arial" w:hAnsi="Arial" w:cs="Arial"/>
        </w:rPr>
        <w:t xml:space="preserve"> corresponde a </w:t>
      </w:r>
      <w:r w:rsidRPr="00353B3F">
        <w:rPr>
          <w:rFonts w:ascii="Arial" w:hAnsi="Arial" w:cs="Arial"/>
        </w:rPr>
        <w:t>es una bebida alcohólica falsificada</w:t>
      </w:r>
      <w:r>
        <w:rPr>
          <w:rFonts w:ascii="Arial" w:hAnsi="Arial" w:cs="Arial"/>
        </w:rPr>
        <w:t>,</w:t>
      </w:r>
      <w:r w:rsidRPr="00353B3F">
        <w:rPr>
          <w:rFonts w:ascii="Arial" w:hAnsi="Arial" w:cs="Arial"/>
        </w:rPr>
        <w:t xml:space="preserve"> </w:t>
      </w:r>
      <w:r>
        <w:rPr>
          <w:rFonts w:ascii="Arial" w:hAnsi="Arial" w:cs="Arial"/>
        </w:rPr>
        <w:t>en la que</w:t>
      </w:r>
      <w:r w:rsidRPr="00353B3F">
        <w:rPr>
          <w:rFonts w:ascii="Arial" w:hAnsi="Arial" w:cs="Arial"/>
        </w:rPr>
        <w:t xml:space="preserve"> para su elaboración se utiliza como materia principal alcohol metílico que es añadido como un sustituto del alcohol etílico</w:t>
      </w:r>
      <w:r>
        <w:rPr>
          <w:rFonts w:ascii="Arial" w:hAnsi="Arial" w:cs="Arial"/>
        </w:rPr>
        <w:t xml:space="preserve">. Debido al cuadro clínico que tiene alta </w:t>
      </w:r>
      <w:r w:rsidR="004D6B99">
        <w:rPr>
          <w:rFonts w:ascii="Arial" w:hAnsi="Arial" w:cs="Arial"/>
        </w:rPr>
        <w:t xml:space="preserve">probabilidad de secuelas y </w:t>
      </w:r>
      <w:r>
        <w:rPr>
          <w:rFonts w:ascii="Arial" w:hAnsi="Arial" w:cs="Arial"/>
        </w:rPr>
        <w:t xml:space="preserve">compromete la vida del paciente y el </w:t>
      </w:r>
      <w:r w:rsidR="004D6B99">
        <w:rPr>
          <w:rFonts w:ascii="Arial" w:hAnsi="Arial" w:cs="Arial"/>
        </w:rPr>
        <w:t xml:space="preserve">posible </w:t>
      </w:r>
      <w:r>
        <w:rPr>
          <w:rFonts w:ascii="Arial" w:hAnsi="Arial" w:cs="Arial"/>
        </w:rPr>
        <w:t xml:space="preserve">aumento </w:t>
      </w:r>
      <w:r w:rsidR="004D6B99">
        <w:rPr>
          <w:rFonts w:ascii="Arial" w:hAnsi="Arial" w:cs="Arial"/>
        </w:rPr>
        <w:t>de</w:t>
      </w:r>
      <w:r>
        <w:rPr>
          <w:rFonts w:ascii="Arial" w:hAnsi="Arial" w:cs="Arial"/>
        </w:rPr>
        <w:t xml:space="preserve"> </w:t>
      </w:r>
      <w:r w:rsidR="004D6B99">
        <w:rPr>
          <w:rFonts w:ascii="Arial" w:hAnsi="Arial" w:cs="Arial"/>
        </w:rPr>
        <w:t xml:space="preserve">la </w:t>
      </w:r>
      <w:r>
        <w:rPr>
          <w:rFonts w:ascii="Arial" w:hAnsi="Arial" w:cs="Arial"/>
        </w:rPr>
        <w:t>fabricación</w:t>
      </w:r>
      <w:r w:rsidR="004D6B99">
        <w:rPr>
          <w:rFonts w:ascii="Arial" w:hAnsi="Arial" w:cs="Arial"/>
        </w:rPr>
        <w:t xml:space="preserve"> de bebidas adulteradas</w:t>
      </w:r>
      <w:r>
        <w:rPr>
          <w:rFonts w:ascii="Arial" w:hAnsi="Arial" w:cs="Arial"/>
        </w:rPr>
        <w:t xml:space="preserve"> durante las festividades</w:t>
      </w:r>
      <w:r w:rsidR="004D6B99">
        <w:rPr>
          <w:rFonts w:ascii="Arial" w:hAnsi="Arial" w:cs="Arial"/>
        </w:rPr>
        <w:t>, lo que aumenta el riesgo de exposición, este evento tiene especial interés en la vigilancia intensificada.</w:t>
      </w:r>
    </w:p>
    <w:p w14:paraId="654C19EC" w14:textId="3EFC8758" w:rsidR="00353B3F" w:rsidRPr="00353B3F" w:rsidRDefault="004D6B99" w:rsidP="00353B3F">
      <w:pPr>
        <w:jc w:val="both"/>
        <w:rPr>
          <w:rFonts w:ascii="Arial" w:hAnsi="Arial" w:cs="Arial"/>
        </w:rPr>
      </w:pPr>
      <w:r>
        <w:rPr>
          <w:rFonts w:ascii="Arial" w:hAnsi="Arial" w:cs="Arial"/>
          <w:lang w:val="es-MX"/>
        </w:rPr>
        <w:t>La definición de caso corresponde a un pa</w:t>
      </w:r>
      <w:r w:rsidR="00353B3F" w:rsidRPr="00353B3F">
        <w:rPr>
          <w:rFonts w:ascii="Arial" w:hAnsi="Arial" w:cs="Arial"/>
          <w:lang w:val="es-MX"/>
        </w:rPr>
        <w:t>ciente con manifestaciones o un cuadro clínico de intoxicación aguda compatible o característico con la exposición a metanol asociado a licor adulterado.</w:t>
      </w:r>
    </w:p>
    <w:p w14:paraId="06D0DDDB" w14:textId="2763FC95" w:rsidR="00353B3F" w:rsidRDefault="004D6B99" w:rsidP="00353B3F">
      <w:pPr>
        <w:jc w:val="both"/>
        <w:rPr>
          <w:rFonts w:ascii="Arial" w:hAnsi="Arial" w:cs="Arial"/>
          <w:lang w:val="es-MX"/>
        </w:rPr>
      </w:pPr>
      <w:r>
        <w:rPr>
          <w:rFonts w:ascii="Arial" w:hAnsi="Arial" w:cs="Arial"/>
          <w:lang w:val="es-MX"/>
        </w:rPr>
        <w:t>La presentación de este evento c</w:t>
      </w:r>
      <w:r w:rsidR="00353B3F" w:rsidRPr="00353B3F">
        <w:rPr>
          <w:rFonts w:ascii="Arial" w:hAnsi="Arial" w:cs="Arial"/>
          <w:lang w:val="es-MX"/>
        </w:rPr>
        <w:t xml:space="preserve">onstituye una alerta </w:t>
      </w:r>
      <w:r>
        <w:rPr>
          <w:rFonts w:ascii="Arial" w:hAnsi="Arial" w:cs="Arial"/>
          <w:lang w:val="es-MX"/>
        </w:rPr>
        <w:t xml:space="preserve">que requiere </w:t>
      </w:r>
      <w:r w:rsidR="00353B3F" w:rsidRPr="00353B3F">
        <w:rPr>
          <w:rFonts w:ascii="Arial" w:hAnsi="Arial" w:cs="Arial"/>
          <w:lang w:val="es-MX"/>
        </w:rPr>
        <w:t xml:space="preserve">notificación </w:t>
      </w:r>
      <w:r>
        <w:rPr>
          <w:rFonts w:ascii="Arial" w:hAnsi="Arial" w:cs="Arial"/>
          <w:lang w:val="es-MX"/>
        </w:rPr>
        <w:t>supe</w:t>
      </w:r>
      <w:r w:rsidR="00353B3F" w:rsidRPr="00353B3F">
        <w:rPr>
          <w:rFonts w:ascii="Arial" w:hAnsi="Arial" w:cs="Arial"/>
          <w:lang w:val="es-MX"/>
        </w:rPr>
        <w:t xml:space="preserve">inmediata y </w:t>
      </w:r>
      <w:r>
        <w:rPr>
          <w:rFonts w:ascii="Arial" w:hAnsi="Arial" w:cs="Arial"/>
          <w:lang w:val="es-MX"/>
        </w:rPr>
        <w:t>la realización de IEC, que busca identificar el origen de la bebida</w:t>
      </w:r>
      <w:r w:rsidR="003F65BF">
        <w:rPr>
          <w:rFonts w:ascii="Arial" w:hAnsi="Arial" w:cs="Arial"/>
          <w:lang w:val="es-MX"/>
        </w:rPr>
        <w:t xml:space="preserve"> y la articulación con otras entidades para tomar medidas de intervención como la incautación de producto</w:t>
      </w:r>
      <w:r>
        <w:rPr>
          <w:rFonts w:ascii="Arial" w:hAnsi="Arial" w:cs="Arial"/>
          <w:lang w:val="es-MX"/>
        </w:rPr>
        <w:t xml:space="preserve"> </w:t>
      </w:r>
      <w:r w:rsidR="003F65BF">
        <w:rPr>
          <w:rFonts w:ascii="Arial" w:hAnsi="Arial" w:cs="Arial"/>
          <w:lang w:val="es-MX"/>
        </w:rPr>
        <w:t>que evite la presentación de</w:t>
      </w:r>
      <w:r>
        <w:rPr>
          <w:rFonts w:ascii="Arial" w:hAnsi="Arial" w:cs="Arial"/>
          <w:lang w:val="es-MX"/>
        </w:rPr>
        <w:t xml:space="preserve"> más casos</w:t>
      </w:r>
      <w:r w:rsidR="00BA4E12">
        <w:rPr>
          <w:rFonts w:ascii="Arial" w:hAnsi="Arial" w:cs="Arial"/>
          <w:lang w:val="es-MX"/>
        </w:rPr>
        <w:t>. P</w:t>
      </w:r>
      <w:r w:rsidR="003F65BF">
        <w:rPr>
          <w:rFonts w:ascii="Arial" w:hAnsi="Arial" w:cs="Arial"/>
          <w:lang w:val="es-MX"/>
        </w:rPr>
        <w:t>or tal motivo la presentación de un</w:t>
      </w:r>
      <w:r w:rsidR="00353B3F" w:rsidRPr="00353B3F">
        <w:rPr>
          <w:rFonts w:ascii="Arial" w:hAnsi="Arial" w:cs="Arial"/>
          <w:lang w:val="es-MX"/>
        </w:rPr>
        <w:t xml:space="preserve"> solo caso constituye un brote</w:t>
      </w:r>
      <w:r w:rsidR="003F65BF">
        <w:rPr>
          <w:rFonts w:ascii="Arial" w:hAnsi="Arial" w:cs="Arial"/>
          <w:lang w:val="es-MX"/>
        </w:rPr>
        <w:t>.</w:t>
      </w:r>
    </w:p>
    <w:p w14:paraId="15DBD29C" w14:textId="542D678B" w:rsidR="00353B3F" w:rsidRDefault="003F65BF" w:rsidP="00353B3F">
      <w:pPr>
        <w:jc w:val="both"/>
        <w:rPr>
          <w:rFonts w:ascii="Arial" w:hAnsi="Arial" w:cs="Arial"/>
          <w:lang w:val="es-MX"/>
        </w:rPr>
      </w:pPr>
      <w:r>
        <w:rPr>
          <w:rFonts w:ascii="Arial" w:hAnsi="Arial" w:cs="Arial"/>
          <w:lang w:val="es-MX"/>
        </w:rPr>
        <w:t xml:space="preserve">Ya que el diagnóstico por laboratorio brinda al médico tratante información crítica para el manejo del paciente intoxicado y por las implicaciones en salud pública de casos de intoxicación asociado a licor adulterado con metanol, todo evento debe tener toma de muestras </w:t>
      </w:r>
      <w:r w:rsidR="00FF66D3">
        <w:rPr>
          <w:rFonts w:ascii="Arial" w:hAnsi="Arial" w:cs="Arial"/>
          <w:lang w:val="es-MX"/>
        </w:rPr>
        <w:t xml:space="preserve">para </w:t>
      </w:r>
      <w:r w:rsidR="008B3FE6">
        <w:rPr>
          <w:rFonts w:ascii="Arial" w:hAnsi="Arial" w:cs="Arial"/>
          <w:lang w:val="es-MX"/>
        </w:rPr>
        <w:t>el</w:t>
      </w:r>
      <w:r w:rsidR="00FF66D3">
        <w:rPr>
          <w:rFonts w:ascii="Arial" w:hAnsi="Arial" w:cs="Arial"/>
          <w:lang w:val="es-MX"/>
        </w:rPr>
        <w:t xml:space="preserve"> análisis</w:t>
      </w:r>
      <w:r w:rsidR="008B3FE6">
        <w:rPr>
          <w:rFonts w:ascii="Arial" w:hAnsi="Arial" w:cs="Arial"/>
          <w:lang w:val="es-MX"/>
        </w:rPr>
        <w:t xml:space="preserve"> de </w:t>
      </w:r>
      <w:r w:rsidR="008B3FE6" w:rsidRPr="008B3FE6">
        <w:rPr>
          <w:rFonts w:ascii="Arial" w:hAnsi="Arial" w:cs="Arial"/>
          <w:lang w:val="es-MX"/>
        </w:rPr>
        <w:t>niveles de metanol y/o de sus metabolitos (formaldehido o ácido fórmico</w:t>
      </w:r>
      <w:r w:rsidR="008B3FE6">
        <w:rPr>
          <w:rFonts w:ascii="Arial" w:hAnsi="Arial" w:cs="Arial"/>
          <w:lang w:val="es-MX"/>
        </w:rPr>
        <w:t>)</w:t>
      </w:r>
      <w:r w:rsidR="00FF66D3">
        <w:rPr>
          <w:rFonts w:ascii="Arial" w:hAnsi="Arial" w:cs="Arial"/>
          <w:lang w:val="es-MX"/>
        </w:rPr>
        <w:t xml:space="preserve"> y el</w:t>
      </w:r>
      <w:r w:rsidR="00353B3F" w:rsidRPr="00353B3F">
        <w:rPr>
          <w:rFonts w:ascii="Arial" w:hAnsi="Arial" w:cs="Arial"/>
          <w:lang w:val="es-MX"/>
        </w:rPr>
        <w:t xml:space="preserve"> caso debe quedar finalmente clasificado como caso confirmado por laboratorio</w:t>
      </w:r>
      <w:r w:rsidR="00FF66D3">
        <w:rPr>
          <w:rFonts w:ascii="Arial" w:hAnsi="Arial" w:cs="Arial"/>
          <w:lang w:val="es-MX"/>
        </w:rPr>
        <w:t>.</w:t>
      </w:r>
    </w:p>
    <w:p w14:paraId="0E0D08E5" w14:textId="448151FE" w:rsidR="008B3FE6" w:rsidRPr="00B2249D" w:rsidRDefault="008B3FE6" w:rsidP="00353B3F">
      <w:pPr>
        <w:jc w:val="both"/>
        <w:rPr>
          <w:rFonts w:ascii="Arial" w:hAnsi="Arial" w:cs="Arial"/>
          <w:b/>
          <w:bCs/>
          <w:color w:val="1F4E79"/>
          <w:sz w:val="36"/>
          <w:szCs w:val="36"/>
        </w:rPr>
      </w:pPr>
      <w:r w:rsidRPr="00B2249D">
        <w:rPr>
          <w:rFonts w:ascii="Arial" w:hAnsi="Arial" w:cs="Arial"/>
          <w:b/>
          <w:bCs/>
          <w:color w:val="1F4E79"/>
          <w:sz w:val="36"/>
          <w:szCs w:val="36"/>
          <w:lang w:val="es-MX"/>
        </w:rPr>
        <w:t xml:space="preserve">Diapositiva </w:t>
      </w:r>
      <w:r w:rsidR="006E09DA">
        <w:rPr>
          <w:rFonts w:ascii="Arial" w:hAnsi="Arial" w:cs="Arial"/>
          <w:b/>
          <w:bCs/>
          <w:color w:val="1F4E79"/>
          <w:sz w:val="36"/>
          <w:szCs w:val="36"/>
          <w:lang w:val="es-MX"/>
        </w:rPr>
        <w:t>9</w:t>
      </w:r>
      <w:r w:rsidRPr="00B2249D">
        <w:rPr>
          <w:rFonts w:ascii="Arial" w:hAnsi="Arial" w:cs="Arial"/>
          <w:b/>
          <w:bCs/>
          <w:color w:val="1F4E79"/>
          <w:sz w:val="36"/>
          <w:szCs w:val="36"/>
          <w:lang w:val="es-MX"/>
        </w:rPr>
        <w:t xml:space="preserve">. </w:t>
      </w:r>
      <w:r w:rsidRPr="00B2249D">
        <w:rPr>
          <w:rFonts w:ascii="Arial" w:hAnsi="Arial" w:cs="Arial"/>
          <w:b/>
          <w:bCs/>
          <w:color w:val="1F4E79"/>
          <w:sz w:val="36"/>
          <w:szCs w:val="36"/>
        </w:rPr>
        <w:t>Notificación intoxicaciones por licor adulterado con metanol</w:t>
      </w:r>
    </w:p>
    <w:p w14:paraId="1E6B39A7" w14:textId="4D1B17D3" w:rsidR="008B3FE6" w:rsidRDefault="008B3FE6" w:rsidP="00353B3F">
      <w:pPr>
        <w:jc w:val="both"/>
        <w:rPr>
          <w:rFonts w:ascii="Arial" w:hAnsi="Arial" w:cs="Arial"/>
          <w:b/>
          <w:bCs/>
        </w:rPr>
      </w:pPr>
    </w:p>
    <w:p w14:paraId="4B02F51B" w14:textId="02FAC697" w:rsidR="00BA4E12" w:rsidRDefault="00BA4E12" w:rsidP="00BA4E12">
      <w:pPr>
        <w:jc w:val="both"/>
        <w:rPr>
          <w:rFonts w:ascii="Arial" w:hAnsi="Arial" w:cs="Arial"/>
        </w:rPr>
      </w:pPr>
      <w:r>
        <w:rPr>
          <w:rFonts w:ascii="Arial" w:hAnsi="Arial" w:cs="Arial"/>
        </w:rPr>
        <w:lastRenderedPageBreak/>
        <w:t xml:space="preserve">Los casos probables de intoxicación por licor adulterado con metanol deben ingresar a Sivigila a través de la plataforma de captura en línea, que permite en tiempo real conocer la ficha de notificación por el nivel nacional. </w:t>
      </w:r>
    </w:p>
    <w:p w14:paraId="748222C7" w14:textId="77777777" w:rsidR="00DF6AB9" w:rsidRDefault="00BA4E12" w:rsidP="00BA4E12">
      <w:pPr>
        <w:jc w:val="both"/>
        <w:rPr>
          <w:rFonts w:ascii="Arial" w:hAnsi="Arial" w:cs="Arial"/>
          <w:lang w:val="es-MX"/>
        </w:rPr>
      </w:pPr>
      <w:r>
        <w:rPr>
          <w:rFonts w:ascii="Arial" w:hAnsi="Arial" w:cs="Arial"/>
        </w:rPr>
        <w:t xml:space="preserve">En el apartado </w:t>
      </w:r>
      <w:r w:rsidRPr="00F01713">
        <w:rPr>
          <w:rFonts w:ascii="Arial" w:hAnsi="Arial" w:cs="Arial"/>
        </w:rPr>
        <w:t xml:space="preserve">3.6 </w:t>
      </w:r>
      <w:r>
        <w:rPr>
          <w:rFonts w:ascii="Arial" w:hAnsi="Arial" w:cs="Arial"/>
        </w:rPr>
        <w:t>sobre la c</w:t>
      </w:r>
      <w:r w:rsidRPr="00F01713">
        <w:rPr>
          <w:rFonts w:ascii="Arial" w:hAnsi="Arial" w:cs="Arial"/>
        </w:rPr>
        <w:t>lasificación inicial de caso</w:t>
      </w:r>
      <w:r>
        <w:rPr>
          <w:rFonts w:ascii="Arial" w:hAnsi="Arial" w:cs="Arial"/>
        </w:rPr>
        <w:t xml:space="preserve">, en los datos básicos, se debe ingresar como un caso tipo 2 o probable y en los datos complementarios, clasificar en el grupo </w:t>
      </w:r>
      <w:r w:rsidR="00BE27DD">
        <w:rPr>
          <w:rFonts w:ascii="Arial" w:hAnsi="Arial" w:cs="Arial"/>
        </w:rPr>
        <w:t>3</w:t>
      </w:r>
      <w:r>
        <w:rPr>
          <w:rFonts w:ascii="Arial" w:hAnsi="Arial" w:cs="Arial"/>
        </w:rPr>
        <w:t xml:space="preserve"> correspondiente a “</w:t>
      </w:r>
      <w:r w:rsidR="00BE27DD">
        <w:rPr>
          <w:rFonts w:ascii="Arial" w:hAnsi="Arial" w:cs="Arial"/>
        </w:rPr>
        <w:t>metanol</w:t>
      </w:r>
      <w:r>
        <w:rPr>
          <w:rFonts w:ascii="Arial" w:hAnsi="Arial" w:cs="Arial"/>
        </w:rPr>
        <w:t xml:space="preserve">”; </w:t>
      </w:r>
      <w:r w:rsidR="00BE27DD">
        <w:rPr>
          <w:rFonts w:ascii="Arial" w:hAnsi="Arial" w:cs="Arial"/>
        </w:rPr>
        <w:t xml:space="preserve">para diligenciar el apartado 5.2, ingresar el nombre del producto bajo el código 0482 “licor adulterado con metanol”. </w:t>
      </w:r>
      <w:r w:rsidR="00BE27DD">
        <w:rPr>
          <w:rFonts w:ascii="Arial" w:hAnsi="Arial" w:cs="Arial"/>
          <w:lang w:val="es-MX"/>
        </w:rPr>
        <w:t>P</w:t>
      </w:r>
      <w:r>
        <w:rPr>
          <w:rFonts w:ascii="Arial" w:hAnsi="Arial" w:cs="Arial"/>
          <w:lang w:val="es-MX"/>
        </w:rPr>
        <w:t>ara el tipo de exposición escoger la opción 2 o accidental</w:t>
      </w:r>
      <w:r w:rsidR="00BE27DD">
        <w:rPr>
          <w:rFonts w:ascii="Arial" w:hAnsi="Arial" w:cs="Arial"/>
          <w:lang w:val="es-MX"/>
        </w:rPr>
        <w:t xml:space="preserve"> y verificar que el lugar de la exposición sea coherente, se esperaría que se de en bares, tabernas, discotecas o en la vía pública. La vía de exposición será la oral. </w:t>
      </w:r>
      <w:r>
        <w:rPr>
          <w:rFonts w:ascii="Arial" w:hAnsi="Arial" w:cs="Arial"/>
          <w:lang w:val="es-MX"/>
        </w:rPr>
        <w:t>En el apartado</w:t>
      </w:r>
      <w:r w:rsidR="00BE27DD">
        <w:rPr>
          <w:rFonts w:ascii="Arial" w:hAnsi="Arial" w:cs="Arial"/>
          <w:lang w:val="es-MX"/>
        </w:rPr>
        <w:t xml:space="preserve"> 7.1 ingresar la opción 1 que indica que se trata de un brote (recuerde que un solo caso constituye un brote</w:t>
      </w:r>
      <w:r w:rsidR="00DF6AB9">
        <w:rPr>
          <w:rFonts w:ascii="Arial" w:hAnsi="Arial" w:cs="Arial"/>
          <w:lang w:val="es-MX"/>
        </w:rPr>
        <w:t>, así que en el número de caso puede ir tan solo uno</w:t>
      </w:r>
      <w:r w:rsidR="00BE27DD">
        <w:rPr>
          <w:rFonts w:ascii="Arial" w:hAnsi="Arial" w:cs="Arial"/>
          <w:lang w:val="es-MX"/>
        </w:rPr>
        <w:t>) y e</w:t>
      </w:r>
      <w:r w:rsidR="00DF6AB9">
        <w:rPr>
          <w:rFonts w:ascii="Arial" w:hAnsi="Arial" w:cs="Arial"/>
          <w:lang w:val="es-MX"/>
        </w:rPr>
        <w:t>n</w:t>
      </w:r>
      <w:r w:rsidR="00BE27DD">
        <w:rPr>
          <w:rFonts w:ascii="Arial" w:hAnsi="Arial" w:cs="Arial"/>
          <w:lang w:val="es-MX"/>
        </w:rPr>
        <w:t xml:space="preserve"> el apa</w:t>
      </w:r>
      <w:r w:rsidR="00DF6AB9">
        <w:rPr>
          <w:rFonts w:ascii="Arial" w:hAnsi="Arial" w:cs="Arial"/>
          <w:lang w:val="es-MX"/>
        </w:rPr>
        <w:t xml:space="preserve">rtado </w:t>
      </w:r>
      <w:r>
        <w:rPr>
          <w:rFonts w:ascii="Arial" w:hAnsi="Arial" w:cs="Arial"/>
          <w:lang w:val="es-MX"/>
        </w:rPr>
        <w:t>7.4 seleccionar la opción 1., que significa que se trata de una situación de alerta,</w:t>
      </w:r>
      <w:r w:rsidR="00DF6AB9">
        <w:rPr>
          <w:rFonts w:ascii="Arial" w:hAnsi="Arial" w:cs="Arial"/>
          <w:lang w:val="es-MX"/>
        </w:rPr>
        <w:t xml:space="preserve"> esto implica que se requiere IEC.</w:t>
      </w:r>
    </w:p>
    <w:p w14:paraId="26BAD089" w14:textId="7550CD33" w:rsidR="00BA4E12" w:rsidRDefault="00DF6AB9" w:rsidP="00BA4E12">
      <w:pPr>
        <w:jc w:val="both"/>
        <w:rPr>
          <w:rFonts w:ascii="Arial" w:hAnsi="Arial" w:cs="Arial"/>
          <w:lang w:val="es-MX"/>
        </w:rPr>
      </w:pPr>
      <w:r>
        <w:rPr>
          <w:rFonts w:ascii="Arial" w:hAnsi="Arial" w:cs="Arial"/>
          <w:lang w:val="es-MX"/>
        </w:rPr>
        <w:t>E</w:t>
      </w:r>
      <w:r w:rsidR="00BA4E12">
        <w:rPr>
          <w:rFonts w:ascii="Arial" w:hAnsi="Arial" w:cs="Arial"/>
          <w:lang w:val="es-MX"/>
        </w:rPr>
        <w:t xml:space="preserve">n el apartado 8 </w:t>
      </w:r>
      <w:r>
        <w:rPr>
          <w:rFonts w:ascii="Arial" w:hAnsi="Arial" w:cs="Arial"/>
          <w:lang w:val="es-MX"/>
        </w:rPr>
        <w:t>debe escogerse siempre que sí</w:t>
      </w:r>
      <w:r w:rsidR="00BA4E12">
        <w:rPr>
          <w:rFonts w:ascii="Arial" w:hAnsi="Arial" w:cs="Arial"/>
          <w:lang w:val="es-MX"/>
        </w:rPr>
        <w:t xml:space="preserve"> se tomaron muestras de laboratorio</w:t>
      </w:r>
      <w:r>
        <w:rPr>
          <w:rFonts w:ascii="Arial" w:hAnsi="Arial" w:cs="Arial"/>
          <w:lang w:val="es-MX"/>
        </w:rPr>
        <w:t xml:space="preserve"> (es decir, opción 1 en el ítem 8.1), el tipo de muestra será sangre total, el nombre de la prueba es “niveles de metanol en sangre”</w:t>
      </w:r>
      <w:r w:rsidR="00BA4E12">
        <w:rPr>
          <w:rFonts w:ascii="Arial" w:hAnsi="Arial" w:cs="Arial"/>
          <w:lang w:val="es-MX"/>
        </w:rPr>
        <w:t xml:space="preserve"> y </w:t>
      </w:r>
      <w:r>
        <w:rPr>
          <w:rFonts w:ascii="Arial" w:hAnsi="Arial" w:cs="Arial"/>
          <w:lang w:val="es-MX"/>
        </w:rPr>
        <w:t xml:space="preserve">se de </w:t>
      </w:r>
      <w:r w:rsidR="00BA4E12">
        <w:rPr>
          <w:rFonts w:ascii="Arial" w:hAnsi="Arial" w:cs="Arial"/>
          <w:lang w:val="es-MX"/>
        </w:rPr>
        <w:t>actualizar el resultado</w:t>
      </w:r>
      <w:r>
        <w:rPr>
          <w:rFonts w:ascii="Arial" w:hAnsi="Arial" w:cs="Arial"/>
          <w:lang w:val="es-MX"/>
        </w:rPr>
        <w:t xml:space="preserve"> de laboratorio</w:t>
      </w:r>
      <w:r w:rsidR="00BA4E12">
        <w:rPr>
          <w:rFonts w:ascii="Arial" w:hAnsi="Arial" w:cs="Arial"/>
          <w:lang w:val="es-MX"/>
        </w:rPr>
        <w:t xml:space="preserve"> cuando ya esté disponible.</w:t>
      </w:r>
      <w:r w:rsidR="00987CE5">
        <w:rPr>
          <w:rFonts w:ascii="Arial" w:hAnsi="Arial" w:cs="Arial"/>
          <w:lang w:val="es-MX"/>
        </w:rPr>
        <w:t xml:space="preserve"> Finalmente, el caso debe quedar como</w:t>
      </w:r>
      <w:r w:rsidR="00BA4E12">
        <w:rPr>
          <w:rFonts w:ascii="Arial" w:hAnsi="Arial" w:cs="Arial"/>
          <w:lang w:val="es-MX"/>
        </w:rPr>
        <w:t xml:space="preserve"> confirmado por laboratorio</w:t>
      </w:r>
      <w:r w:rsidR="00987CE5">
        <w:rPr>
          <w:rFonts w:ascii="Arial" w:hAnsi="Arial" w:cs="Arial"/>
          <w:lang w:val="es-MX"/>
        </w:rPr>
        <w:t>.</w:t>
      </w:r>
    </w:p>
    <w:p w14:paraId="236DCCD3" w14:textId="36F1B480" w:rsidR="00BA4E12" w:rsidRDefault="00BA4E12" w:rsidP="00353B3F">
      <w:pPr>
        <w:jc w:val="both"/>
        <w:rPr>
          <w:rFonts w:ascii="Arial" w:hAnsi="Arial" w:cs="Arial"/>
          <w:b/>
          <w:bCs/>
          <w:lang w:val="es-MX"/>
        </w:rPr>
      </w:pPr>
    </w:p>
    <w:p w14:paraId="193F50EC" w14:textId="13BB1CDC" w:rsidR="00353B3F" w:rsidRPr="00B2249D" w:rsidRDefault="00AE6824" w:rsidP="00616495">
      <w:pPr>
        <w:jc w:val="both"/>
        <w:rPr>
          <w:rFonts w:ascii="Arial" w:hAnsi="Arial" w:cs="Arial"/>
          <w:b/>
          <w:bCs/>
          <w:color w:val="1F4E79"/>
          <w:sz w:val="36"/>
          <w:szCs w:val="36"/>
        </w:rPr>
      </w:pPr>
      <w:r w:rsidRPr="00B2249D">
        <w:rPr>
          <w:rFonts w:ascii="Arial" w:hAnsi="Arial" w:cs="Arial"/>
          <w:b/>
          <w:bCs/>
          <w:color w:val="1F4E79"/>
          <w:sz w:val="36"/>
          <w:szCs w:val="36"/>
        </w:rPr>
        <w:t xml:space="preserve">Diapositiva </w:t>
      </w:r>
      <w:r w:rsidR="006E09DA">
        <w:rPr>
          <w:rFonts w:ascii="Arial" w:hAnsi="Arial" w:cs="Arial"/>
          <w:b/>
          <w:bCs/>
          <w:color w:val="1F4E79"/>
          <w:sz w:val="36"/>
          <w:szCs w:val="36"/>
        </w:rPr>
        <w:t>10</w:t>
      </w:r>
      <w:r w:rsidRPr="00B2249D">
        <w:rPr>
          <w:rFonts w:ascii="Arial" w:hAnsi="Arial" w:cs="Arial"/>
          <w:b/>
          <w:bCs/>
          <w:color w:val="1F4E79"/>
          <w:sz w:val="36"/>
          <w:szCs w:val="36"/>
        </w:rPr>
        <w:t>. Responsabilidades por nivel</w:t>
      </w:r>
    </w:p>
    <w:p w14:paraId="3AF75C38" w14:textId="1F613DAB" w:rsidR="00AE6824" w:rsidRPr="00AE6824" w:rsidRDefault="00AE6824" w:rsidP="00AE6824">
      <w:pPr>
        <w:pStyle w:val="Prrafodelista"/>
        <w:numPr>
          <w:ilvl w:val="0"/>
          <w:numId w:val="1"/>
        </w:numPr>
        <w:jc w:val="both"/>
        <w:rPr>
          <w:rFonts w:ascii="Arial" w:hAnsi="Arial" w:cs="Arial"/>
        </w:rPr>
      </w:pPr>
      <w:r w:rsidRPr="00AE6824">
        <w:rPr>
          <w:rFonts w:ascii="Arial" w:hAnsi="Arial" w:cs="Arial"/>
        </w:rPr>
        <w:t>Responsabilidades de las U</w:t>
      </w:r>
      <w:r>
        <w:rPr>
          <w:rFonts w:ascii="Arial" w:hAnsi="Arial" w:cs="Arial"/>
        </w:rPr>
        <w:t>nidades Primarias Generadoras de Datos UPGD</w:t>
      </w:r>
    </w:p>
    <w:p w14:paraId="75E7F11A" w14:textId="49BF8FC1" w:rsidR="006A7E49" w:rsidRPr="006A7E49" w:rsidRDefault="00AE6824" w:rsidP="006A7E49">
      <w:pPr>
        <w:pStyle w:val="Prrafodelista"/>
        <w:numPr>
          <w:ilvl w:val="0"/>
          <w:numId w:val="2"/>
        </w:numPr>
        <w:jc w:val="both"/>
        <w:rPr>
          <w:rFonts w:ascii="Arial" w:hAnsi="Arial" w:cs="Arial"/>
        </w:rPr>
      </w:pPr>
      <w:r w:rsidRPr="006A7E49">
        <w:rPr>
          <w:rFonts w:ascii="Arial" w:hAnsi="Arial" w:cs="Arial"/>
        </w:rPr>
        <w:t>Identificar casos de intoxicaciones por fósforo blanco y licor adulterado con metanol</w:t>
      </w:r>
      <w:r w:rsidR="006A7E49" w:rsidRPr="006A7E49">
        <w:rPr>
          <w:rFonts w:ascii="Arial" w:hAnsi="Arial" w:cs="Arial"/>
        </w:rPr>
        <w:t>.</w:t>
      </w:r>
    </w:p>
    <w:p w14:paraId="39F22952" w14:textId="54FAC2FE" w:rsidR="00AE6824" w:rsidRPr="006A7E49" w:rsidRDefault="00AE6824" w:rsidP="006A7E49">
      <w:pPr>
        <w:pStyle w:val="Prrafodelista"/>
        <w:numPr>
          <w:ilvl w:val="0"/>
          <w:numId w:val="2"/>
        </w:numPr>
        <w:jc w:val="both"/>
        <w:rPr>
          <w:rFonts w:ascii="Arial" w:hAnsi="Arial" w:cs="Arial"/>
        </w:rPr>
      </w:pPr>
      <w:r w:rsidRPr="006A7E49">
        <w:rPr>
          <w:rFonts w:ascii="Arial" w:hAnsi="Arial" w:cs="Arial"/>
        </w:rPr>
        <w:t>Garantizar la atención integral en salud a los intoxicados por fósforo blanco y licor adulterado con metanol, desde la atención de urgencias hasta la rehabilitación</w:t>
      </w:r>
      <w:r w:rsidR="006A7E49" w:rsidRPr="006A7E49">
        <w:rPr>
          <w:rFonts w:ascii="Arial" w:hAnsi="Arial" w:cs="Arial"/>
        </w:rPr>
        <w:t>,</w:t>
      </w:r>
      <w:r w:rsidRPr="006A7E49">
        <w:rPr>
          <w:rFonts w:ascii="Arial" w:hAnsi="Arial" w:cs="Arial"/>
        </w:rPr>
        <w:t xml:space="preserve"> si así lo requiere, conforme a la normatividad vigente y a los protocolos o guías de atención de cada entidad.  Para la atención de los casos de intoxicación se sugiere seguir el manejo propuesto en la Guía de Manejo de Emergencias Toxicológicas del Ministerio de Salud y Protección Social.</w:t>
      </w:r>
    </w:p>
    <w:p w14:paraId="1A2802F0" w14:textId="24A6F78F" w:rsidR="00AE6824" w:rsidRPr="006A7E49" w:rsidRDefault="00AE6824" w:rsidP="006A7E49">
      <w:pPr>
        <w:pStyle w:val="Prrafodelista"/>
        <w:numPr>
          <w:ilvl w:val="0"/>
          <w:numId w:val="2"/>
        </w:numPr>
        <w:jc w:val="both"/>
        <w:rPr>
          <w:rFonts w:ascii="Arial" w:hAnsi="Arial" w:cs="Arial"/>
        </w:rPr>
      </w:pPr>
      <w:r w:rsidRPr="006A7E49">
        <w:rPr>
          <w:rFonts w:ascii="Arial" w:hAnsi="Arial" w:cs="Arial"/>
        </w:rPr>
        <w:t>Diligenciar la ficha de notificación de datos básicos y ficha de datos complementarios para Intoxicaciones Agudas por sustancias químicas código INS – 365</w:t>
      </w:r>
    </w:p>
    <w:p w14:paraId="0FCCBD79" w14:textId="196985D3" w:rsidR="006A7E49" w:rsidRPr="006A7E49" w:rsidRDefault="00AE6824" w:rsidP="006A7E49">
      <w:pPr>
        <w:pStyle w:val="Prrafodelista"/>
        <w:numPr>
          <w:ilvl w:val="0"/>
          <w:numId w:val="2"/>
        </w:numPr>
        <w:rPr>
          <w:rFonts w:ascii="Arial" w:hAnsi="Arial" w:cs="Arial"/>
        </w:rPr>
      </w:pPr>
      <w:r w:rsidRPr="006A7E49">
        <w:rPr>
          <w:rFonts w:ascii="Arial" w:hAnsi="Arial" w:cs="Arial"/>
        </w:rPr>
        <w:t>Ingresar los datos al aplicativo Sivigila, teniendo en cuenta que</w:t>
      </w:r>
      <w:r w:rsidR="006A7E49" w:rsidRPr="006A7E49">
        <w:rPr>
          <w:rFonts w:ascii="Arial" w:hAnsi="Arial" w:cs="Arial"/>
        </w:rPr>
        <w:t xml:space="preserve"> s</w:t>
      </w:r>
      <w:r w:rsidRPr="006A7E49">
        <w:rPr>
          <w:rFonts w:ascii="Arial" w:hAnsi="Arial" w:cs="Arial"/>
        </w:rPr>
        <w:t>e deben ingresar los datos básicos y complementarios completos</w:t>
      </w:r>
      <w:r w:rsidR="006A7E49" w:rsidRPr="006A7E49">
        <w:rPr>
          <w:rFonts w:ascii="Arial" w:hAnsi="Arial" w:cs="Arial"/>
        </w:rPr>
        <w:t xml:space="preserve"> y realizar notificación inmediata de los casos identificados. </w:t>
      </w:r>
    </w:p>
    <w:p w14:paraId="392D4713" w14:textId="7AED8AFE" w:rsidR="006A7E49" w:rsidRDefault="006A7E49" w:rsidP="006A7E49">
      <w:pPr>
        <w:pStyle w:val="Prrafodelista"/>
        <w:numPr>
          <w:ilvl w:val="0"/>
          <w:numId w:val="2"/>
        </w:numPr>
        <w:rPr>
          <w:rFonts w:ascii="Arial" w:hAnsi="Arial" w:cs="Arial"/>
        </w:rPr>
      </w:pPr>
      <w:r w:rsidRPr="006A7E49">
        <w:rPr>
          <w:rFonts w:ascii="Arial" w:hAnsi="Arial" w:cs="Arial"/>
        </w:rPr>
        <w:t>Informar al Instituto Colombiano de Bienestar Familiar (ICBF) los casos de intoxicación por fósforo blanco y licor adulterado con metanol en menores de 18 años, de conformidad con lo establecido en el artículo 51 de la Ley 1098 de 2006, Código de la Infancia y la Adolescencia, que establece la “Obligación del restablecimiento de los derechos de los niños, las niñas y los adolescentes”.</w:t>
      </w:r>
    </w:p>
    <w:p w14:paraId="05FA28D0" w14:textId="77777777" w:rsidR="006A7E49" w:rsidRDefault="006A7E49" w:rsidP="006A7E49">
      <w:pPr>
        <w:pStyle w:val="Prrafodelista"/>
        <w:rPr>
          <w:rFonts w:ascii="Arial" w:hAnsi="Arial" w:cs="Arial"/>
        </w:rPr>
      </w:pPr>
    </w:p>
    <w:p w14:paraId="7125F19B" w14:textId="690F37FE" w:rsidR="006A7E49" w:rsidRDefault="006A7E49" w:rsidP="006A7E49">
      <w:pPr>
        <w:pStyle w:val="Prrafodelista"/>
        <w:numPr>
          <w:ilvl w:val="0"/>
          <w:numId w:val="1"/>
        </w:numPr>
        <w:rPr>
          <w:rFonts w:ascii="Arial" w:hAnsi="Arial" w:cs="Arial"/>
        </w:rPr>
      </w:pPr>
      <w:r w:rsidRPr="006A7E49">
        <w:rPr>
          <w:rFonts w:ascii="Arial" w:hAnsi="Arial" w:cs="Arial"/>
        </w:rPr>
        <w:t>Responsabilidades de las Unidades Notificadoras Municipales</w:t>
      </w:r>
      <w:r>
        <w:rPr>
          <w:rFonts w:ascii="Arial" w:hAnsi="Arial" w:cs="Arial"/>
        </w:rPr>
        <w:t>:</w:t>
      </w:r>
    </w:p>
    <w:p w14:paraId="0F513BBD" w14:textId="46A871CF" w:rsidR="00807689" w:rsidRPr="00807689" w:rsidRDefault="00807689" w:rsidP="00DD5C2E">
      <w:pPr>
        <w:pStyle w:val="Prrafodelista"/>
        <w:numPr>
          <w:ilvl w:val="0"/>
          <w:numId w:val="5"/>
        </w:numPr>
        <w:jc w:val="both"/>
        <w:rPr>
          <w:rFonts w:ascii="Arial" w:hAnsi="Arial" w:cs="Arial"/>
        </w:rPr>
      </w:pPr>
      <w:r w:rsidRPr="00807689">
        <w:rPr>
          <w:rFonts w:ascii="Arial" w:hAnsi="Arial" w:cs="Arial"/>
        </w:rPr>
        <w:t>Garantizar acceso a Sivigila y al módulo Captura en Línea en las UPGD a su cargo</w:t>
      </w:r>
    </w:p>
    <w:p w14:paraId="3A6D6A46" w14:textId="6D072878" w:rsidR="00807689" w:rsidRPr="00807689" w:rsidRDefault="00807689" w:rsidP="00DD5C2E">
      <w:pPr>
        <w:pStyle w:val="Prrafodelista"/>
        <w:numPr>
          <w:ilvl w:val="0"/>
          <w:numId w:val="5"/>
        </w:numPr>
        <w:jc w:val="both"/>
        <w:rPr>
          <w:rFonts w:ascii="Arial" w:hAnsi="Arial" w:cs="Arial"/>
        </w:rPr>
      </w:pPr>
      <w:r w:rsidRPr="00807689">
        <w:rPr>
          <w:rFonts w:ascii="Arial" w:hAnsi="Arial" w:cs="Arial"/>
        </w:rPr>
        <w:t>Ingresar casos de UPGD cuando estas no tengan capacidad instalada.</w:t>
      </w:r>
    </w:p>
    <w:p w14:paraId="1E8FF576" w14:textId="13384E87" w:rsidR="006A7E49" w:rsidRPr="00807689" w:rsidRDefault="006A7E49" w:rsidP="00DD5C2E">
      <w:pPr>
        <w:pStyle w:val="Prrafodelista"/>
        <w:numPr>
          <w:ilvl w:val="0"/>
          <w:numId w:val="5"/>
        </w:numPr>
        <w:jc w:val="both"/>
        <w:rPr>
          <w:rFonts w:ascii="Arial" w:hAnsi="Arial" w:cs="Arial"/>
        </w:rPr>
      </w:pPr>
      <w:r w:rsidRPr="00807689">
        <w:rPr>
          <w:rFonts w:ascii="Arial" w:hAnsi="Arial" w:cs="Arial"/>
        </w:rPr>
        <w:lastRenderedPageBreak/>
        <w:t>Recibir, revisar, consolidar, depurar y analizar la notificación de las Unidades Primarias Generadoras de Datos de su territorio.</w:t>
      </w:r>
    </w:p>
    <w:p w14:paraId="13C86DC3" w14:textId="6F9084DA" w:rsidR="006A7E49" w:rsidRPr="00807689" w:rsidRDefault="006A7E49" w:rsidP="00DD5C2E">
      <w:pPr>
        <w:pStyle w:val="Prrafodelista"/>
        <w:numPr>
          <w:ilvl w:val="0"/>
          <w:numId w:val="5"/>
        </w:numPr>
        <w:jc w:val="both"/>
        <w:rPr>
          <w:rFonts w:ascii="Arial" w:hAnsi="Arial" w:cs="Arial"/>
        </w:rPr>
      </w:pPr>
      <w:r w:rsidRPr="00807689">
        <w:rPr>
          <w:rFonts w:ascii="Arial" w:hAnsi="Arial" w:cs="Arial"/>
        </w:rPr>
        <w:t>Recibir información de intoxicaciones por fósforo blanco y licor adulterado con metanol de otras fuentes como Centro Regulador de Urgencias y Emergencias, Policía Nacional, Cuerpos de Bomberos, entre otros y verificar que sean notificados.</w:t>
      </w:r>
    </w:p>
    <w:p w14:paraId="07E3F53A" w14:textId="3791DD96" w:rsidR="006A7E49" w:rsidRDefault="006A7E49" w:rsidP="00DD5C2E">
      <w:pPr>
        <w:pStyle w:val="Prrafodelista"/>
        <w:numPr>
          <w:ilvl w:val="0"/>
          <w:numId w:val="5"/>
        </w:numPr>
        <w:jc w:val="both"/>
        <w:rPr>
          <w:rFonts w:ascii="Arial" w:hAnsi="Arial" w:cs="Arial"/>
        </w:rPr>
      </w:pPr>
      <w:r w:rsidRPr="00807689">
        <w:rPr>
          <w:rFonts w:ascii="Arial" w:hAnsi="Arial" w:cs="Arial"/>
        </w:rPr>
        <w:t>Solicitar a las UPGD los ajustes a los casos notificados en caso de requerirse.</w:t>
      </w:r>
    </w:p>
    <w:p w14:paraId="4E047A00" w14:textId="74A4C042" w:rsidR="009C7280" w:rsidRPr="009C7280" w:rsidRDefault="006C0767" w:rsidP="00DD5C2E">
      <w:pPr>
        <w:pStyle w:val="Prrafodelista"/>
        <w:numPr>
          <w:ilvl w:val="0"/>
          <w:numId w:val="5"/>
        </w:numPr>
        <w:jc w:val="both"/>
        <w:rPr>
          <w:rFonts w:ascii="Arial" w:hAnsi="Arial" w:cs="Arial"/>
        </w:rPr>
      </w:pPr>
      <w:r w:rsidRPr="00DD5C2E">
        <w:rPr>
          <w:rFonts w:ascii="Arial" w:hAnsi="Arial" w:cs="Arial"/>
        </w:rPr>
        <w:t>Realizar la IEC en las primeras 24 horas y entregar los reportes Sitrep.</w:t>
      </w:r>
      <w:r w:rsidR="009C7280" w:rsidRPr="00DD5C2E">
        <w:rPr>
          <w:rFonts w:ascii="Arial" w:hAnsi="Arial" w:cs="Arial"/>
        </w:rPr>
        <w:t xml:space="preserve"> Recuerde que d</w:t>
      </w:r>
      <w:r w:rsidR="009C7280" w:rsidRPr="009C7280">
        <w:rPr>
          <w:rFonts w:ascii="Arial" w:hAnsi="Arial" w:cs="Arial"/>
        </w:rPr>
        <w:t>ebe incluir</w:t>
      </w:r>
      <w:r w:rsidR="009C7280" w:rsidRPr="00DD5C2E">
        <w:rPr>
          <w:rFonts w:ascii="Arial" w:hAnsi="Arial" w:cs="Arial"/>
        </w:rPr>
        <w:t xml:space="preserve"> la </w:t>
      </w:r>
      <w:r w:rsidR="009C7280" w:rsidRPr="009C7280">
        <w:rPr>
          <w:rFonts w:ascii="Arial" w:hAnsi="Arial" w:cs="Arial"/>
        </w:rPr>
        <w:t>caracterización del caso en cuanto a estado de salud, signos y síntomas presentados, fecha de inicio de síntomas, tipo de exposición y lugar de ocurrencia</w:t>
      </w:r>
      <w:r w:rsidR="00DD5C2E" w:rsidRPr="00DD5C2E">
        <w:rPr>
          <w:rFonts w:ascii="Arial" w:hAnsi="Arial" w:cs="Arial"/>
        </w:rPr>
        <w:t xml:space="preserve">. </w:t>
      </w:r>
      <w:r w:rsidR="00DD5C2E">
        <w:rPr>
          <w:rFonts w:ascii="Arial" w:hAnsi="Arial" w:cs="Arial"/>
        </w:rPr>
        <w:t>Además, p</w:t>
      </w:r>
      <w:r w:rsidR="009C7280" w:rsidRPr="009C7280">
        <w:rPr>
          <w:rFonts w:ascii="Arial" w:hAnsi="Arial" w:cs="Arial"/>
        </w:rPr>
        <w:t>ara licor adulterado con metanol</w:t>
      </w:r>
      <w:r w:rsidR="00DD5C2E">
        <w:rPr>
          <w:rFonts w:ascii="Arial" w:hAnsi="Arial" w:cs="Arial"/>
        </w:rPr>
        <w:t>, el</w:t>
      </w:r>
      <w:r w:rsidR="009C7280" w:rsidRPr="009C7280">
        <w:rPr>
          <w:rFonts w:ascii="Arial" w:hAnsi="Arial" w:cs="Arial"/>
        </w:rPr>
        <w:t xml:space="preserve"> tipo de establecimiento en donde se adquirió la bebida y/o lugar de consumo, descripción de la bebida alcohólica implicada, ampliar la información en cuanto a otras personas expuestas</w:t>
      </w:r>
      <w:r w:rsidR="00DD5C2E">
        <w:rPr>
          <w:rFonts w:ascii="Arial" w:hAnsi="Arial" w:cs="Arial"/>
        </w:rPr>
        <w:t xml:space="preserve"> e indicar las </w:t>
      </w:r>
      <w:r w:rsidR="009C7280" w:rsidRPr="009C7280">
        <w:rPr>
          <w:rFonts w:ascii="Arial" w:hAnsi="Arial" w:cs="Arial"/>
        </w:rPr>
        <w:t xml:space="preserve">medidas sanitarias que hayan sido aplicadas. </w:t>
      </w:r>
    </w:p>
    <w:p w14:paraId="32847402" w14:textId="0F2ED2DE" w:rsidR="00807689" w:rsidRPr="00807689" w:rsidRDefault="00807689" w:rsidP="00DD5C2E">
      <w:pPr>
        <w:pStyle w:val="Prrafodelista"/>
        <w:numPr>
          <w:ilvl w:val="0"/>
          <w:numId w:val="5"/>
        </w:numPr>
        <w:jc w:val="both"/>
        <w:rPr>
          <w:rFonts w:ascii="Arial" w:hAnsi="Arial" w:cs="Arial"/>
        </w:rPr>
      </w:pPr>
      <w:r w:rsidRPr="00807689">
        <w:rPr>
          <w:rFonts w:ascii="Arial" w:hAnsi="Arial" w:cs="Arial"/>
        </w:rPr>
        <w:t>Verificar que la información de intoxicaciones por fósforo blanco y licor adulterado con metanol del municipio sea concordante con la información registrada en los niveles departamental y nacional antes de emitir un comunicado de prensa.</w:t>
      </w:r>
    </w:p>
    <w:p w14:paraId="556796E3" w14:textId="68F4CBB7" w:rsidR="006A7E49" w:rsidRDefault="006A7E49" w:rsidP="001031F4">
      <w:pPr>
        <w:rPr>
          <w:rFonts w:ascii="Arial" w:hAnsi="Arial" w:cs="Arial"/>
        </w:rPr>
      </w:pPr>
    </w:p>
    <w:p w14:paraId="12382BE9" w14:textId="6874AB85" w:rsidR="001031F4" w:rsidRDefault="001031F4" w:rsidP="001031F4">
      <w:pPr>
        <w:pStyle w:val="Prrafodelista"/>
        <w:numPr>
          <w:ilvl w:val="0"/>
          <w:numId w:val="1"/>
        </w:numPr>
        <w:rPr>
          <w:rFonts w:ascii="Arial" w:hAnsi="Arial" w:cs="Arial"/>
        </w:rPr>
      </w:pPr>
      <w:r w:rsidRPr="001031F4">
        <w:rPr>
          <w:rFonts w:ascii="Arial" w:hAnsi="Arial" w:cs="Arial"/>
        </w:rPr>
        <w:t>Responsabilidades de las Unidades Notificadoras Departamentales y Distritales</w:t>
      </w:r>
    </w:p>
    <w:p w14:paraId="5EE4FED5" w14:textId="77777777" w:rsidR="006C0767" w:rsidRDefault="006C0767" w:rsidP="006C0767">
      <w:pPr>
        <w:pStyle w:val="Prrafodelista"/>
        <w:rPr>
          <w:rFonts w:ascii="Arial" w:hAnsi="Arial" w:cs="Arial"/>
        </w:rPr>
      </w:pPr>
    </w:p>
    <w:p w14:paraId="22A7A604" w14:textId="77777777" w:rsidR="006C0767" w:rsidRPr="006C0767" w:rsidRDefault="006C0767" w:rsidP="006C0767">
      <w:pPr>
        <w:pStyle w:val="Prrafodelista"/>
        <w:numPr>
          <w:ilvl w:val="0"/>
          <w:numId w:val="6"/>
        </w:numPr>
        <w:ind w:left="709" w:hanging="283"/>
        <w:jc w:val="both"/>
        <w:rPr>
          <w:rFonts w:ascii="Arial" w:hAnsi="Arial" w:cs="Arial"/>
        </w:rPr>
      </w:pPr>
      <w:r w:rsidRPr="006C0767">
        <w:rPr>
          <w:rFonts w:ascii="Arial" w:hAnsi="Arial" w:cs="Arial"/>
        </w:rPr>
        <w:t>Garantizar acceso a Sivigila y al módulo Captura en Línea en los municipios a su cargo e ingresar casos de las UNM cuando estas no tengan capacidad instalada.</w:t>
      </w:r>
    </w:p>
    <w:p w14:paraId="63E7ACEB" w14:textId="2C5DB9A4" w:rsidR="001031F4" w:rsidRPr="006C0767" w:rsidRDefault="001031F4" w:rsidP="006C0767">
      <w:pPr>
        <w:pStyle w:val="Prrafodelista"/>
        <w:numPr>
          <w:ilvl w:val="0"/>
          <w:numId w:val="6"/>
        </w:numPr>
        <w:ind w:left="709" w:hanging="283"/>
        <w:jc w:val="both"/>
        <w:rPr>
          <w:rFonts w:ascii="Arial" w:hAnsi="Arial" w:cs="Arial"/>
        </w:rPr>
      </w:pPr>
      <w:r w:rsidRPr="006C0767">
        <w:rPr>
          <w:rFonts w:ascii="Arial" w:hAnsi="Arial" w:cs="Arial"/>
        </w:rPr>
        <w:t>Recibir, revisar, consolidar, depurar y analizar la notificación de las Unidades Notificadoras Municipales.</w:t>
      </w:r>
    </w:p>
    <w:p w14:paraId="49E19168" w14:textId="0D9BB407" w:rsidR="001031F4" w:rsidRPr="006C0767" w:rsidRDefault="001031F4" w:rsidP="006C0767">
      <w:pPr>
        <w:pStyle w:val="Prrafodelista"/>
        <w:numPr>
          <w:ilvl w:val="0"/>
          <w:numId w:val="6"/>
        </w:numPr>
        <w:ind w:left="709" w:hanging="283"/>
        <w:jc w:val="both"/>
        <w:rPr>
          <w:rFonts w:ascii="Arial" w:hAnsi="Arial" w:cs="Arial"/>
        </w:rPr>
      </w:pPr>
      <w:r w:rsidRPr="006C0767">
        <w:rPr>
          <w:rFonts w:ascii="Arial" w:hAnsi="Arial" w:cs="Arial"/>
        </w:rPr>
        <w:t>Recibir información de intoxicaciones por fósforo blanco y licor adulterado con metanol de otras fuentes como Centros Reguladores de Urgencias y Emergencias, Policía Nacional, Cuerpos de Bomberos, entre otros y verificar que se notifiquen al Sivigila.</w:t>
      </w:r>
    </w:p>
    <w:p w14:paraId="7B1A8748" w14:textId="46B71760" w:rsidR="001031F4" w:rsidRPr="006C0767" w:rsidRDefault="001031F4" w:rsidP="006C0767">
      <w:pPr>
        <w:pStyle w:val="Prrafodelista"/>
        <w:numPr>
          <w:ilvl w:val="0"/>
          <w:numId w:val="6"/>
        </w:numPr>
        <w:ind w:left="709" w:hanging="283"/>
        <w:jc w:val="both"/>
        <w:rPr>
          <w:rFonts w:ascii="Arial" w:hAnsi="Arial" w:cs="Arial"/>
        </w:rPr>
      </w:pPr>
      <w:r w:rsidRPr="006C0767">
        <w:rPr>
          <w:rFonts w:ascii="Arial" w:hAnsi="Arial" w:cs="Arial"/>
        </w:rPr>
        <w:t>Solicitar a las Unidades Notificadoras Municipales, ajustes a los casos notificados en caso de requerirse.</w:t>
      </w:r>
    </w:p>
    <w:p w14:paraId="79088D85" w14:textId="19373AF6" w:rsidR="006C0767" w:rsidRDefault="006C0767" w:rsidP="006C0767">
      <w:pPr>
        <w:pStyle w:val="Prrafodelista"/>
        <w:numPr>
          <w:ilvl w:val="0"/>
          <w:numId w:val="6"/>
        </w:numPr>
        <w:ind w:left="709" w:hanging="283"/>
        <w:jc w:val="both"/>
        <w:rPr>
          <w:rFonts w:ascii="Arial" w:hAnsi="Arial" w:cs="Arial"/>
        </w:rPr>
      </w:pPr>
      <w:r w:rsidRPr="006C0767">
        <w:rPr>
          <w:rFonts w:ascii="Arial" w:hAnsi="Arial" w:cs="Arial"/>
        </w:rPr>
        <w:t>Verificar que la información de intoxicaciones por fósforo blanco y licor adulterado con metanol del departamento o distrito sea concordante con la información registrada en los niveles departamental y nacional antes de emitir un comunicado de prensa.</w:t>
      </w:r>
    </w:p>
    <w:p w14:paraId="76DDC023" w14:textId="1951C341" w:rsidR="00325794" w:rsidRPr="00B2249D" w:rsidRDefault="00325794" w:rsidP="00325794">
      <w:pPr>
        <w:jc w:val="both"/>
        <w:rPr>
          <w:rFonts w:ascii="Arial" w:hAnsi="Arial" w:cs="Arial"/>
          <w:color w:val="1F4E79"/>
          <w:sz w:val="36"/>
          <w:szCs w:val="36"/>
        </w:rPr>
      </w:pPr>
    </w:p>
    <w:p w14:paraId="0370FD29" w14:textId="07618481" w:rsidR="00325794" w:rsidRPr="00B2249D" w:rsidRDefault="00325794" w:rsidP="00325794">
      <w:pPr>
        <w:jc w:val="both"/>
        <w:rPr>
          <w:rFonts w:ascii="Arial" w:hAnsi="Arial" w:cs="Arial"/>
          <w:b/>
          <w:bCs/>
          <w:color w:val="1F4E79"/>
          <w:sz w:val="36"/>
          <w:szCs w:val="36"/>
        </w:rPr>
      </w:pPr>
      <w:r w:rsidRPr="00B2249D">
        <w:rPr>
          <w:rFonts w:ascii="Arial" w:hAnsi="Arial" w:cs="Arial"/>
          <w:b/>
          <w:bCs/>
          <w:color w:val="1F4E79"/>
          <w:sz w:val="36"/>
          <w:szCs w:val="36"/>
        </w:rPr>
        <w:t>Diapositiva 1</w:t>
      </w:r>
      <w:r w:rsidR="00B2249D" w:rsidRPr="00B2249D">
        <w:rPr>
          <w:rFonts w:ascii="Arial" w:hAnsi="Arial" w:cs="Arial"/>
          <w:b/>
          <w:bCs/>
          <w:color w:val="1F4E79"/>
          <w:sz w:val="36"/>
          <w:szCs w:val="36"/>
        </w:rPr>
        <w:t>0</w:t>
      </w:r>
      <w:r w:rsidRPr="00B2249D">
        <w:rPr>
          <w:rFonts w:ascii="Arial" w:hAnsi="Arial" w:cs="Arial"/>
          <w:b/>
          <w:bCs/>
          <w:color w:val="1F4E79"/>
          <w:sz w:val="36"/>
          <w:szCs w:val="36"/>
        </w:rPr>
        <w:t>. Responsabilidades del INS</w:t>
      </w:r>
    </w:p>
    <w:p w14:paraId="7A18640B" w14:textId="221552E1" w:rsidR="00325794" w:rsidRPr="00325794" w:rsidRDefault="00325794" w:rsidP="00325794">
      <w:pPr>
        <w:jc w:val="both"/>
        <w:rPr>
          <w:rFonts w:ascii="Arial" w:hAnsi="Arial" w:cs="Arial"/>
        </w:rPr>
      </w:pPr>
      <w:r w:rsidRPr="00325794">
        <w:rPr>
          <w:rFonts w:ascii="Arial" w:hAnsi="Arial" w:cs="Arial"/>
        </w:rPr>
        <w:t>Recibir, revisar, consolidar, depurar y analizar la notificación de las Unidades Notificadoras Departamentales y Distritales.</w:t>
      </w:r>
    </w:p>
    <w:p w14:paraId="14C2F089" w14:textId="0EC1E925" w:rsidR="00325794" w:rsidRPr="00325794" w:rsidRDefault="00325794" w:rsidP="00325794">
      <w:pPr>
        <w:jc w:val="both"/>
        <w:rPr>
          <w:rFonts w:ascii="Arial" w:hAnsi="Arial" w:cs="Arial"/>
        </w:rPr>
      </w:pPr>
      <w:r w:rsidRPr="00325794">
        <w:rPr>
          <w:rFonts w:ascii="Arial" w:hAnsi="Arial" w:cs="Arial"/>
        </w:rPr>
        <w:t>Realizar seguimiento a medios de comunicación y rumores que permita captar posibles casos de intoxicaciones por fósforo blanco y licor adulterado con metanol y verificar su notificación al Sivigila.</w:t>
      </w:r>
    </w:p>
    <w:p w14:paraId="15927909" w14:textId="234FA402" w:rsidR="00325794" w:rsidRPr="00325794" w:rsidRDefault="00325794" w:rsidP="00325794">
      <w:pPr>
        <w:jc w:val="both"/>
        <w:rPr>
          <w:rFonts w:ascii="Arial" w:hAnsi="Arial" w:cs="Arial"/>
        </w:rPr>
      </w:pPr>
      <w:r w:rsidRPr="00325794">
        <w:rPr>
          <w:rFonts w:ascii="Arial" w:hAnsi="Arial" w:cs="Arial"/>
        </w:rPr>
        <w:lastRenderedPageBreak/>
        <w:t>Recibir información de intoxicaciones por fósforo blanco y licor adulterado con metanol de otras fuentes de información del nivel nacional: Centro Regulador de Urgencias y Emergencias, Policía Nacional, Instituto Nacional de Medicina Legal, entre otros y verificar que se notifiquen al Sivigila.</w:t>
      </w:r>
    </w:p>
    <w:p w14:paraId="2F3A09C4" w14:textId="3F779468" w:rsidR="00325794" w:rsidRPr="00325794" w:rsidRDefault="00325794" w:rsidP="00325794">
      <w:pPr>
        <w:jc w:val="both"/>
        <w:rPr>
          <w:rFonts w:ascii="Arial" w:hAnsi="Arial" w:cs="Arial"/>
        </w:rPr>
      </w:pPr>
      <w:r w:rsidRPr="00325794">
        <w:rPr>
          <w:rFonts w:ascii="Arial" w:hAnsi="Arial" w:cs="Arial"/>
        </w:rPr>
        <w:t>Solicitar a las Unidades Notificadoras Departamentales y Distritales, ajustes a los casos notificados en caso de requerirse.</w:t>
      </w:r>
    </w:p>
    <w:p w14:paraId="60956038" w14:textId="59C6C72E" w:rsidR="00325794" w:rsidRPr="00325794" w:rsidRDefault="00325794" w:rsidP="00325794">
      <w:pPr>
        <w:jc w:val="both"/>
        <w:rPr>
          <w:rFonts w:ascii="Arial" w:hAnsi="Arial" w:cs="Arial"/>
        </w:rPr>
      </w:pPr>
      <w:r w:rsidRPr="00325794">
        <w:rPr>
          <w:rFonts w:ascii="Arial" w:hAnsi="Arial" w:cs="Arial"/>
        </w:rPr>
        <w:t>Publicar boletines diarios con el comportamiento de la notificación de</w:t>
      </w:r>
      <w:r>
        <w:rPr>
          <w:rFonts w:ascii="Arial" w:hAnsi="Arial" w:cs="Arial"/>
        </w:rPr>
        <w:t xml:space="preserve"> las Intoxicaciones.</w:t>
      </w:r>
    </w:p>
    <w:p w14:paraId="05FC4E3E" w14:textId="77777777" w:rsidR="00325794" w:rsidRDefault="00325794" w:rsidP="00325794">
      <w:pPr>
        <w:jc w:val="both"/>
        <w:rPr>
          <w:rFonts w:ascii="Arial" w:hAnsi="Arial" w:cs="Arial"/>
          <w:b/>
          <w:bCs/>
        </w:rPr>
      </w:pPr>
    </w:p>
    <w:p w14:paraId="1B8824DB" w14:textId="7AC4D538" w:rsidR="005E7777" w:rsidRDefault="00916EFF" w:rsidP="00616495">
      <w:pPr>
        <w:jc w:val="both"/>
        <w:rPr>
          <w:rFonts w:ascii="Arial" w:hAnsi="Arial" w:cs="Arial"/>
          <w:b/>
          <w:bCs/>
        </w:rPr>
      </w:pPr>
      <w:r w:rsidRPr="00916EFF">
        <w:rPr>
          <w:rFonts w:ascii="Arial" w:hAnsi="Arial" w:cs="Arial"/>
          <w:b/>
          <w:bCs/>
        </w:rPr>
        <w:t xml:space="preserve">Finalmente, </w:t>
      </w:r>
      <w:r w:rsidR="00ED70F8">
        <w:rPr>
          <w:rFonts w:ascii="Arial" w:hAnsi="Arial" w:cs="Arial"/>
          <w:b/>
          <w:bCs/>
        </w:rPr>
        <w:t xml:space="preserve">para </w:t>
      </w:r>
      <w:r w:rsidRPr="00916EFF">
        <w:rPr>
          <w:rFonts w:ascii="Arial" w:hAnsi="Arial" w:cs="Arial"/>
          <w:b/>
          <w:bCs/>
        </w:rPr>
        <w:t>cada vigencia</w:t>
      </w:r>
      <w:r w:rsidR="00ED70F8">
        <w:rPr>
          <w:rFonts w:ascii="Arial" w:hAnsi="Arial" w:cs="Arial"/>
          <w:b/>
          <w:bCs/>
        </w:rPr>
        <w:t xml:space="preserve"> se</w:t>
      </w:r>
      <w:r w:rsidRPr="00916EFF">
        <w:rPr>
          <w:rFonts w:ascii="Arial" w:hAnsi="Arial" w:cs="Arial"/>
          <w:b/>
          <w:bCs/>
        </w:rPr>
        <w:t xml:space="preserve"> determinará el horario de notificación diario y los días críticos y rutinarios, por lo que debe tenerse en cuenta lo establecido en la circular vigente para ese periodo.</w:t>
      </w:r>
    </w:p>
    <w:p w14:paraId="2994068C" w14:textId="2ECBF117" w:rsidR="00A22075" w:rsidRDefault="00A22075" w:rsidP="00616495">
      <w:pPr>
        <w:jc w:val="both"/>
        <w:rPr>
          <w:rFonts w:ascii="Arial" w:hAnsi="Arial" w:cs="Arial"/>
          <w:b/>
          <w:bCs/>
        </w:rPr>
      </w:pPr>
    </w:p>
    <w:p w14:paraId="38C08172" w14:textId="3EA567F4" w:rsidR="00A22075" w:rsidRPr="00B2249D" w:rsidRDefault="00A22075" w:rsidP="00A22075">
      <w:pPr>
        <w:jc w:val="both"/>
        <w:rPr>
          <w:rFonts w:ascii="Arial" w:hAnsi="Arial" w:cs="Arial"/>
          <w:b/>
          <w:bCs/>
          <w:color w:val="1F4E79"/>
          <w:sz w:val="36"/>
          <w:szCs w:val="36"/>
        </w:rPr>
      </w:pPr>
      <w:r w:rsidRPr="00B2249D">
        <w:rPr>
          <w:rFonts w:ascii="Arial" w:hAnsi="Arial" w:cs="Arial"/>
          <w:b/>
          <w:bCs/>
          <w:color w:val="1F4E79"/>
          <w:sz w:val="36"/>
          <w:szCs w:val="36"/>
        </w:rPr>
        <w:t>Diapositiva 1</w:t>
      </w:r>
      <w:r w:rsidR="00ED70F8">
        <w:rPr>
          <w:rFonts w:ascii="Arial" w:hAnsi="Arial" w:cs="Arial"/>
          <w:b/>
          <w:bCs/>
          <w:color w:val="1F4E79"/>
          <w:sz w:val="36"/>
          <w:szCs w:val="36"/>
        </w:rPr>
        <w:t>2</w:t>
      </w:r>
      <w:r w:rsidRPr="00B2249D">
        <w:rPr>
          <w:rFonts w:ascii="Arial" w:hAnsi="Arial" w:cs="Arial"/>
          <w:b/>
          <w:bCs/>
          <w:color w:val="1F4E79"/>
          <w:sz w:val="36"/>
          <w:szCs w:val="36"/>
        </w:rPr>
        <w:t>. Responsabilidades del INS</w:t>
      </w:r>
    </w:p>
    <w:p w14:paraId="60ECDD17" w14:textId="4759B213" w:rsidR="00A22075" w:rsidRDefault="00A22075" w:rsidP="00616495">
      <w:pPr>
        <w:jc w:val="both"/>
        <w:rPr>
          <w:rFonts w:ascii="Arial" w:hAnsi="Arial" w:cs="Arial"/>
        </w:rPr>
      </w:pPr>
    </w:p>
    <w:p w14:paraId="798519AF" w14:textId="77777777" w:rsidR="00ED70F8" w:rsidRPr="00ED70F8" w:rsidRDefault="00ED70F8" w:rsidP="00ED70F8">
      <w:pPr>
        <w:jc w:val="both"/>
        <w:rPr>
          <w:rFonts w:ascii="Arial" w:hAnsi="Arial" w:cs="Arial"/>
        </w:rPr>
      </w:pPr>
      <w:r w:rsidRPr="00ED70F8">
        <w:rPr>
          <w:rFonts w:ascii="Arial" w:hAnsi="Arial" w:cs="Arial"/>
          <w:b/>
          <w:bCs/>
          <w:lang w:val="es-ES"/>
        </w:rPr>
        <w:t>Felicitaciones, usted ha finalizado la revisión del módulo 3 y de este curso.</w:t>
      </w:r>
    </w:p>
    <w:p w14:paraId="023754A0" w14:textId="77777777" w:rsidR="00ED70F8" w:rsidRPr="00ED70F8" w:rsidRDefault="00ED70F8" w:rsidP="00ED70F8">
      <w:pPr>
        <w:jc w:val="both"/>
        <w:rPr>
          <w:rFonts w:ascii="Arial" w:hAnsi="Arial" w:cs="Arial"/>
        </w:rPr>
      </w:pPr>
      <w:r w:rsidRPr="00ED70F8">
        <w:rPr>
          <w:rFonts w:ascii="Arial" w:hAnsi="Arial" w:cs="Arial"/>
          <w:b/>
          <w:bCs/>
          <w:lang w:val="es-ES"/>
        </w:rPr>
        <w:t>Lo invitamos a realizar la evaluación de este módulo y aprobar con el 70%</w:t>
      </w:r>
    </w:p>
    <w:p w14:paraId="3CEEDEC6" w14:textId="77777777" w:rsidR="005E7777" w:rsidRPr="00A03660" w:rsidRDefault="005E7777" w:rsidP="00616495">
      <w:pPr>
        <w:jc w:val="both"/>
        <w:rPr>
          <w:rFonts w:ascii="Arial" w:hAnsi="Arial" w:cs="Arial"/>
        </w:rPr>
      </w:pPr>
    </w:p>
    <w:sectPr w:rsidR="005E7777" w:rsidRPr="00A0366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DA65F6" w14:textId="77777777" w:rsidR="00C30EBC" w:rsidRDefault="00C30EBC" w:rsidP="006A7E49">
      <w:pPr>
        <w:spacing w:after="0" w:line="240" w:lineRule="auto"/>
      </w:pPr>
      <w:r>
        <w:separator/>
      </w:r>
    </w:p>
  </w:endnote>
  <w:endnote w:type="continuationSeparator" w:id="0">
    <w:p w14:paraId="04FEC0E6" w14:textId="77777777" w:rsidR="00C30EBC" w:rsidRDefault="00C30EBC" w:rsidP="006A7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803C3" w14:textId="77777777" w:rsidR="00C30EBC" w:rsidRDefault="00C30EBC" w:rsidP="006A7E49">
      <w:pPr>
        <w:spacing w:after="0" w:line="240" w:lineRule="auto"/>
      </w:pPr>
      <w:r>
        <w:separator/>
      </w:r>
    </w:p>
  </w:footnote>
  <w:footnote w:type="continuationSeparator" w:id="0">
    <w:p w14:paraId="2BC92118" w14:textId="77777777" w:rsidR="00C30EBC" w:rsidRDefault="00C30EBC" w:rsidP="006A7E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E5413"/>
    <w:multiLevelType w:val="hybridMultilevel"/>
    <w:tmpl w:val="8E7A7A68"/>
    <w:lvl w:ilvl="0" w:tplc="B8D69AF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17683A"/>
    <w:multiLevelType w:val="hybridMultilevel"/>
    <w:tmpl w:val="9732EBD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0A116CA0"/>
    <w:multiLevelType w:val="hybridMultilevel"/>
    <w:tmpl w:val="0E148C2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0D75767A"/>
    <w:multiLevelType w:val="hybridMultilevel"/>
    <w:tmpl w:val="E766E83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20452599"/>
    <w:multiLevelType w:val="hybridMultilevel"/>
    <w:tmpl w:val="105CF9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F347D25"/>
    <w:multiLevelType w:val="hybridMultilevel"/>
    <w:tmpl w:val="70388A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12729F3"/>
    <w:multiLevelType w:val="hybridMultilevel"/>
    <w:tmpl w:val="29843AFC"/>
    <w:lvl w:ilvl="0" w:tplc="3B7EC6DE">
      <w:start w:val="1"/>
      <w:numFmt w:val="bullet"/>
      <w:lvlText w:val=""/>
      <w:lvlJc w:val="left"/>
      <w:pPr>
        <w:tabs>
          <w:tab w:val="num" w:pos="720"/>
        </w:tabs>
        <w:ind w:left="720" w:hanging="360"/>
      </w:pPr>
      <w:rPr>
        <w:rFonts w:ascii="Wingdings" w:hAnsi="Wingdings" w:hint="default"/>
      </w:rPr>
    </w:lvl>
    <w:lvl w:ilvl="1" w:tplc="E97833E0" w:tentative="1">
      <w:start w:val="1"/>
      <w:numFmt w:val="bullet"/>
      <w:lvlText w:val=""/>
      <w:lvlJc w:val="left"/>
      <w:pPr>
        <w:tabs>
          <w:tab w:val="num" w:pos="1440"/>
        </w:tabs>
        <w:ind w:left="1440" w:hanging="360"/>
      </w:pPr>
      <w:rPr>
        <w:rFonts w:ascii="Wingdings" w:hAnsi="Wingdings" w:hint="default"/>
      </w:rPr>
    </w:lvl>
    <w:lvl w:ilvl="2" w:tplc="63066616" w:tentative="1">
      <w:start w:val="1"/>
      <w:numFmt w:val="bullet"/>
      <w:lvlText w:val=""/>
      <w:lvlJc w:val="left"/>
      <w:pPr>
        <w:tabs>
          <w:tab w:val="num" w:pos="2160"/>
        </w:tabs>
        <w:ind w:left="2160" w:hanging="360"/>
      </w:pPr>
      <w:rPr>
        <w:rFonts w:ascii="Wingdings" w:hAnsi="Wingdings" w:hint="default"/>
      </w:rPr>
    </w:lvl>
    <w:lvl w:ilvl="3" w:tplc="FA24BC08" w:tentative="1">
      <w:start w:val="1"/>
      <w:numFmt w:val="bullet"/>
      <w:lvlText w:val=""/>
      <w:lvlJc w:val="left"/>
      <w:pPr>
        <w:tabs>
          <w:tab w:val="num" w:pos="2880"/>
        </w:tabs>
        <w:ind w:left="2880" w:hanging="360"/>
      </w:pPr>
      <w:rPr>
        <w:rFonts w:ascii="Wingdings" w:hAnsi="Wingdings" w:hint="default"/>
      </w:rPr>
    </w:lvl>
    <w:lvl w:ilvl="4" w:tplc="FC3C52CA" w:tentative="1">
      <w:start w:val="1"/>
      <w:numFmt w:val="bullet"/>
      <w:lvlText w:val=""/>
      <w:lvlJc w:val="left"/>
      <w:pPr>
        <w:tabs>
          <w:tab w:val="num" w:pos="3600"/>
        </w:tabs>
        <w:ind w:left="3600" w:hanging="360"/>
      </w:pPr>
      <w:rPr>
        <w:rFonts w:ascii="Wingdings" w:hAnsi="Wingdings" w:hint="default"/>
      </w:rPr>
    </w:lvl>
    <w:lvl w:ilvl="5" w:tplc="8B3AB350" w:tentative="1">
      <w:start w:val="1"/>
      <w:numFmt w:val="bullet"/>
      <w:lvlText w:val=""/>
      <w:lvlJc w:val="left"/>
      <w:pPr>
        <w:tabs>
          <w:tab w:val="num" w:pos="4320"/>
        </w:tabs>
        <w:ind w:left="4320" w:hanging="360"/>
      </w:pPr>
      <w:rPr>
        <w:rFonts w:ascii="Wingdings" w:hAnsi="Wingdings" w:hint="default"/>
      </w:rPr>
    </w:lvl>
    <w:lvl w:ilvl="6" w:tplc="808871CE" w:tentative="1">
      <w:start w:val="1"/>
      <w:numFmt w:val="bullet"/>
      <w:lvlText w:val=""/>
      <w:lvlJc w:val="left"/>
      <w:pPr>
        <w:tabs>
          <w:tab w:val="num" w:pos="5040"/>
        </w:tabs>
        <w:ind w:left="5040" w:hanging="360"/>
      </w:pPr>
      <w:rPr>
        <w:rFonts w:ascii="Wingdings" w:hAnsi="Wingdings" w:hint="default"/>
      </w:rPr>
    </w:lvl>
    <w:lvl w:ilvl="7" w:tplc="8508F012" w:tentative="1">
      <w:start w:val="1"/>
      <w:numFmt w:val="bullet"/>
      <w:lvlText w:val=""/>
      <w:lvlJc w:val="left"/>
      <w:pPr>
        <w:tabs>
          <w:tab w:val="num" w:pos="5760"/>
        </w:tabs>
        <w:ind w:left="5760" w:hanging="360"/>
      </w:pPr>
      <w:rPr>
        <w:rFonts w:ascii="Wingdings" w:hAnsi="Wingdings" w:hint="default"/>
      </w:rPr>
    </w:lvl>
    <w:lvl w:ilvl="8" w:tplc="81E4AFA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827"/>
    <w:rsid w:val="000108FE"/>
    <w:rsid w:val="00046577"/>
    <w:rsid w:val="001031F4"/>
    <w:rsid w:val="0011292D"/>
    <w:rsid w:val="00187A83"/>
    <w:rsid w:val="0028379B"/>
    <w:rsid w:val="002A3BCA"/>
    <w:rsid w:val="002F406D"/>
    <w:rsid w:val="00305E11"/>
    <w:rsid w:val="00325794"/>
    <w:rsid w:val="00332255"/>
    <w:rsid w:val="00353B3F"/>
    <w:rsid w:val="003D047B"/>
    <w:rsid w:val="003F65BF"/>
    <w:rsid w:val="004D6B99"/>
    <w:rsid w:val="004F4F67"/>
    <w:rsid w:val="0053325C"/>
    <w:rsid w:val="0053670E"/>
    <w:rsid w:val="005E7777"/>
    <w:rsid w:val="00616495"/>
    <w:rsid w:val="0067133D"/>
    <w:rsid w:val="006A7E49"/>
    <w:rsid w:val="006C0767"/>
    <w:rsid w:val="006E09DA"/>
    <w:rsid w:val="006E71C8"/>
    <w:rsid w:val="007C0558"/>
    <w:rsid w:val="007F5A69"/>
    <w:rsid w:val="00807689"/>
    <w:rsid w:val="00842060"/>
    <w:rsid w:val="00887051"/>
    <w:rsid w:val="008B3FE6"/>
    <w:rsid w:val="00916EFF"/>
    <w:rsid w:val="0095566C"/>
    <w:rsid w:val="009800E6"/>
    <w:rsid w:val="00987CE5"/>
    <w:rsid w:val="009C7280"/>
    <w:rsid w:val="009F3C74"/>
    <w:rsid w:val="00A03660"/>
    <w:rsid w:val="00A22075"/>
    <w:rsid w:val="00A3485E"/>
    <w:rsid w:val="00AE6824"/>
    <w:rsid w:val="00AF1841"/>
    <w:rsid w:val="00B0795C"/>
    <w:rsid w:val="00B2249D"/>
    <w:rsid w:val="00B40F4B"/>
    <w:rsid w:val="00BA4E12"/>
    <w:rsid w:val="00BA7B03"/>
    <w:rsid w:val="00BE27DD"/>
    <w:rsid w:val="00C30EBC"/>
    <w:rsid w:val="00CA3C57"/>
    <w:rsid w:val="00CB2F48"/>
    <w:rsid w:val="00DA75E1"/>
    <w:rsid w:val="00DD5C2E"/>
    <w:rsid w:val="00DF6AB9"/>
    <w:rsid w:val="00E23C26"/>
    <w:rsid w:val="00ED70F8"/>
    <w:rsid w:val="00F01713"/>
    <w:rsid w:val="00F80827"/>
    <w:rsid w:val="00FF66D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09E69"/>
  <w15:chartTrackingRefBased/>
  <w15:docId w15:val="{585B8A1E-B3BE-46BD-A5E8-8236EFA4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0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E777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AE6824"/>
    <w:pPr>
      <w:ind w:left="720"/>
      <w:contextualSpacing/>
    </w:pPr>
  </w:style>
  <w:style w:type="character" w:customStyle="1" w:styleId="A8">
    <w:name w:val="A8"/>
    <w:uiPriority w:val="99"/>
    <w:rsid w:val="006E09DA"/>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971152">
      <w:bodyDiv w:val="1"/>
      <w:marLeft w:val="0"/>
      <w:marRight w:val="0"/>
      <w:marTop w:val="0"/>
      <w:marBottom w:val="0"/>
      <w:divBdr>
        <w:top w:val="none" w:sz="0" w:space="0" w:color="auto"/>
        <w:left w:val="none" w:sz="0" w:space="0" w:color="auto"/>
        <w:bottom w:val="none" w:sz="0" w:space="0" w:color="auto"/>
        <w:right w:val="none" w:sz="0" w:space="0" w:color="auto"/>
      </w:divBdr>
    </w:div>
    <w:div w:id="399720564">
      <w:bodyDiv w:val="1"/>
      <w:marLeft w:val="0"/>
      <w:marRight w:val="0"/>
      <w:marTop w:val="0"/>
      <w:marBottom w:val="0"/>
      <w:divBdr>
        <w:top w:val="none" w:sz="0" w:space="0" w:color="auto"/>
        <w:left w:val="none" w:sz="0" w:space="0" w:color="auto"/>
        <w:bottom w:val="none" w:sz="0" w:space="0" w:color="auto"/>
        <w:right w:val="none" w:sz="0" w:space="0" w:color="auto"/>
      </w:divBdr>
      <w:divsChild>
        <w:div w:id="1974407570">
          <w:marLeft w:val="547"/>
          <w:marRight w:val="0"/>
          <w:marTop w:val="0"/>
          <w:marBottom w:val="160"/>
          <w:divBdr>
            <w:top w:val="none" w:sz="0" w:space="0" w:color="auto"/>
            <w:left w:val="none" w:sz="0" w:space="0" w:color="auto"/>
            <w:bottom w:val="none" w:sz="0" w:space="0" w:color="auto"/>
            <w:right w:val="none" w:sz="0" w:space="0" w:color="auto"/>
          </w:divBdr>
        </w:div>
      </w:divsChild>
    </w:div>
    <w:div w:id="531647855">
      <w:bodyDiv w:val="1"/>
      <w:marLeft w:val="0"/>
      <w:marRight w:val="0"/>
      <w:marTop w:val="0"/>
      <w:marBottom w:val="0"/>
      <w:divBdr>
        <w:top w:val="none" w:sz="0" w:space="0" w:color="auto"/>
        <w:left w:val="none" w:sz="0" w:space="0" w:color="auto"/>
        <w:bottom w:val="none" w:sz="0" w:space="0" w:color="auto"/>
        <w:right w:val="none" w:sz="0" w:space="0" w:color="auto"/>
      </w:divBdr>
      <w:divsChild>
        <w:div w:id="1361974851">
          <w:marLeft w:val="360"/>
          <w:marRight w:val="0"/>
          <w:marTop w:val="200"/>
          <w:marBottom w:val="0"/>
          <w:divBdr>
            <w:top w:val="none" w:sz="0" w:space="0" w:color="auto"/>
            <w:left w:val="none" w:sz="0" w:space="0" w:color="auto"/>
            <w:bottom w:val="none" w:sz="0" w:space="0" w:color="auto"/>
            <w:right w:val="none" w:sz="0" w:space="0" w:color="auto"/>
          </w:divBdr>
        </w:div>
        <w:div w:id="1919634335">
          <w:marLeft w:val="360"/>
          <w:marRight w:val="0"/>
          <w:marTop w:val="200"/>
          <w:marBottom w:val="0"/>
          <w:divBdr>
            <w:top w:val="none" w:sz="0" w:space="0" w:color="auto"/>
            <w:left w:val="none" w:sz="0" w:space="0" w:color="auto"/>
            <w:bottom w:val="none" w:sz="0" w:space="0" w:color="auto"/>
            <w:right w:val="none" w:sz="0" w:space="0" w:color="auto"/>
          </w:divBdr>
        </w:div>
      </w:divsChild>
    </w:div>
    <w:div w:id="667251222">
      <w:bodyDiv w:val="1"/>
      <w:marLeft w:val="0"/>
      <w:marRight w:val="0"/>
      <w:marTop w:val="0"/>
      <w:marBottom w:val="0"/>
      <w:divBdr>
        <w:top w:val="none" w:sz="0" w:space="0" w:color="auto"/>
        <w:left w:val="none" w:sz="0" w:space="0" w:color="auto"/>
        <w:bottom w:val="none" w:sz="0" w:space="0" w:color="auto"/>
        <w:right w:val="none" w:sz="0" w:space="0" w:color="auto"/>
      </w:divBdr>
    </w:div>
    <w:div w:id="719137064">
      <w:bodyDiv w:val="1"/>
      <w:marLeft w:val="0"/>
      <w:marRight w:val="0"/>
      <w:marTop w:val="0"/>
      <w:marBottom w:val="0"/>
      <w:divBdr>
        <w:top w:val="none" w:sz="0" w:space="0" w:color="auto"/>
        <w:left w:val="none" w:sz="0" w:space="0" w:color="auto"/>
        <w:bottom w:val="none" w:sz="0" w:space="0" w:color="auto"/>
        <w:right w:val="none" w:sz="0" w:space="0" w:color="auto"/>
      </w:divBdr>
    </w:div>
    <w:div w:id="1022627028">
      <w:bodyDiv w:val="1"/>
      <w:marLeft w:val="0"/>
      <w:marRight w:val="0"/>
      <w:marTop w:val="0"/>
      <w:marBottom w:val="0"/>
      <w:divBdr>
        <w:top w:val="none" w:sz="0" w:space="0" w:color="auto"/>
        <w:left w:val="none" w:sz="0" w:space="0" w:color="auto"/>
        <w:bottom w:val="none" w:sz="0" w:space="0" w:color="auto"/>
        <w:right w:val="none" w:sz="0" w:space="0" w:color="auto"/>
      </w:divBdr>
    </w:div>
    <w:div w:id="1500003715">
      <w:bodyDiv w:val="1"/>
      <w:marLeft w:val="0"/>
      <w:marRight w:val="0"/>
      <w:marTop w:val="0"/>
      <w:marBottom w:val="0"/>
      <w:divBdr>
        <w:top w:val="none" w:sz="0" w:space="0" w:color="auto"/>
        <w:left w:val="none" w:sz="0" w:space="0" w:color="auto"/>
        <w:bottom w:val="none" w:sz="0" w:space="0" w:color="auto"/>
        <w:right w:val="none" w:sz="0" w:space="0" w:color="auto"/>
      </w:divBdr>
    </w:div>
    <w:div w:id="1521579734">
      <w:bodyDiv w:val="1"/>
      <w:marLeft w:val="0"/>
      <w:marRight w:val="0"/>
      <w:marTop w:val="0"/>
      <w:marBottom w:val="0"/>
      <w:divBdr>
        <w:top w:val="none" w:sz="0" w:space="0" w:color="auto"/>
        <w:left w:val="none" w:sz="0" w:space="0" w:color="auto"/>
        <w:bottom w:val="none" w:sz="0" w:space="0" w:color="auto"/>
        <w:right w:val="none" w:sz="0" w:space="0" w:color="auto"/>
      </w:divBdr>
    </w:div>
    <w:div w:id="1760174994">
      <w:bodyDiv w:val="1"/>
      <w:marLeft w:val="0"/>
      <w:marRight w:val="0"/>
      <w:marTop w:val="0"/>
      <w:marBottom w:val="0"/>
      <w:divBdr>
        <w:top w:val="none" w:sz="0" w:space="0" w:color="auto"/>
        <w:left w:val="none" w:sz="0" w:space="0" w:color="auto"/>
        <w:bottom w:val="none" w:sz="0" w:space="0" w:color="auto"/>
        <w:right w:val="none" w:sz="0" w:space="0" w:color="auto"/>
      </w:divBdr>
    </w:div>
    <w:div w:id="1920863302">
      <w:bodyDiv w:val="1"/>
      <w:marLeft w:val="0"/>
      <w:marRight w:val="0"/>
      <w:marTop w:val="0"/>
      <w:marBottom w:val="0"/>
      <w:divBdr>
        <w:top w:val="none" w:sz="0" w:space="0" w:color="auto"/>
        <w:left w:val="none" w:sz="0" w:space="0" w:color="auto"/>
        <w:bottom w:val="none" w:sz="0" w:space="0" w:color="auto"/>
        <w:right w:val="none" w:sz="0" w:space="0" w:color="auto"/>
      </w:divBdr>
    </w:div>
    <w:div w:id="199271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1424</TotalTime>
  <Pages>6</Pages>
  <Words>2199</Words>
  <Characters>12100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Ríos</dc:creator>
  <cp:keywords/>
  <dc:description/>
  <cp:lastModifiedBy>Alejandra del Pilar Diaz Gomez</cp:lastModifiedBy>
  <cp:revision>16</cp:revision>
  <dcterms:created xsi:type="dcterms:W3CDTF">2022-07-31T23:43:00Z</dcterms:created>
  <dcterms:modified xsi:type="dcterms:W3CDTF">2022-08-16T16:12:00Z</dcterms:modified>
</cp:coreProperties>
</file>