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42E1BD" w14:textId="2CC7591E" w:rsidR="00B10FF8" w:rsidRPr="007528E0" w:rsidRDefault="0037398A" w:rsidP="00B10FF8">
      <w:pPr>
        <w:jc w:val="center"/>
        <w:rPr>
          <w:rFonts w:asciiTheme="majorHAnsi" w:hAnsiTheme="majorHAnsi" w:cstheme="majorHAnsi"/>
          <w:b/>
          <w:sz w:val="28"/>
          <w:lang w:val="es-CO"/>
        </w:rPr>
      </w:pPr>
      <w:r w:rsidRPr="007528E0">
        <w:rPr>
          <w:rFonts w:cs="Arial"/>
          <w:b/>
          <w:sz w:val="22"/>
          <w:szCs w:val="22"/>
        </w:rPr>
        <w:t>MANUAL DE REFERENCIA PARA LA VIGILANCIA DE LAS INTOXICACIONES POR SUSTANCIAS QUÍMICAS</w:t>
      </w:r>
    </w:p>
    <w:p w14:paraId="6392390C" w14:textId="77777777" w:rsidR="0037398A" w:rsidRPr="007528E0" w:rsidRDefault="0037398A" w:rsidP="0037398A">
      <w:pPr>
        <w:spacing w:before="100" w:beforeAutospacing="1" w:after="100" w:afterAutospacing="1"/>
        <w:rPr>
          <w:rFonts w:cs="Arial"/>
          <w:sz w:val="22"/>
          <w:szCs w:val="22"/>
          <w:lang w:val="es-ES"/>
        </w:rPr>
      </w:pPr>
    </w:p>
    <w:sdt>
      <w:sdtPr>
        <w:rPr>
          <w:rFonts w:eastAsiaTheme="minorEastAsia" w:cstheme="minorBidi"/>
          <w:sz w:val="22"/>
          <w:szCs w:val="22"/>
          <w:lang w:val="es-ES" w:eastAsia="es-ES"/>
        </w:rPr>
        <w:id w:val="270141337"/>
        <w:docPartObj>
          <w:docPartGallery w:val="Table of Contents"/>
          <w:docPartUnique/>
        </w:docPartObj>
      </w:sdtPr>
      <w:sdtEndPr>
        <w:rPr>
          <w:b/>
          <w:bCs/>
        </w:rPr>
      </w:sdtEndPr>
      <w:sdtContent>
        <w:p w14:paraId="7BA37977" w14:textId="77777777" w:rsidR="0037398A" w:rsidRPr="007528E0" w:rsidRDefault="0037398A" w:rsidP="0037398A">
          <w:pPr>
            <w:pStyle w:val="TtuloTDC"/>
            <w:spacing w:before="100" w:beforeAutospacing="1" w:after="100" w:afterAutospacing="1" w:line="240" w:lineRule="auto"/>
            <w:rPr>
              <w:b/>
              <w:sz w:val="22"/>
              <w:szCs w:val="22"/>
            </w:rPr>
          </w:pPr>
          <w:r w:rsidRPr="007528E0">
            <w:rPr>
              <w:b/>
              <w:sz w:val="22"/>
              <w:szCs w:val="22"/>
              <w:lang w:val="es-ES"/>
            </w:rPr>
            <w:t>Contenido</w:t>
          </w:r>
        </w:p>
        <w:p w14:paraId="4977D0F4" w14:textId="77777777" w:rsidR="0037398A" w:rsidRPr="007528E0" w:rsidRDefault="0037398A" w:rsidP="0037398A">
          <w:pPr>
            <w:pStyle w:val="TDC2"/>
            <w:tabs>
              <w:tab w:val="right" w:leader="dot" w:pos="8828"/>
            </w:tabs>
            <w:spacing w:before="100" w:beforeAutospacing="1" w:after="100" w:afterAutospacing="1"/>
            <w:ind w:left="238"/>
            <w:rPr>
              <w:rFonts w:ascii="Arial" w:hAnsi="Arial" w:cs="Arial"/>
              <w:b w:val="0"/>
              <w:bCs w:val="0"/>
              <w:noProof/>
              <w:lang w:val="es-CO" w:eastAsia="es-CO"/>
            </w:rPr>
          </w:pPr>
          <w:r w:rsidRPr="007528E0">
            <w:rPr>
              <w:rFonts w:ascii="Arial" w:hAnsi="Arial" w:cs="Arial"/>
              <w:b w:val="0"/>
            </w:rPr>
            <w:fldChar w:fldCharType="begin"/>
          </w:r>
          <w:r w:rsidRPr="007528E0">
            <w:rPr>
              <w:rFonts w:ascii="Arial" w:hAnsi="Arial" w:cs="Arial"/>
              <w:b w:val="0"/>
            </w:rPr>
            <w:instrText xml:space="preserve"> TOC \o "1-3" \h \z \u </w:instrText>
          </w:r>
          <w:r w:rsidRPr="007528E0">
            <w:rPr>
              <w:rFonts w:ascii="Arial" w:hAnsi="Arial" w:cs="Arial"/>
              <w:b w:val="0"/>
            </w:rPr>
            <w:fldChar w:fldCharType="separate"/>
          </w:r>
          <w:hyperlink w:anchor="_Toc505456653" w:history="1">
            <w:r w:rsidRPr="007528E0">
              <w:rPr>
                <w:rStyle w:val="Hipervnculo"/>
                <w:rFonts w:ascii="Arial" w:hAnsi="Arial" w:cs="Arial"/>
                <w:b w:val="0"/>
                <w:noProof/>
                <w:color w:val="auto"/>
              </w:rPr>
              <w:t>Definiciones Generales</w:t>
            </w:r>
            <w:r w:rsidRPr="007528E0">
              <w:rPr>
                <w:rFonts w:ascii="Arial" w:hAnsi="Arial" w:cs="Arial"/>
                <w:b w:val="0"/>
                <w:noProof/>
                <w:webHidden/>
              </w:rPr>
              <w:tab/>
            </w:r>
            <w:r w:rsidRPr="007528E0">
              <w:rPr>
                <w:rFonts w:ascii="Arial" w:hAnsi="Arial" w:cs="Arial"/>
                <w:b w:val="0"/>
                <w:noProof/>
                <w:webHidden/>
              </w:rPr>
              <w:fldChar w:fldCharType="begin"/>
            </w:r>
            <w:r w:rsidRPr="007528E0">
              <w:rPr>
                <w:rFonts w:ascii="Arial" w:hAnsi="Arial" w:cs="Arial"/>
                <w:b w:val="0"/>
                <w:noProof/>
                <w:webHidden/>
              </w:rPr>
              <w:instrText xml:space="preserve"> PAGEREF _Toc505456653 \h </w:instrText>
            </w:r>
            <w:r w:rsidRPr="007528E0">
              <w:rPr>
                <w:rFonts w:ascii="Arial" w:hAnsi="Arial" w:cs="Arial"/>
                <w:b w:val="0"/>
                <w:noProof/>
                <w:webHidden/>
              </w:rPr>
            </w:r>
            <w:r w:rsidRPr="007528E0">
              <w:rPr>
                <w:rFonts w:ascii="Arial" w:hAnsi="Arial" w:cs="Arial"/>
                <w:b w:val="0"/>
                <w:noProof/>
                <w:webHidden/>
              </w:rPr>
              <w:fldChar w:fldCharType="separate"/>
            </w:r>
            <w:r w:rsidR="002B5D48">
              <w:rPr>
                <w:rFonts w:ascii="Arial" w:hAnsi="Arial" w:cs="Arial"/>
                <w:b w:val="0"/>
                <w:noProof/>
                <w:webHidden/>
              </w:rPr>
              <w:t>3</w:t>
            </w:r>
            <w:r w:rsidRPr="007528E0">
              <w:rPr>
                <w:rFonts w:ascii="Arial" w:hAnsi="Arial" w:cs="Arial"/>
                <w:b w:val="0"/>
                <w:noProof/>
                <w:webHidden/>
              </w:rPr>
              <w:fldChar w:fldCharType="end"/>
            </w:r>
          </w:hyperlink>
        </w:p>
        <w:p w14:paraId="1497EAE6" w14:textId="77777777" w:rsidR="0037398A" w:rsidRPr="007528E0" w:rsidRDefault="00F87462" w:rsidP="0037398A">
          <w:pPr>
            <w:pStyle w:val="TDC2"/>
            <w:tabs>
              <w:tab w:val="right" w:leader="dot" w:pos="8828"/>
            </w:tabs>
            <w:spacing w:before="100" w:beforeAutospacing="1" w:after="100" w:afterAutospacing="1"/>
            <w:ind w:left="238"/>
            <w:rPr>
              <w:rFonts w:ascii="Arial" w:hAnsi="Arial" w:cs="Arial"/>
              <w:b w:val="0"/>
              <w:bCs w:val="0"/>
              <w:noProof/>
              <w:lang w:val="es-CO" w:eastAsia="es-CO"/>
            </w:rPr>
          </w:pPr>
          <w:hyperlink w:anchor="_Toc505456654" w:history="1">
            <w:r w:rsidR="0037398A" w:rsidRPr="007528E0">
              <w:rPr>
                <w:rStyle w:val="Hipervnculo"/>
                <w:rFonts w:ascii="Arial" w:hAnsi="Arial" w:cs="Arial"/>
                <w:b w:val="0"/>
                <w:noProof/>
                <w:color w:val="auto"/>
              </w:rPr>
              <w:t>Definiciones de algunos Términos Toxicológicos</w:t>
            </w:r>
            <w:r w:rsidR="0037398A" w:rsidRPr="007528E0">
              <w:rPr>
                <w:rFonts w:ascii="Arial" w:hAnsi="Arial" w:cs="Arial"/>
                <w:b w:val="0"/>
                <w:noProof/>
                <w:webHidden/>
              </w:rPr>
              <w:tab/>
            </w:r>
            <w:r w:rsidR="0037398A" w:rsidRPr="007528E0">
              <w:rPr>
                <w:rFonts w:ascii="Arial" w:hAnsi="Arial" w:cs="Arial"/>
                <w:b w:val="0"/>
                <w:noProof/>
                <w:webHidden/>
              </w:rPr>
              <w:fldChar w:fldCharType="begin"/>
            </w:r>
            <w:r w:rsidR="0037398A" w:rsidRPr="007528E0">
              <w:rPr>
                <w:rFonts w:ascii="Arial" w:hAnsi="Arial" w:cs="Arial"/>
                <w:b w:val="0"/>
                <w:noProof/>
                <w:webHidden/>
              </w:rPr>
              <w:instrText xml:space="preserve"> PAGEREF _Toc505456654 \h </w:instrText>
            </w:r>
            <w:r w:rsidR="0037398A" w:rsidRPr="007528E0">
              <w:rPr>
                <w:rFonts w:ascii="Arial" w:hAnsi="Arial" w:cs="Arial"/>
                <w:b w:val="0"/>
                <w:noProof/>
                <w:webHidden/>
              </w:rPr>
            </w:r>
            <w:r w:rsidR="0037398A" w:rsidRPr="007528E0">
              <w:rPr>
                <w:rFonts w:ascii="Arial" w:hAnsi="Arial" w:cs="Arial"/>
                <w:b w:val="0"/>
                <w:noProof/>
                <w:webHidden/>
              </w:rPr>
              <w:fldChar w:fldCharType="separate"/>
            </w:r>
            <w:r w:rsidR="002B5D48">
              <w:rPr>
                <w:rFonts w:ascii="Arial" w:hAnsi="Arial" w:cs="Arial"/>
                <w:b w:val="0"/>
                <w:noProof/>
                <w:webHidden/>
              </w:rPr>
              <w:t>4</w:t>
            </w:r>
            <w:r w:rsidR="0037398A" w:rsidRPr="007528E0">
              <w:rPr>
                <w:rFonts w:ascii="Arial" w:hAnsi="Arial" w:cs="Arial"/>
                <w:b w:val="0"/>
                <w:noProof/>
                <w:webHidden/>
              </w:rPr>
              <w:fldChar w:fldCharType="end"/>
            </w:r>
          </w:hyperlink>
        </w:p>
        <w:p w14:paraId="231B2D42" w14:textId="77777777" w:rsidR="0037398A" w:rsidRPr="007528E0" w:rsidRDefault="00F87462" w:rsidP="0037398A">
          <w:pPr>
            <w:pStyle w:val="TDC2"/>
            <w:tabs>
              <w:tab w:val="left" w:pos="720"/>
              <w:tab w:val="right" w:leader="dot" w:pos="8828"/>
            </w:tabs>
            <w:spacing w:before="100" w:beforeAutospacing="1" w:after="100" w:afterAutospacing="1"/>
            <w:ind w:left="238"/>
            <w:rPr>
              <w:rFonts w:ascii="Arial" w:hAnsi="Arial" w:cs="Arial"/>
              <w:b w:val="0"/>
              <w:bCs w:val="0"/>
              <w:noProof/>
              <w:lang w:val="es-CO" w:eastAsia="es-CO"/>
            </w:rPr>
          </w:pPr>
          <w:hyperlink w:anchor="_Toc505456655" w:history="1">
            <w:r w:rsidR="0037398A" w:rsidRPr="007528E0">
              <w:rPr>
                <w:rStyle w:val="Hipervnculo"/>
                <w:rFonts w:ascii="Arial" w:hAnsi="Arial" w:cs="Arial"/>
                <w:b w:val="0"/>
                <w:noProof/>
                <w:color w:val="auto"/>
              </w:rPr>
              <w:t>1.</w:t>
            </w:r>
            <w:r w:rsidR="0037398A" w:rsidRPr="007528E0">
              <w:rPr>
                <w:rFonts w:ascii="Arial" w:hAnsi="Arial" w:cs="Arial"/>
                <w:b w:val="0"/>
                <w:bCs w:val="0"/>
                <w:noProof/>
                <w:lang w:val="es-CO" w:eastAsia="es-CO"/>
              </w:rPr>
              <w:tab/>
            </w:r>
            <w:r w:rsidR="0037398A" w:rsidRPr="007528E0">
              <w:rPr>
                <w:rStyle w:val="Hipervnculo"/>
                <w:rFonts w:ascii="Arial" w:hAnsi="Arial" w:cs="Arial"/>
                <w:b w:val="0"/>
                <w:noProof/>
                <w:color w:val="auto"/>
              </w:rPr>
              <w:t>Intoxicación por medicamentos (Grupo de Sustancia 1)</w:t>
            </w:r>
            <w:r w:rsidR="0037398A" w:rsidRPr="007528E0">
              <w:rPr>
                <w:rFonts w:ascii="Arial" w:hAnsi="Arial" w:cs="Arial"/>
                <w:b w:val="0"/>
                <w:noProof/>
                <w:webHidden/>
              </w:rPr>
              <w:tab/>
            </w:r>
            <w:r w:rsidR="0037398A" w:rsidRPr="007528E0">
              <w:rPr>
                <w:rFonts w:ascii="Arial" w:hAnsi="Arial" w:cs="Arial"/>
                <w:b w:val="0"/>
                <w:noProof/>
                <w:webHidden/>
              </w:rPr>
              <w:fldChar w:fldCharType="begin"/>
            </w:r>
            <w:r w:rsidR="0037398A" w:rsidRPr="007528E0">
              <w:rPr>
                <w:rFonts w:ascii="Arial" w:hAnsi="Arial" w:cs="Arial"/>
                <w:b w:val="0"/>
                <w:noProof/>
                <w:webHidden/>
              </w:rPr>
              <w:instrText xml:space="preserve"> PAGEREF _Toc505456655 \h </w:instrText>
            </w:r>
            <w:r w:rsidR="0037398A" w:rsidRPr="007528E0">
              <w:rPr>
                <w:rFonts w:ascii="Arial" w:hAnsi="Arial" w:cs="Arial"/>
                <w:b w:val="0"/>
                <w:noProof/>
                <w:webHidden/>
              </w:rPr>
            </w:r>
            <w:r w:rsidR="0037398A" w:rsidRPr="007528E0">
              <w:rPr>
                <w:rFonts w:ascii="Arial" w:hAnsi="Arial" w:cs="Arial"/>
                <w:b w:val="0"/>
                <w:noProof/>
                <w:webHidden/>
              </w:rPr>
              <w:fldChar w:fldCharType="separate"/>
            </w:r>
            <w:r w:rsidR="002B5D48">
              <w:rPr>
                <w:rFonts w:ascii="Arial" w:hAnsi="Arial" w:cs="Arial"/>
                <w:b w:val="0"/>
                <w:noProof/>
                <w:webHidden/>
              </w:rPr>
              <w:t>9</w:t>
            </w:r>
            <w:r w:rsidR="0037398A" w:rsidRPr="007528E0">
              <w:rPr>
                <w:rFonts w:ascii="Arial" w:hAnsi="Arial" w:cs="Arial"/>
                <w:b w:val="0"/>
                <w:noProof/>
                <w:webHidden/>
              </w:rPr>
              <w:fldChar w:fldCharType="end"/>
            </w:r>
          </w:hyperlink>
        </w:p>
        <w:p w14:paraId="64A3FD30" w14:textId="77777777" w:rsidR="0037398A" w:rsidRPr="007528E0" w:rsidRDefault="00F87462" w:rsidP="0037398A">
          <w:pPr>
            <w:pStyle w:val="TDC2"/>
            <w:tabs>
              <w:tab w:val="left" w:pos="720"/>
              <w:tab w:val="right" w:leader="dot" w:pos="8828"/>
            </w:tabs>
            <w:spacing w:before="100" w:beforeAutospacing="1" w:after="100" w:afterAutospacing="1"/>
            <w:ind w:left="238"/>
            <w:rPr>
              <w:rFonts w:ascii="Arial" w:hAnsi="Arial" w:cs="Arial"/>
              <w:b w:val="0"/>
              <w:bCs w:val="0"/>
              <w:noProof/>
              <w:lang w:val="es-CO" w:eastAsia="es-CO"/>
            </w:rPr>
          </w:pPr>
          <w:hyperlink w:anchor="_Toc505456656" w:history="1">
            <w:r w:rsidR="0037398A" w:rsidRPr="007528E0">
              <w:rPr>
                <w:rStyle w:val="Hipervnculo"/>
                <w:rFonts w:ascii="Arial" w:hAnsi="Arial" w:cs="Arial"/>
                <w:b w:val="0"/>
                <w:noProof/>
                <w:color w:val="auto"/>
              </w:rPr>
              <w:t>2.</w:t>
            </w:r>
            <w:r w:rsidR="0037398A" w:rsidRPr="007528E0">
              <w:rPr>
                <w:rFonts w:ascii="Arial" w:hAnsi="Arial" w:cs="Arial"/>
                <w:b w:val="0"/>
                <w:bCs w:val="0"/>
                <w:noProof/>
                <w:lang w:val="es-CO" w:eastAsia="es-CO"/>
              </w:rPr>
              <w:tab/>
            </w:r>
            <w:r w:rsidR="0037398A" w:rsidRPr="007528E0">
              <w:rPr>
                <w:rStyle w:val="Hipervnculo"/>
                <w:rFonts w:ascii="Arial" w:hAnsi="Arial" w:cs="Arial"/>
                <w:b w:val="0"/>
                <w:noProof/>
                <w:color w:val="auto"/>
              </w:rPr>
              <w:t>Intoxicación por plaguicidas (Grupo de Sustancia 2)</w:t>
            </w:r>
            <w:r w:rsidR="0037398A" w:rsidRPr="007528E0">
              <w:rPr>
                <w:rFonts w:ascii="Arial" w:hAnsi="Arial" w:cs="Arial"/>
                <w:b w:val="0"/>
                <w:noProof/>
                <w:webHidden/>
              </w:rPr>
              <w:tab/>
            </w:r>
            <w:r w:rsidR="0037398A" w:rsidRPr="007528E0">
              <w:rPr>
                <w:rFonts w:ascii="Arial" w:hAnsi="Arial" w:cs="Arial"/>
                <w:b w:val="0"/>
                <w:noProof/>
                <w:webHidden/>
              </w:rPr>
              <w:fldChar w:fldCharType="begin"/>
            </w:r>
            <w:r w:rsidR="0037398A" w:rsidRPr="007528E0">
              <w:rPr>
                <w:rFonts w:ascii="Arial" w:hAnsi="Arial" w:cs="Arial"/>
                <w:b w:val="0"/>
                <w:noProof/>
                <w:webHidden/>
              </w:rPr>
              <w:instrText xml:space="preserve"> PAGEREF _Toc505456656 \h </w:instrText>
            </w:r>
            <w:r w:rsidR="0037398A" w:rsidRPr="007528E0">
              <w:rPr>
                <w:rFonts w:ascii="Arial" w:hAnsi="Arial" w:cs="Arial"/>
                <w:b w:val="0"/>
                <w:noProof/>
                <w:webHidden/>
              </w:rPr>
            </w:r>
            <w:r w:rsidR="0037398A" w:rsidRPr="007528E0">
              <w:rPr>
                <w:rFonts w:ascii="Arial" w:hAnsi="Arial" w:cs="Arial"/>
                <w:b w:val="0"/>
                <w:noProof/>
                <w:webHidden/>
              </w:rPr>
              <w:fldChar w:fldCharType="separate"/>
            </w:r>
            <w:r w:rsidR="002B5D48">
              <w:rPr>
                <w:rFonts w:ascii="Arial" w:hAnsi="Arial" w:cs="Arial"/>
                <w:b w:val="0"/>
                <w:noProof/>
                <w:webHidden/>
              </w:rPr>
              <w:t>17</w:t>
            </w:r>
            <w:r w:rsidR="0037398A" w:rsidRPr="007528E0">
              <w:rPr>
                <w:rFonts w:ascii="Arial" w:hAnsi="Arial" w:cs="Arial"/>
                <w:b w:val="0"/>
                <w:noProof/>
                <w:webHidden/>
              </w:rPr>
              <w:fldChar w:fldCharType="end"/>
            </w:r>
          </w:hyperlink>
        </w:p>
        <w:p w14:paraId="02350DD5" w14:textId="77777777" w:rsidR="0037398A" w:rsidRPr="007528E0" w:rsidRDefault="00F87462" w:rsidP="0037398A">
          <w:pPr>
            <w:pStyle w:val="TDC2"/>
            <w:tabs>
              <w:tab w:val="left" w:pos="720"/>
              <w:tab w:val="right" w:leader="dot" w:pos="8828"/>
            </w:tabs>
            <w:spacing w:before="100" w:beforeAutospacing="1" w:after="100" w:afterAutospacing="1"/>
            <w:ind w:left="238"/>
            <w:rPr>
              <w:rFonts w:ascii="Arial" w:hAnsi="Arial" w:cs="Arial"/>
              <w:b w:val="0"/>
              <w:bCs w:val="0"/>
              <w:noProof/>
              <w:lang w:val="es-CO" w:eastAsia="es-CO"/>
            </w:rPr>
          </w:pPr>
          <w:hyperlink w:anchor="_Toc505456657" w:history="1">
            <w:r w:rsidR="0037398A" w:rsidRPr="007528E0">
              <w:rPr>
                <w:rStyle w:val="Hipervnculo"/>
                <w:rFonts w:ascii="Arial" w:hAnsi="Arial" w:cs="Arial"/>
                <w:b w:val="0"/>
                <w:noProof/>
                <w:color w:val="auto"/>
              </w:rPr>
              <w:t>3.</w:t>
            </w:r>
            <w:r w:rsidR="0037398A" w:rsidRPr="007528E0">
              <w:rPr>
                <w:rFonts w:ascii="Arial" w:hAnsi="Arial" w:cs="Arial"/>
                <w:b w:val="0"/>
                <w:bCs w:val="0"/>
                <w:noProof/>
                <w:lang w:val="es-CO" w:eastAsia="es-CO"/>
              </w:rPr>
              <w:tab/>
            </w:r>
            <w:r w:rsidR="0037398A" w:rsidRPr="007528E0">
              <w:rPr>
                <w:rStyle w:val="Hipervnculo"/>
                <w:rFonts w:ascii="Arial" w:hAnsi="Arial" w:cs="Arial"/>
                <w:b w:val="0"/>
                <w:noProof/>
                <w:color w:val="auto"/>
              </w:rPr>
              <w:t>Intoxicación por metanol (Grupo de sustancia 3)</w:t>
            </w:r>
            <w:r w:rsidR="0037398A" w:rsidRPr="007528E0">
              <w:rPr>
                <w:rFonts w:ascii="Arial" w:hAnsi="Arial" w:cs="Arial"/>
                <w:b w:val="0"/>
                <w:noProof/>
                <w:webHidden/>
              </w:rPr>
              <w:tab/>
            </w:r>
            <w:r w:rsidR="0037398A" w:rsidRPr="007528E0">
              <w:rPr>
                <w:rFonts w:ascii="Arial" w:hAnsi="Arial" w:cs="Arial"/>
                <w:b w:val="0"/>
                <w:noProof/>
                <w:webHidden/>
              </w:rPr>
              <w:fldChar w:fldCharType="begin"/>
            </w:r>
            <w:r w:rsidR="0037398A" w:rsidRPr="007528E0">
              <w:rPr>
                <w:rFonts w:ascii="Arial" w:hAnsi="Arial" w:cs="Arial"/>
                <w:b w:val="0"/>
                <w:noProof/>
                <w:webHidden/>
              </w:rPr>
              <w:instrText xml:space="preserve"> PAGEREF _Toc505456657 \h </w:instrText>
            </w:r>
            <w:r w:rsidR="0037398A" w:rsidRPr="007528E0">
              <w:rPr>
                <w:rFonts w:ascii="Arial" w:hAnsi="Arial" w:cs="Arial"/>
                <w:b w:val="0"/>
                <w:noProof/>
                <w:webHidden/>
              </w:rPr>
            </w:r>
            <w:r w:rsidR="0037398A" w:rsidRPr="007528E0">
              <w:rPr>
                <w:rFonts w:ascii="Arial" w:hAnsi="Arial" w:cs="Arial"/>
                <w:b w:val="0"/>
                <w:noProof/>
                <w:webHidden/>
              </w:rPr>
              <w:fldChar w:fldCharType="separate"/>
            </w:r>
            <w:r w:rsidR="002B5D48">
              <w:rPr>
                <w:rFonts w:ascii="Arial" w:hAnsi="Arial" w:cs="Arial"/>
                <w:b w:val="0"/>
                <w:noProof/>
                <w:webHidden/>
              </w:rPr>
              <w:t>24</w:t>
            </w:r>
            <w:r w:rsidR="0037398A" w:rsidRPr="007528E0">
              <w:rPr>
                <w:rFonts w:ascii="Arial" w:hAnsi="Arial" w:cs="Arial"/>
                <w:b w:val="0"/>
                <w:noProof/>
                <w:webHidden/>
              </w:rPr>
              <w:fldChar w:fldCharType="end"/>
            </w:r>
          </w:hyperlink>
        </w:p>
        <w:p w14:paraId="48604D5D" w14:textId="77777777" w:rsidR="0037398A" w:rsidRPr="007528E0" w:rsidRDefault="00F87462" w:rsidP="0037398A">
          <w:pPr>
            <w:pStyle w:val="TDC2"/>
            <w:tabs>
              <w:tab w:val="left" w:pos="720"/>
              <w:tab w:val="right" w:leader="dot" w:pos="8828"/>
            </w:tabs>
            <w:spacing w:before="100" w:beforeAutospacing="1" w:after="100" w:afterAutospacing="1"/>
            <w:ind w:left="238"/>
            <w:rPr>
              <w:rFonts w:ascii="Arial" w:hAnsi="Arial" w:cs="Arial"/>
              <w:b w:val="0"/>
              <w:bCs w:val="0"/>
              <w:noProof/>
              <w:lang w:val="es-CO" w:eastAsia="es-CO"/>
            </w:rPr>
          </w:pPr>
          <w:hyperlink w:anchor="_Toc505456658" w:history="1">
            <w:r w:rsidR="0037398A" w:rsidRPr="007528E0">
              <w:rPr>
                <w:rStyle w:val="Hipervnculo"/>
                <w:rFonts w:ascii="Arial" w:hAnsi="Arial" w:cs="Arial"/>
                <w:b w:val="0"/>
                <w:noProof/>
                <w:color w:val="auto"/>
              </w:rPr>
              <w:t>4.</w:t>
            </w:r>
            <w:r w:rsidR="0037398A" w:rsidRPr="007528E0">
              <w:rPr>
                <w:rFonts w:ascii="Arial" w:hAnsi="Arial" w:cs="Arial"/>
                <w:b w:val="0"/>
                <w:bCs w:val="0"/>
                <w:noProof/>
                <w:lang w:val="es-CO" w:eastAsia="es-CO"/>
              </w:rPr>
              <w:tab/>
            </w:r>
            <w:r w:rsidR="0037398A" w:rsidRPr="007528E0">
              <w:rPr>
                <w:rStyle w:val="Hipervnculo"/>
                <w:rFonts w:ascii="Arial" w:hAnsi="Arial" w:cs="Arial"/>
                <w:b w:val="0"/>
                <w:noProof/>
                <w:color w:val="auto"/>
              </w:rPr>
              <w:t>Intoxicación por metales (Grupo Sustancia 4)</w:t>
            </w:r>
            <w:r w:rsidR="0037398A" w:rsidRPr="007528E0">
              <w:rPr>
                <w:rFonts w:ascii="Arial" w:hAnsi="Arial" w:cs="Arial"/>
                <w:b w:val="0"/>
                <w:noProof/>
                <w:webHidden/>
              </w:rPr>
              <w:tab/>
            </w:r>
            <w:r w:rsidR="0037398A" w:rsidRPr="007528E0">
              <w:rPr>
                <w:rFonts w:ascii="Arial" w:hAnsi="Arial" w:cs="Arial"/>
                <w:b w:val="0"/>
                <w:noProof/>
                <w:webHidden/>
              </w:rPr>
              <w:fldChar w:fldCharType="begin"/>
            </w:r>
            <w:r w:rsidR="0037398A" w:rsidRPr="007528E0">
              <w:rPr>
                <w:rFonts w:ascii="Arial" w:hAnsi="Arial" w:cs="Arial"/>
                <w:b w:val="0"/>
                <w:noProof/>
                <w:webHidden/>
              </w:rPr>
              <w:instrText xml:space="preserve"> PAGEREF _Toc505456658 \h </w:instrText>
            </w:r>
            <w:r w:rsidR="0037398A" w:rsidRPr="007528E0">
              <w:rPr>
                <w:rFonts w:ascii="Arial" w:hAnsi="Arial" w:cs="Arial"/>
                <w:b w:val="0"/>
                <w:noProof/>
                <w:webHidden/>
              </w:rPr>
            </w:r>
            <w:r w:rsidR="0037398A" w:rsidRPr="007528E0">
              <w:rPr>
                <w:rFonts w:ascii="Arial" w:hAnsi="Arial" w:cs="Arial"/>
                <w:b w:val="0"/>
                <w:noProof/>
                <w:webHidden/>
              </w:rPr>
              <w:fldChar w:fldCharType="separate"/>
            </w:r>
            <w:r w:rsidR="002B5D48">
              <w:rPr>
                <w:rFonts w:ascii="Arial" w:hAnsi="Arial" w:cs="Arial"/>
                <w:b w:val="0"/>
                <w:noProof/>
                <w:webHidden/>
              </w:rPr>
              <w:t>28</w:t>
            </w:r>
            <w:r w:rsidR="0037398A" w:rsidRPr="007528E0">
              <w:rPr>
                <w:rFonts w:ascii="Arial" w:hAnsi="Arial" w:cs="Arial"/>
                <w:b w:val="0"/>
                <w:noProof/>
                <w:webHidden/>
              </w:rPr>
              <w:fldChar w:fldCharType="end"/>
            </w:r>
          </w:hyperlink>
        </w:p>
        <w:p w14:paraId="3184D057" w14:textId="77777777" w:rsidR="0037398A" w:rsidRPr="007528E0" w:rsidRDefault="00F87462" w:rsidP="0037398A">
          <w:pPr>
            <w:pStyle w:val="TDC2"/>
            <w:tabs>
              <w:tab w:val="left" w:pos="720"/>
              <w:tab w:val="right" w:leader="dot" w:pos="8828"/>
            </w:tabs>
            <w:spacing w:before="100" w:beforeAutospacing="1" w:after="100" w:afterAutospacing="1"/>
            <w:ind w:left="238"/>
            <w:rPr>
              <w:rFonts w:ascii="Arial" w:hAnsi="Arial" w:cs="Arial"/>
              <w:b w:val="0"/>
              <w:bCs w:val="0"/>
              <w:noProof/>
              <w:lang w:val="es-CO" w:eastAsia="es-CO"/>
            </w:rPr>
          </w:pPr>
          <w:hyperlink w:anchor="_Toc505456659" w:history="1">
            <w:r w:rsidR="0037398A" w:rsidRPr="007528E0">
              <w:rPr>
                <w:rStyle w:val="Hipervnculo"/>
                <w:rFonts w:ascii="Arial" w:hAnsi="Arial" w:cs="Arial"/>
                <w:b w:val="0"/>
                <w:noProof/>
                <w:color w:val="auto"/>
              </w:rPr>
              <w:t>5.</w:t>
            </w:r>
            <w:r w:rsidR="0037398A" w:rsidRPr="007528E0">
              <w:rPr>
                <w:rFonts w:ascii="Arial" w:hAnsi="Arial" w:cs="Arial"/>
                <w:b w:val="0"/>
                <w:bCs w:val="0"/>
                <w:noProof/>
                <w:lang w:val="es-CO" w:eastAsia="es-CO"/>
              </w:rPr>
              <w:tab/>
            </w:r>
            <w:r w:rsidR="0037398A" w:rsidRPr="007528E0">
              <w:rPr>
                <w:rStyle w:val="Hipervnculo"/>
                <w:rFonts w:ascii="Arial" w:hAnsi="Arial" w:cs="Arial"/>
                <w:b w:val="0"/>
                <w:noProof/>
                <w:color w:val="auto"/>
              </w:rPr>
              <w:t>Intoxicación por solventes (Grupo sustancia 5)</w:t>
            </w:r>
            <w:r w:rsidR="0037398A" w:rsidRPr="007528E0">
              <w:rPr>
                <w:rFonts w:ascii="Arial" w:hAnsi="Arial" w:cs="Arial"/>
                <w:b w:val="0"/>
                <w:noProof/>
                <w:webHidden/>
              </w:rPr>
              <w:tab/>
            </w:r>
            <w:r w:rsidR="0037398A" w:rsidRPr="007528E0">
              <w:rPr>
                <w:rFonts w:ascii="Arial" w:hAnsi="Arial" w:cs="Arial"/>
                <w:b w:val="0"/>
                <w:noProof/>
                <w:webHidden/>
              </w:rPr>
              <w:fldChar w:fldCharType="begin"/>
            </w:r>
            <w:r w:rsidR="0037398A" w:rsidRPr="007528E0">
              <w:rPr>
                <w:rFonts w:ascii="Arial" w:hAnsi="Arial" w:cs="Arial"/>
                <w:b w:val="0"/>
                <w:noProof/>
                <w:webHidden/>
              </w:rPr>
              <w:instrText xml:space="preserve"> PAGEREF _Toc505456659 \h </w:instrText>
            </w:r>
            <w:r w:rsidR="0037398A" w:rsidRPr="007528E0">
              <w:rPr>
                <w:rFonts w:ascii="Arial" w:hAnsi="Arial" w:cs="Arial"/>
                <w:b w:val="0"/>
                <w:noProof/>
                <w:webHidden/>
              </w:rPr>
            </w:r>
            <w:r w:rsidR="0037398A" w:rsidRPr="007528E0">
              <w:rPr>
                <w:rFonts w:ascii="Arial" w:hAnsi="Arial" w:cs="Arial"/>
                <w:b w:val="0"/>
                <w:noProof/>
                <w:webHidden/>
              </w:rPr>
              <w:fldChar w:fldCharType="separate"/>
            </w:r>
            <w:r w:rsidR="002B5D48">
              <w:rPr>
                <w:rFonts w:ascii="Arial" w:hAnsi="Arial" w:cs="Arial"/>
                <w:b w:val="0"/>
                <w:noProof/>
                <w:webHidden/>
              </w:rPr>
              <w:t>39</w:t>
            </w:r>
            <w:r w:rsidR="0037398A" w:rsidRPr="007528E0">
              <w:rPr>
                <w:rFonts w:ascii="Arial" w:hAnsi="Arial" w:cs="Arial"/>
                <w:b w:val="0"/>
                <w:noProof/>
                <w:webHidden/>
              </w:rPr>
              <w:fldChar w:fldCharType="end"/>
            </w:r>
          </w:hyperlink>
        </w:p>
        <w:p w14:paraId="4F396522" w14:textId="77777777" w:rsidR="0037398A" w:rsidRPr="007528E0" w:rsidRDefault="00F87462" w:rsidP="0037398A">
          <w:pPr>
            <w:pStyle w:val="TDC2"/>
            <w:tabs>
              <w:tab w:val="left" w:pos="720"/>
              <w:tab w:val="right" w:leader="dot" w:pos="8828"/>
            </w:tabs>
            <w:spacing w:before="100" w:beforeAutospacing="1" w:after="100" w:afterAutospacing="1"/>
            <w:ind w:left="238"/>
            <w:rPr>
              <w:rFonts w:ascii="Arial" w:hAnsi="Arial" w:cs="Arial"/>
              <w:b w:val="0"/>
              <w:bCs w:val="0"/>
              <w:noProof/>
              <w:lang w:val="es-CO" w:eastAsia="es-CO"/>
            </w:rPr>
          </w:pPr>
          <w:hyperlink w:anchor="_Toc505456660" w:history="1">
            <w:r w:rsidR="0037398A" w:rsidRPr="007528E0">
              <w:rPr>
                <w:rStyle w:val="Hipervnculo"/>
                <w:rFonts w:ascii="Arial" w:hAnsi="Arial" w:cs="Arial"/>
                <w:b w:val="0"/>
                <w:noProof/>
                <w:color w:val="auto"/>
              </w:rPr>
              <w:t>6.</w:t>
            </w:r>
            <w:r w:rsidR="0037398A" w:rsidRPr="007528E0">
              <w:rPr>
                <w:rFonts w:ascii="Arial" w:hAnsi="Arial" w:cs="Arial"/>
                <w:b w:val="0"/>
                <w:bCs w:val="0"/>
                <w:noProof/>
                <w:lang w:val="es-CO" w:eastAsia="es-CO"/>
              </w:rPr>
              <w:tab/>
            </w:r>
            <w:r w:rsidR="0037398A" w:rsidRPr="007528E0">
              <w:rPr>
                <w:rStyle w:val="Hipervnculo"/>
                <w:rFonts w:ascii="Arial" w:hAnsi="Arial" w:cs="Arial"/>
                <w:b w:val="0"/>
                <w:noProof/>
                <w:color w:val="auto"/>
              </w:rPr>
              <w:t>Intoxicación por otras sustancias químicas (Grupo de sustancia 6)</w:t>
            </w:r>
            <w:r w:rsidR="0037398A" w:rsidRPr="007528E0">
              <w:rPr>
                <w:rFonts w:ascii="Arial" w:hAnsi="Arial" w:cs="Arial"/>
                <w:b w:val="0"/>
                <w:noProof/>
                <w:webHidden/>
              </w:rPr>
              <w:tab/>
            </w:r>
            <w:r w:rsidR="0037398A" w:rsidRPr="007528E0">
              <w:rPr>
                <w:rFonts w:ascii="Arial" w:hAnsi="Arial" w:cs="Arial"/>
                <w:b w:val="0"/>
                <w:noProof/>
                <w:webHidden/>
              </w:rPr>
              <w:fldChar w:fldCharType="begin"/>
            </w:r>
            <w:r w:rsidR="0037398A" w:rsidRPr="007528E0">
              <w:rPr>
                <w:rFonts w:ascii="Arial" w:hAnsi="Arial" w:cs="Arial"/>
                <w:b w:val="0"/>
                <w:noProof/>
                <w:webHidden/>
              </w:rPr>
              <w:instrText xml:space="preserve"> PAGEREF _Toc505456660 \h </w:instrText>
            </w:r>
            <w:r w:rsidR="0037398A" w:rsidRPr="007528E0">
              <w:rPr>
                <w:rFonts w:ascii="Arial" w:hAnsi="Arial" w:cs="Arial"/>
                <w:b w:val="0"/>
                <w:noProof/>
                <w:webHidden/>
              </w:rPr>
            </w:r>
            <w:r w:rsidR="0037398A" w:rsidRPr="007528E0">
              <w:rPr>
                <w:rFonts w:ascii="Arial" w:hAnsi="Arial" w:cs="Arial"/>
                <w:b w:val="0"/>
                <w:noProof/>
                <w:webHidden/>
              </w:rPr>
              <w:fldChar w:fldCharType="separate"/>
            </w:r>
            <w:r w:rsidR="002B5D48">
              <w:rPr>
                <w:rFonts w:ascii="Arial" w:hAnsi="Arial" w:cs="Arial"/>
                <w:b w:val="0"/>
                <w:noProof/>
                <w:webHidden/>
              </w:rPr>
              <w:t>41</w:t>
            </w:r>
            <w:r w:rsidR="0037398A" w:rsidRPr="007528E0">
              <w:rPr>
                <w:rFonts w:ascii="Arial" w:hAnsi="Arial" w:cs="Arial"/>
                <w:b w:val="0"/>
                <w:noProof/>
                <w:webHidden/>
              </w:rPr>
              <w:fldChar w:fldCharType="end"/>
            </w:r>
          </w:hyperlink>
        </w:p>
        <w:p w14:paraId="67E9A6C9" w14:textId="77777777" w:rsidR="0037398A" w:rsidRPr="007528E0" w:rsidRDefault="00F87462" w:rsidP="0037398A">
          <w:pPr>
            <w:pStyle w:val="TDC2"/>
            <w:tabs>
              <w:tab w:val="left" w:pos="720"/>
              <w:tab w:val="right" w:leader="dot" w:pos="8828"/>
            </w:tabs>
            <w:spacing w:before="100" w:beforeAutospacing="1" w:after="100" w:afterAutospacing="1"/>
            <w:ind w:left="238"/>
            <w:rPr>
              <w:rFonts w:ascii="Arial" w:hAnsi="Arial" w:cs="Arial"/>
              <w:b w:val="0"/>
              <w:bCs w:val="0"/>
              <w:noProof/>
              <w:lang w:val="es-CO" w:eastAsia="es-CO"/>
            </w:rPr>
          </w:pPr>
          <w:hyperlink w:anchor="_Toc505456661" w:history="1">
            <w:r w:rsidR="0037398A" w:rsidRPr="007528E0">
              <w:rPr>
                <w:rStyle w:val="Hipervnculo"/>
                <w:rFonts w:ascii="Arial" w:hAnsi="Arial" w:cs="Arial"/>
                <w:b w:val="0"/>
                <w:noProof/>
                <w:color w:val="auto"/>
              </w:rPr>
              <w:t>7.</w:t>
            </w:r>
            <w:r w:rsidR="0037398A" w:rsidRPr="007528E0">
              <w:rPr>
                <w:rFonts w:ascii="Arial" w:hAnsi="Arial" w:cs="Arial"/>
                <w:b w:val="0"/>
                <w:bCs w:val="0"/>
                <w:noProof/>
                <w:lang w:val="es-CO" w:eastAsia="es-CO"/>
              </w:rPr>
              <w:tab/>
            </w:r>
            <w:r w:rsidR="0037398A" w:rsidRPr="007528E0">
              <w:rPr>
                <w:rStyle w:val="Hipervnculo"/>
                <w:rFonts w:ascii="Arial" w:hAnsi="Arial" w:cs="Arial"/>
                <w:b w:val="0"/>
                <w:noProof/>
                <w:color w:val="auto"/>
              </w:rPr>
              <w:t>Intoxicación por gases (Grupo de Sustancia 7)</w:t>
            </w:r>
            <w:r w:rsidR="0037398A" w:rsidRPr="007528E0">
              <w:rPr>
                <w:rFonts w:ascii="Arial" w:hAnsi="Arial" w:cs="Arial"/>
                <w:b w:val="0"/>
                <w:noProof/>
                <w:webHidden/>
              </w:rPr>
              <w:tab/>
            </w:r>
            <w:r w:rsidR="0037398A" w:rsidRPr="007528E0">
              <w:rPr>
                <w:rFonts w:ascii="Arial" w:hAnsi="Arial" w:cs="Arial"/>
                <w:b w:val="0"/>
                <w:noProof/>
                <w:webHidden/>
              </w:rPr>
              <w:fldChar w:fldCharType="begin"/>
            </w:r>
            <w:r w:rsidR="0037398A" w:rsidRPr="007528E0">
              <w:rPr>
                <w:rFonts w:ascii="Arial" w:hAnsi="Arial" w:cs="Arial"/>
                <w:b w:val="0"/>
                <w:noProof/>
                <w:webHidden/>
              </w:rPr>
              <w:instrText xml:space="preserve"> PAGEREF _Toc505456661 \h </w:instrText>
            </w:r>
            <w:r w:rsidR="0037398A" w:rsidRPr="007528E0">
              <w:rPr>
                <w:rFonts w:ascii="Arial" w:hAnsi="Arial" w:cs="Arial"/>
                <w:b w:val="0"/>
                <w:noProof/>
                <w:webHidden/>
              </w:rPr>
            </w:r>
            <w:r w:rsidR="0037398A" w:rsidRPr="007528E0">
              <w:rPr>
                <w:rFonts w:ascii="Arial" w:hAnsi="Arial" w:cs="Arial"/>
                <w:b w:val="0"/>
                <w:noProof/>
                <w:webHidden/>
              </w:rPr>
              <w:fldChar w:fldCharType="separate"/>
            </w:r>
            <w:r w:rsidR="002B5D48">
              <w:rPr>
                <w:rFonts w:ascii="Arial" w:hAnsi="Arial" w:cs="Arial"/>
                <w:b w:val="0"/>
                <w:noProof/>
                <w:webHidden/>
              </w:rPr>
              <w:t>48</w:t>
            </w:r>
            <w:r w:rsidR="0037398A" w:rsidRPr="007528E0">
              <w:rPr>
                <w:rFonts w:ascii="Arial" w:hAnsi="Arial" w:cs="Arial"/>
                <w:b w:val="0"/>
                <w:noProof/>
                <w:webHidden/>
              </w:rPr>
              <w:fldChar w:fldCharType="end"/>
            </w:r>
          </w:hyperlink>
        </w:p>
        <w:p w14:paraId="09B05A45" w14:textId="77777777" w:rsidR="0037398A" w:rsidRPr="007528E0" w:rsidRDefault="00F87462" w:rsidP="0037398A">
          <w:pPr>
            <w:pStyle w:val="TDC2"/>
            <w:tabs>
              <w:tab w:val="left" w:pos="720"/>
              <w:tab w:val="right" w:leader="dot" w:pos="8828"/>
            </w:tabs>
            <w:spacing w:before="100" w:beforeAutospacing="1" w:after="100" w:afterAutospacing="1"/>
            <w:ind w:left="238"/>
            <w:rPr>
              <w:rFonts w:ascii="Arial" w:hAnsi="Arial" w:cs="Arial"/>
              <w:b w:val="0"/>
              <w:bCs w:val="0"/>
              <w:noProof/>
              <w:lang w:val="es-CO" w:eastAsia="es-CO"/>
            </w:rPr>
          </w:pPr>
          <w:hyperlink w:anchor="_Toc505456662" w:history="1">
            <w:r w:rsidR="0037398A" w:rsidRPr="007528E0">
              <w:rPr>
                <w:rStyle w:val="Hipervnculo"/>
                <w:rFonts w:ascii="Arial" w:hAnsi="Arial" w:cs="Arial"/>
                <w:b w:val="0"/>
                <w:noProof/>
                <w:color w:val="auto"/>
              </w:rPr>
              <w:t>8.</w:t>
            </w:r>
            <w:r w:rsidR="0037398A" w:rsidRPr="007528E0">
              <w:rPr>
                <w:rFonts w:ascii="Arial" w:hAnsi="Arial" w:cs="Arial"/>
                <w:b w:val="0"/>
                <w:bCs w:val="0"/>
                <w:noProof/>
                <w:lang w:val="es-CO" w:eastAsia="es-CO"/>
              </w:rPr>
              <w:tab/>
            </w:r>
            <w:r w:rsidR="0037398A" w:rsidRPr="007528E0">
              <w:rPr>
                <w:rStyle w:val="Hipervnculo"/>
                <w:rFonts w:ascii="Arial" w:hAnsi="Arial" w:cs="Arial"/>
                <w:b w:val="0"/>
                <w:noProof/>
                <w:color w:val="auto"/>
              </w:rPr>
              <w:t>Intoxicación por sustancias psicoactivas (Grupo de Sustancia 8)</w:t>
            </w:r>
            <w:r w:rsidR="0037398A" w:rsidRPr="007528E0">
              <w:rPr>
                <w:rFonts w:ascii="Arial" w:hAnsi="Arial" w:cs="Arial"/>
                <w:b w:val="0"/>
                <w:noProof/>
                <w:webHidden/>
              </w:rPr>
              <w:tab/>
            </w:r>
            <w:r w:rsidR="0037398A" w:rsidRPr="007528E0">
              <w:rPr>
                <w:rFonts w:ascii="Arial" w:hAnsi="Arial" w:cs="Arial"/>
                <w:b w:val="0"/>
                <w:noProof/>
                <w:webHidden/>
              </w:rPr>
              <w:fldChar w:fldCharType="begin"/>
            </w:r>
            <w:r w:rsidR="0037398A" w:rsidRPr="007528E0">
              <w:rPr>
                <w:rFonts w:ascii="Arial" w:hAnsi="Arial" w:cs="Arial"/>
                <w:b w:val="0"/>
                <w:noProof/>
                <w:webHidden/>
              </w:rPr>
              <w:instrText xml:space="preserve"> PAGEREF _Toc505456662 \h </w:instrText>
            </w:r>
            <w:r w:rsidR="0037398A" w:rsidRPr="007528E0">
              <w:rPr>
                <w:rFonts w:ascii="Arial" w:hAnsi="Arial" w:cs="Arial"/>
                <w:b w:val="0"/>
                <w:noProof/>
                <w:webHidden/>
              </w:rPr>
            </w:r>
            <w:r w:rsidR="0037398A" w:rsidRPr="007528E0">
              <w:rPr>
                <w:rFonts w:ascii="Arial" w:hAnsi="Arial" w:cs="Arial"/>
                <w:b w:val="0"/>
                <w:noProof/>
                <w:webHidden/>
              </w:rPr>
              <w:fldChar w:fldCharType="separate"/>
            </w:r>
            <w:r w:rsidR="002B5D48">
              <w:rPr>
                <w:rFonts w:ascii="Arial" w:hAnsi="Arial" w:cs="Arial"/>
                <w:b w:val="0"/>
                <w:noProof/>
                <w:webHidden/>
              </w:rPr>
              <w:t>50</w:t>
            </w:r>
            <w:r w:rsidR="0037398A" w:rsidRPr="007528E0">
              <w:rPr>
                <w:rFonts w:ascii="Arial" w:hAnsi="Arial" w:cs="Arial"/>
                <w:b w:val="0"/>
                <w:noProof/>
                <w:webHidden/>
              </w:rPr>
              <w:fldChar w:fldCharType="end"/>
            </w:r>
          </w:hyperlink>
        </w:p>
        <w:p w14:paraId="4D83B619" w14:textId="77777777" w:rsidR="0037398A" w:rsidRPr="007528E0" w:rsidRDefault="00F87462" w:rsidP="0037398A">
          <w:pPr>
            <w:pStyle w:val="TDC2"/>
            <w:tabs>
              <w:tab w:val="right" w:leader="dot" w:pos="8828"/>
            </w:tabs>
            <w:spacing w:before="100" w:beforeAutospacing="1" w:after="100" w:afterAutospacing="1"/>
            <w:ind w:left="238"/>
            <w:rPr>
              <w:rFonts w:ascii="Arial" w:hAnsi="Arial" w:cs="Arial"/>
              <w:b w:val="0"/>
              <w:bCs w:val="0"/>
              <w:noProof/>
              <w:lang w:val="es-CO" w:eastAsia="es-CO"/>
            </w:rPr>
          </w:pPr>
          <w:hyperlink w:anchor="_Toc505456663" w:history="1">
            <w:r w:rsidR="0037398A" w:rsidRPr="007528E0">
              <w:rPr>
                <w:rStyle w:val="Hipervnculo"/>
                <w:rFonts w:ascii="Arial" w:hAnsi="Arial" w:cs="Arial"/>
                <w:b w:val="0"/>
                <w:noProof/>
                <w:color w:val="auto"/>
              </w:rPr>
              <w:t>Referencias Bibliográficas</w:t>
            </w:r>
            <w:r w:rsidR="0037398A" w:rsidRPr="007528E0">
              <w:rPr>
                <w:rFonts w:ascii="Arial" w:hAnsi="Arial" w:cs="Arial"/>
                <w:b w:val="0"/>
                <w:noProof/>
                <w:webHidden/>
              </w:rPr>
              <w:tab/>
            </w:r>
            <w:r w:rsidR="0037398A" w:rsidRPr="007528E0">
              <w:rPr>
                <w:rFonts w:ascii="Arial" w:hAnsi="Arial" w:cs="Arial"/>
                <w:b w:val="0"/>
                <w:noProof/>
                <w:webHidden/>
              </w:rPr>
              <w:fldChar w:fldCharType="begin"/>
            </w:r>
            <w:r w:rsidR="0037398A" w:rsidRPr="007528E0">
              <w:rPr>
                <w:rFonts w:ascii="Arial" w:hAnsi="Arial" w:cs="Arial"/>
                <w:b w:val="0"/>
                <w:noProof/>
                <w:webHidden/>
              </w:rPr>
              <w:instrText xml:space="preserve"> PAGEREF _Toc505456663 \h </w:instrText>
            </w:r>
            <w:r w:rsidR="0037398A" w:rsidRPr="007528E0">
              <w:rPr>
                <w:rFonts w:ascii="Arial" w:hAnsi="Arial" w:cs="Arial"/>
                <w:b w:val="0"/>
                <w:noProof/>
                <w:webHidden/>
              </w:rPr>
            </w:r>
            <w:r w:rsidR="0037398A" w:rsidRPr="007528E0">
              <w:rPr>
                <w:rFonts w:ascii="Arial" w:hAnsi="Arial" w:cs="Arial"/>
                <w:b w:val="0"/>
                <w:noProof/>
                <w:webHidden/>
              </w:rPr>
              <w:fldChar w:fldCharType="separate"/>
            </w:r>
            <w:r w:rsidR="002B5D48">
              <w:rPr>
                <w:rFonts w:ascii="Arial" w:hAnsi="Arial" w:cs="Arial"/>
                <w:b w:val="0"/>
                <w:noProof/>
                <w:webHidden/>
              </w:rPr>
              <w:t>52</w:t>
            </w:r>
            <w:r w:rsidR="0037398A" w:rsidRPr="007528E0">
              <w:rPr>
                <w:rFonts w:ascii="Arial" w:hAnsi="Arial" w:cs="Arial"/>
                <w:b w:val="0"/>
                <w:noProof/>
                <w:webHidden/>
              </w:rPr>
              <w:fldChar w:fldCharType="end"/>
            </w:r>
          </w:hyperlink>
        </w:p>
        <w:p w14:paraId="50EDBD4A" w14:textId="77777777" w:rsidR="0037398A" w:rsidRPr="007528E0" w:rsidRDefault="0037398A" w:rsidP="0037398A">
          <w:pPr>
            <w:spacing w:before="100" w:beforeAutospacing="1" w:after="100" w:afterAutospacing="1"/>
            <w:rPr>
              <w:rFonts w:cs="Arial"/>
              <w:sz w:val="22"/>
              <w:szCs w:val="22"/>
            </w:rPr>
          </w:pPr>
          <w:r w:rsidRPr="007528E0">
            <w:rPr>
              <w:rFonts w:cs="Arial"/>
              <w:bCs/>
              <w:sz w:val="22"/>
              <w:szCs w:val="22"/>
              <w:lang w:val="es-ES"/>
            </w:rPr>
            <w:fldChar w:fldCharType="end"/>
          </w:r>
        </w:p>
      </w:sdtContent>
    </w:sdt>
    <w:p w14:paraId="4B83A26A" w14:textId="77777777" w:rsidR="0037398A" w:rsidRPr="007528E0" w:rsidRDefault="0037398A" w:rsidP="0037398A">
      <w:pPr>
        <w:pStyle w:val="Ttulo2"/>
        <w:spacing w:before="100" w:beforeAutospacing="1" w:after="100" w:afterAutospacing="1"/>
        <w:rPr>
          <w:sz w:val="22"/>
          <w:szCs w:val="22"/>
        </w:rPr>
      </w:pPr>
      <w:bookmarkStart w:id="0" w:name="_Toc464122674"/>
    </w:p>
    <w:p w14:paraId="13FA90E1" w14:textId="77777777" w:rsidR="0037398A" w:rsidRPr="007528E0" w:rsidRDefault="0037398A" w:rsidP="0037398A">
      <w:pPr>
        <w:spacing w:before="100" w:beforeAutospacing="1" w:after="100" w:afterAutospacing="1"/>
        <w:rPr>
          <w:rFonts w:cs="Arial"/>
          <w:sz w:val="22"/>
          <w:szCs w:val="22"/>
          <w:lang w:val="es-CO"/>
        </w:rPr>
      </w:pPr>
    </w:p>
    <w:p w14:paraId="0E94CF73" w14:textId="77777777" w:rsidR="0037398A" w:rsidRPr="007528E0" w:rsidRDefault="0037398A" w:rsidP="0037398A">
      <w:pPr>
        <w:spacing w:before="100" w:beforeAutospacing="1" w:after="100" w:afterAutospacing="1"/>
        <w:rPr>
          <w:rFonts w:cs="Arial"/>
          <w:sz w:val="22"/>
          <w:szCs w:val="22"/>
          <w:lang w:val="es-CO"/>
        </w:rPr>
      </w:pPr>
    </w:p>
    <w:p w14:paraId="7DE71BBB" w14:textId="77777777" w:rsidR="0037398A" w:rsidRPr="007528E0" w:rsidRDefault="0037398A" w:rsidP="0037398A">
      <w:pPr>
        <w:spacing w:before="100" w:beforeAutospacing="1" w:after="100" w:afterAutospacing="1"/>
        <w:rPr>
          <w:rFonts w:cs="Arial"/>
          <w:sz w:val="22"/>
          <w:szCs w:val="22"/>
          <w:lang w:val="es-CO"/>
        </w:rPr>
      </w:pPr>
    </w:p>
    <w:p w14:paraId="261FD48A" w14:textId="77777777" w:rsidR="0037398A" w:rsidRPr="007528E0" w:rsidRDefault="0037398A" w:rsidP="0037398A">
      <w:pPr>
        <w:spacing w:before="100" w:beforeAutospacing="1" w:after="100" w:afterAutospacing="1"/>
        <w:rPr>
          <w:rFonts w:cs="Arial"/>
          <w:sz w:val="22"/>
          <w:szCs w:val="22"/>
          <w:lang w:val="es-CO"/>
        </w:rPr>
      </w:pPr>
    </w:p>
    <w:p w14:paraId="2E29727F" w14:textId="77777777" w:rsidR="0037398A" w:rsidRPr="007528E0" w:rsidRDefault="0037398A" w:rsidP="0037398A">
      <w:pPr>
        <w:spacing w:before="100" w:beforeAutospacing="1" w:after="100" w:afterAutospacing="1"/>
        <w:rPr>
          <w:rFonts w:cs="Arial"/>
          <w:b/>
          <w:sz w:val="22"/>
          <w:szCs w:val="22"/>
          <w:lang w:val="es-CO"/>
        </w:rPr>
      </w:pPr>
      <w:r w:rsidRPr="007528E0">
        <w:rPr>
          <w:rFonts w:cs="Arial"/>
          <w:b/>
          <w:sz w:val="22"/>
          <w:szCs w:val="22"/>
          <w:lang w:val="es-CO"/>
        </w:rPr>
        <w:lastRenderedPageBreak/>
        <w:t>Contenido de Tablas</w:t>
      </w:r>
    </w:p>
    <w:p w14:paraId="170CA58E" w14:textId="3B0C5C9A" w:rsidR="0037398A" w:rsidRPr="007528E0" w:rsidRDefault="0037398A" w:rsidP="0037398A">
      <w:pPr>
        <w:pStyle w:val="Tabladeilustraciones"/>
        <w:tabs>
          <w:tab w:val="right" w:leader="dot" w:pos="8828"/>
        </w:tabs>
        <w:spacing w:before="100" w:beforeAutospacing="1" w:after="100" w:afterAutospacing="1"/>
        <w:rPr>
          <w:rFonts w:cs="Arial"/>
          <w:noProof/>
          <w:sz w:val="22"/>
          <w:szCs w:val="22"/>
          <w:lang w:val="es-CO" w:eastAsia="es-CO"/>
        </w:rPr>
      </w:pPr>
      <w:r w:rsidRPr="007528E0">
        <w:rPr>
          <w:rFonts w:cs="Arial"/>
          <w:sz w:val="22"/>
          <w:szCs w:val="22"/>
          <w:lang w:val="es-CO"/>
        </w:rPr>
        <w:fldChar w:fldCharType="begin"/>
      </w:r>
      <w:r w:rsidRPr="007528E0">
        <w:rPr>
          <w:rFonts w:cs="Arial"/>
          <w:sz w:val="22"/>
          <w:szCs w:val="22"/>
          <w:lang w:val="es-CO"/>
        </w:rPr>
        <w:instrText xml:space="preserve"> TOC \h \z \c "Tabla" </w:instrText>
      </w:r>
      <w:r w:rsidRPr="007528E0">
        <w:rPr>
          <w:rFonts w:cs="Arial"/>
          <w:sz w:val="22"/>
          <w:szCs w:val="22"/>
          <w:lang w:val="es-CO"/>
        </w:rPr>
        <w:fldChar w:fldCharType="separate"/>
      </w:r>
      <w:hyperlink w:anchor="_Toc505456247" w:history="1">
        <w:r w:rsidRPr="007528E0">
          <w:rPr>
            <w:rStyle w:val="Hipervnculo"/>
            <w:rFonts w:cs="Arial"/>
            <w:b/>
            <w:noProof/>
            <w:color w:val="auto"/>
            <w:sz w:val="22"/>
            <w:szCs w:val="22"/>
          </w:rPr>
          <w:t>Tabla 1</w:t>
        </w:r>
        <w:r w:rsidRPr="007528E0">
          <w:rPr>
            <w:rStyle w:val="Hipervnculo"/>
            <w:rFonts w:cs="Arial"/>
            <w:noProof/>
            <w:color w:val="auto"/>
            <w:sz w:val="22"/>
            <w:szCs w:val="22"/>
          </w:rPr>
          <w:t>. Descripción de las manifestaciones clínicas y laboratorio de toxicología de los principales medicamentos implicados en las intoxicaciones notificadas al Sivigila.</w:t>
        </w:r>
        <w:r w:rsidRPr="007528E0">
          <w:rPr>
            <w:rFonts w:cs="Arial"/>
            <w:noProof/>
            <w:webHidden/>
            <w:sz w:val="22"/>
            <w:szCs w:val="22"/>
          </w:rPr>
          <w:tab/>
        </w:r>
        <w:r w:rsidRPr="007528E0">
          <w:rPr>
            <w:rFonts w:cs="Arial"/>
            <w:noProof/>
            <w:webHidden/>
            <w:sz w:val="22"/>
            <w:szCs w:val="22"/>
          </w:rPr>
          <w:fldChar w:fldCharType="begin"/>
        </w:r>
        <w:r w:rsidRPr="007528E0">
          <w:rPr>
            <w:rFonts w:cs="Arial"/>
            <w:noProof/>
            <w:webHidden/>
            <w:sz w:val="22"/>
            <w:szCs w:val="22"/>
          </w:rPr>
          <w:instrText xml:space="preserve"> PAGEREF _Toc505456247 \h </w:instrText>
        </w:r>
        <w:r w:rsidRPr="007528E0">
          <w:rPr>
            <w:rFonts w:cs="Arial"/>
            <w:noProof/>
            <w:webHidden/>
            <w:sz w:val="22"/>
            <w:szCs w:val="22"/>
          </w:rPr>
        </w:r>
        <w:r w:rsidRPr="007528E0">
          <w:rPr>
            <w:rFonts w:cs="Arial"/>
            <w:noProof/>
            <w:webHidden/>
            <w:sz w:val="22"/>
            <w:szCs w:val="22"/>
          </w:rPr>
          <w:fldChar w:fldCharType="separate"/>
        </w:r>
        <w:r w:rsidRPr="007528E0">
          <w:rPr>
            <w:rFonts w:cs="Arial"/>
            <w:noProof/>
            <w:webHidden/>
            <w:sz w:val="22"/>
            <w:szCs w:val="22"/>
          </w:rPr>
          <w:t>1</w:t>
        </w:r>
        <w:r w:rsidRPr="007528E0">
          <w:rPr>
            <w:rFonts w:cs="Arial"/>
            <w:noProof/>
            <w:webHidden/>
            <w:sz w:val="22"/>
            <w:szCs w:val="22"/>
          </w:rPr>
          <w:fldChar w:fldCharType="end"/>
        </w:r>
      </w:hyperlink>
      <w:r w:rsidR="004730AF">
        <w:rPr>
          <w:rFonts w:cs="Arial"/>
          <w:noProof/>
          <w:sz w:val="22"/>
          <w:szCs w:val="22"/>
        </w:rPr>
        <w:t>1</w:t>
      </w:r>
    </w:p>
    <w:p w14:paraId="5B37FA86" w14:textId="6AA2013C" w:rsidR="0037398A" w:rsidRPr="007528E0" w:rsidRDefault="00F87462" w:rsidP="0037398A">
      <w:pPr>
        <w:pStyle w:val="Tabladeilustraciones"/>
        <w:tabs>
          <w:tab w:val="right" w:leader="dot" w:pos="8828"/>
        </w:tabs>
        <w:spacing w:before="100" w:beforeAutospacing="1" w:after="100" w:afterAutospacing="1"/>
        <w:rPr>
          <w:rFonts w:cs="Arial"/>
          <w:noProof/>
          <w:sz w:val="22"/>
          <w:szCs w:val="22"/>
          <w:lang w:val="es-CO" w:eastAsia="es-CO"/>
        </w:rPr>
      </w:pPr>
      <w:hyperlink w:anchor="_Toc505456248" w:history="1">
        <w:r w:rsidR="0037398A" w:rsidRPr="007528E0">
          <w:rPr>
            <w:rStyle w:val="Hipervnculo"/>
            <w:rFonts w:cs="Arial"/>
            <w:b/>
            <w:noProof/>
            <w:color w:val="auto"/>
            <w:sz w:val="22"/>
            <w:szCs w:val="22"/>
          </w:rPr>
          <w:t>Tabla 2.</w:t>
        </w:r>
        <w:r w:rsidR="0037398A" w:rsidRPr="007528E0">
          <w:rPr>
            <w:rStyle w:val="Hipervnculo"/>
            <w:rFonts w:cs="Arial"/>
            <w:noProof/>
            <w:color w:val="auto"/>
            <w:sz w:val="22"/>
            <w:szCs w:val="22"/>
          </w:rPr>
          <w:t xml:space="preserve"> Clasificación de los plaguicidas según categoría toxicológica</w:t>
        </w:r>
        <w:r w:rsidR="0037398A" w:rsidRPr="007528E0">
          <w:rPr>
            <w:rFonts w:cs="Arial"/>
            <w:noProof/>
            <w:webHidden/>
            <w:sz w:val="22"/>
            <w:szCs w:val="22"/>
          </w:rPr>
          <w:tab/>
        </w:r>
        <w:r w:rsidR="0037398A" w:rsidRPr="007528E0">
          <w:rPr>
            <w:rFonts w:cs="Arial"/>
            <w:noProof/>
            <w:webHidden/>
            <w:sz w:val="22"/>
            <w:szCs w:val="22"/>
          </w:rPr>
          <w:fldChar w:fldCharType="begin"/>
        </w:r>
        <w:r w:rsidR="0037398A" w:rsidRPr="007528E0">
          <w:rPr>
            <w:rFonts w:cs="Arial"/>
            <w:noProof/>
            <w:webHidden/>
            <w:sz w:val="22"/>
            <w:szCs w:val="22"/>
          </w:rPr>
          <w:instrText xml:space="preserve"> PAGEREF _Toc505456248 \h </w:instrText>
        </w:r>
        <w:r w:rsidR="0037398A" w:rsidRPr="007528E0">
          <w:rPr>
            <w:rFonts w:cs="Arial"/>
            <w:noProof/>
            <w:webHidden/>
            <w:sz w:val="22"/>
            <w:szCs w:val="22"/>
          </w:rPr>
        </w:r>
        <w:r w:rsidR="0037398A" w:rsidRPr="007528E0">
          <w:rPr>
            <w:rFonts w:cs="Arial"/>
            <w:noProof/>
            <w:webHidden/>
            <w:sz w:val="22"/>
            <w:szCs w:val="22"/>
          </w:rPr>
          <w:fldChar w:fldCharType="separate"/>
        </w:r>
        <w:r w:rsidR="0037398A" w:rsidRPr="007528E0">
          <w:rPr>
            <w:rFonts w:cs="Arial"/>
            <w:noProof/>
            <w:webHidden/>
            <w:sz w:val="22"/>
            <w:szCs w:val="22"/>
          </w:rPr>
          <w:t>1</w:t>
        </w:r>
        <w:r w:rsidR="0037398A" w:rsidRPr="007528E0">
          <w:rPr>
            <w:rFonts w:cs="Arial"/>
            <w:noProof/>
            <w:webHidden/>
            <w:sz w:val="22"/>
            <w:szCs w:val="22"/>
          </w:rPr>
          <w:fldChar w:fldCharType="end"/>
        </w:r>
      </w:hyperlink>
      <w:r w:rsidR="004730AF">
        <w:rPr>
          <w:rFonts w:cs="Arial"/>
          <w:noProof/>
          <w:sz w:val="22"/>
          <w:szCs w:val="22"/>
        </w:rPr>
        <w:t>9</w:t>
      </w:r>
    </w:p>
    <w:p w14:paraId="0D92BA87" w14:textId="75234932" w:rsidR="0037398A" w:rsidRPr="007528E0" w:rsidRDefault="00F87462" w:rsidP="0037398A">
      <w:pPr>
        <w:pStyle w:val="Tabladeilustraciones"/>
        <w:tabs>
          <w:tab w:val="right" w:leader="dot" w:pos="8828"/>
        </w:tabs>
        <w:spacing w:before="100" w:beforeAutospacing="1" w:after="100" w:afterAutospacing="1"/>
        <w:rPr>
          <w:rFonts w:cs="Arial"/>
          <w:noProof/>
          <w:sz w:val="22"/>
          <w:szCs w:val="22"/>
          <w:lang w:val="es-CO" w:eastAsia="es-CO"/>
        </w:rPr>
      </w:pPr>
      <w:hyperlink w:anchor="_Toc505456249" w:history="1">
        <w:r w:rsidR="0037398A" w:rsidRPr="007528E0">
          <w:rPr>
            <w:rStyle w:val="Hipervnculo"/>
            <w:rFonts w:cs="Arial"/>
            <w:b/>
            <w:noProof/>
            <w:color w:val="auto"/>
            <w:sz w:val="22"/>
            <w:szCs w:val="22"/>
          </w:rPr>
          <w:t>Tabla 3</w:t>
        </w:r>
        <w:r w:rsidR="0037398A" w:rsidRPr="007528E0">
          <w:rPr>
            <w:rStyle w:val="Hipervnculo"/>
            <w:rFonts w:cs="Arial"/>
            <w:noProof/>
            <w:color w:val="auto"/>
            <w:sz w:val="22"/>
            <w:szCs w:val="22"/>
          </w:rPr>
          <w:t>. Principales familias de plaguicidas por grupos químicos</w:t>
        </w:r>
        <w:r w:rsidR="0037398A" w:rsidRPr="007528E0">
          <w:rPr>
            <w:rFonts w:cs="Arial"/>
            <w:noProof/>
            <w:webHidden/>
            <w:sz w:val="22"/>
            <w:szCs w:val="22"/>
          </w:rPr>
          <w:tab/>
        </w:r>
        <w:r w:rsidR="0037398A" w:rsidRPr="007528E0">
          <w:rPr>
            <w:rFonts w:cs="Arial"/>
            <w:noProof/>
            <w:webHidden/>
            <w:sz w:val="22"/>
            <w:szCs w:val="22"/>
          </w:rPr>
          <w:fldChar w:fldCharType="begin"/>
        </w:r>
        <w:r w:rsidR="0037398A" w:rsidRPr="007528E0">
          <w:rPr>
            <w:rFonts w:cs="Arial"/>
            <w:noProof/>
            <w:webHidden/>
            <w:sz w:val="22"/>
            <w:szCs w:val="22"/>
          </w:rPr>
          <w:instrText xml:space="preserve"> PAGEREF _Toc505456249 \h </w:instrText>
        </w:r>
        <w:r w:rsidR="0037398A" w:rsidRPr="007528E0">
          <w:rPr>
            <w:rFonts w:cs="Arial"/>
            <w:noProof/>
            <w:webHidden/>
            <w:sz w:val="22"/>
            <w:szCs w:val="22"/>
          </w:rPr>
        </w:r>
        <w:r w:rsidR="0037398A" w:rsidRPr="007528E0">
          <w:rPr>
            <w:rFonts w:cs="Arial"/>
            <w:noProof/>
            <w:webHidden/>
            <w:sz w:val="22"/>
            <w:szCs w:val="22"/>
          </w:rPr>
          <w:fldChar w:fldCharType="end"/>
        </w:r>
      </w:hyperlink>
      <w:r w:rsidR="004730AF">
        <w:rPr>
          <w:rFonts w:cs="Arial"/>
          <w:noProof/>
          <w:sz w:val="22"/>
          <w:szCs w:val="22"/>
        </w:rPr>
        <w:t>20</w:t>
      </w:r>
    </w:p>
    <w:p w14:paraId="510A8A55" w14:textId="79193C0C" w:rsidR="0037398A" w:rsidRPr="007528E0" w:rsidRDefault="00F87462" w:rsidP="0037398A">
      <w:pPr>
        <w:pStyle w:val="Tabladeilustraciones"/>
        <w:tabs>
          <w:tab w:val="right" w:leader="dot" w:pos="8828"/>
        </w:tabs>
        <w:spacing w:before="100" w:beforeAutospacing="1" w:after="100" w:afterAutospacing="1"/>
        <w:rPr>
          <w:rFonts w:cs="Arial"/>
          <w:noProof/>
          <w:sz w:val="22"/>
          <w:szCs w:val="22"/>
          <w:lang w:val="es-CO" w:eastAsia="es-CO"/>
        </w:rPr>
      </w:pPr>
      <w:hyperlink w:anchor="_Toc505456250" w:history="1">
        <w:r w:rsidR="0037398A" w:rsidRPr="007528E0">
          <w:rPr>
            <w:rStyle w:val="Hipervnculo"/>
            <w:rFonts w:cs="Arial"/>
            <w:b/>
            <w:noProof/>
            <w:color w:val="auto"/>
            <w:sz w:val="22"/>
            <w:szCs w:val="22"/>
          </w:rPr>
          <w:t>Tabla 4</w:t>
        </w:r>
        <w:r w:rsidR="0037398A" w:rsidRPr="007528E0">
          <w:rPr>
            <w:rStyle w:val="Hipervnculo"/>
            <w:rFonts w:cs="Arial"/>
            <w:noProof/>
            <w:color w:val="auto"/>
            <w:sz w:val="22"/>
            <w:szCs w:val="22"/>
          </w:rPr>
          <w:t>. Interpretación de la actividad de la colinesterasa</w:t>
        </w:r>
        <w:r w:rsidR="0037398A" w:rsidRPr="007528E0">
          <w:rPr>
            <w:rFonts w:cs="Arial"/>
            <w:noProof/>
            <w:webHidden/>
            <w:sz w:val="22"/>
            <w:szCs w:val="22"/>
          </w:rPr>
          <w:tab/>
        </w:r>
        <w:r w:rsidR="0037398A" w:rsidRPr="007528E0">
          <w:rPr>
            <w:rFonts w:cs="Arial"/>
            <w:noProof/>
            <w:webHidden/>
            <w:sz w:val="22"/>
            <w:szCs w:val="22"/>
          </w:rPr>
          <w:fldChar w:fldCharType="begin"/>
        </w:r>
        <w:r w:rsidR="0037398A" w:rsidRPr="007528E0">
          <w:rPr>
            <w:rFonts w:cs="Arial"/>
            <w:noProof/>
            <w:webHidden/>
            <w:sz w:val="22"/>
            <w:szCs w:val="22"/>
          </w:rPr>
          <w:instrText xml:space="preserve"> PAGEREF _Toc505456250 \h </w:instrText>
        </w:r>
        <w:r w:rsidR="0037398A" w:rsidRPr="007528E0">
          <w:rPr>
            <w:rFonts w:cs="Arial"/>
            <w:noProof/>
            <w:webHidden/>
            <w:sz w:val="22"/>
            <w:szCs w:val="22"/>
          </w:rPr>
        </w:r>
        <w:r w:rsidR="0037398A" w:rsidRPr="007528E0">
          <w:rPr>
            <w:rFonts w:cs="Arial"/>
            <w:noProof/>
            <w:webHidden/>
            <w:sz w:val="22"/>
            <w:szCs w:val="22"/>
          </w:rPr>
          <w:fldChar w:fldCharType="separate"/>
        </w:r>
        <w:r w:rsidR="0037398A" w:rsidRPr="007528E0">
          <w:rPr>
            <w:rFonts w:cs="Arial"/>
            <w:noProof/>
            <w:webHidden/>
            <w:sz w:val="22"/>
            <w:szCs w:val="22"/>
          </w:rPr>
          <w:t>2</w:t>
        </w:r>
        <w:r w:rsidR="0037398A" w:rsidRPr="007528E0">
          <w:rPr>
            <w:rFonts w:cs="Arial"/>
            <w:noProof/>
            <w:webHidden/>
            <w:sz w:val="22"/>
            <w:szCs w:val="22"/>
          </w:rPr>
          <w:fldChar w:fldCharType="end"/>
        </w:r>
      </w:hyperlink>
      <w:r w:rsidR="004730AF">
        <w:rPr>
          <w:rFonts w:cs="Arial"/>
          <w:noProof/>
          <w:sz w:val="22"/>
          <w:szCs w:val="22"/>
        </w:rPr>
        <w:t>3</w:t>
      </w:r>
    </w:p>
    <w:p w14:paraId="1C69CF0D" w14:textId="1ACA0ACA" w:rsidR="0037398A" w:rsidRPr="007528E0" w:rsidRDefault="00F87462" w:rsidP="0037398A">
      <w:pPr>
        <w:pStyle w:val="Tabladeilustraciones"/>
        <w:tabs>
          <w:tab w:val="right" w:leader="dot" w:pos="8828"/>
        </w:tabs>
        <w:spacing w:before="100" w:beforeAutospacing="1" w:after="100" w:afterAutospacing="1"/>
        <w:rPr>
          <w:rFonts w:cs="Arial"/>
          <w:noProof/>
          <w:sz w:val="22"/>
          <w:szCs w:val="22"/>
          <w:lang w:val="es-CO" w:eastAsia="es-CO"/>
        </w:rPr>
      </w:pPr>
      <w:hyperlink w:anchor="_Toc505456251" w:history="1">
        <w:r w:rsidR="0037398A" w:rsidRPr="007528E0">
          <w:rPr>
            <w:rStyle w:val="Hipervnculo"/>
            <w:rFonts w:cs="Arial"/>
            <w:b/>
            <w:noProof/>
            <w:color w:val="auto"/>
            <w:sz w:val="22"/>
            <w:szCs w:val="22"/>
          </w:rPr>
          <w:t>Tabla 5.</w:t>
        </w:r>
        <w:r w:rsidR="0037398A" w:rsidRPr="007528E0">
          <w:rPr>
            <w:rStyle w:val="Hipervnculo"/>
            <w:rFonts w:cs="Arial"/>
            <w:noProof/>
            <w:color w:val="auto"/>
            <w:sz w:val="22"/>
            <w:szCs w:val="22"/>
          </w:rPr>
          <w:t xml:space="preserve"> Condiciones para la recolección de la muestra de sangre para determinar metanol.</w:t>
        </w:r>
        <w:r w:rsidR="0037398A" w:rsidRPr="007528E0">
          <w:rPr>
            <w:rFonts w:cs="Arial"/>
            <w:noProof/>
            <w:webHidden/>
            <w:sz w:val="22"/>
            <w:szCs w:val="22"/>
          </w:rPr>
          <w:tab/>
        </w:r>
        <w:r w:rsidR="0037398A" w:rsidRPr="007528E0">
          <w:rPr>
            <w:rFonts w:cs="Arial"/>
            <w:noProof/>
            <w:webHidden/>
            <w:sz w:val="22"/>
            <w:szCs w:val="22"/>
          </w:rPr>
          <w:fldChar w:fldCharType="begin"/>
        </w:r>
        <w:r w:rsidR="0037398A" w:rsidRPr="007528E0">
          <w:rPr>
            <w:rFonts w:cs="Arial"/>
            <w:noProof/>
            <w:webHidden/>
            <w:sz w:val="22"/>
            <w:szCs w:val="22"/>
          </w:rPr>
          <w:instrText xml:space="preserve"> PAGEREF _Toc505456251 \h </w:instrText>
        </w:r>
        <w:r w:rsidR="0037398A" w:rsidRPr="007528E0">
          <w:rPr>
            <w:rFonts w:cs="Arial"/>
            <w:noProof/>
            <w:webHidden/>
            <w:sz w:val="22"/>
            <w:szCs w:val="22"/>
          </w:rPr>
        </w:r>
        <w:r w:rsidR="0037398A" w:rsidRPr="007528E0">
          <w:rPr>
            <w:rFonts w:cs="Arial"/>
            <w:noProof/>
            <w:webHidden/>
            <w:sz w:val="22"/>
            <w:szCs w:val="22"/>
          </w:rPr>
          <w:fldChar w:fldCharType="separate"/>
        </w:r>
        <w:r w:rsidR="0037398A" w:rsidRPr="007528E0">
          <w:rPr>
            <w:rFonts w:cs="Arial"/>
            <w:noProof/>
            <w:webHidden/>
            <w:sz w:val="22"/>
            <w:szCs w:val="22"/>
          </w:rPr>
          <w:t>2</w:t>
        </w:r>
        <w:r w:rsidR="0037398A" w:rsidRPr="007528E0">
          <w:rPr>
            <w:rFonts w:cs="Arial"/>
            <w:noProof/>
            <w:webHidden/>
            <w:sz w:val="22"/>
            <w:szCs w:val="22"/>
          </w:rPr>
          <w:fldChar w:fldCharType="end"/>
        </w:r>
      </w:hyperlink>
      <w:r w:rsidR="004730AF">
        <w:rPr>
          <w:rFonts w:cs="Arial"/>
          <w:noProof/>
          <w:sz w:val="22"/>
          <w:szCs w:val="22"/>
        </w:rPr>
        <w:t>6</w:t>
      </w:r>
    </w:p>
    <w:p w14:paraId="2238D5FB" w14:textId="0632B258" w:rsidR="0037398A" w:rsidRPr="007528E0" w:rsidRDefault="00F87462" w:rsidP="0037398A">
      <w:pPr>
        <w:pStyle w:val="Tabladeilustraciones"/>
        <w:tabs>
          <w:tab w:val="right" w:leader="dot" w:pos="8828"/>
        </w:tabs>
        <w:spacing w:before="100" w:beforeAutospacing="1" w:after="100" w:afterAutospacing="1"/>
        <w:rPr>
          <w:rFonts w:cs="Arial"/>
          <w:noProof/>
          <w:sz w:val="22"/>
          <w:szCs w:val="22"/>
          <w:lang w:val="es-CO" w:eastAsia="es-CO"/>
        </w:rPr>
      </w:pPr>
      <w:hyperlink w:anchor="_Toc505456252" w:history="1">
        <w:r w:rsidR="0037398A" w:rsidRPr="007528E0">
          <w:rPr>
            <w:rStyle w:val="Hipervnculo"/>
            <w:rFonts w:cs="Arial"/>
            <w:b/>
            <w:noProof/>
            <w:color w:val="auto"/>
            <w:sz w:val="22"/>
            <w:szCs w:val="22"/>
          </w:rPr>
          <w:t>Tabla 6</w:t>
        </w:r>
        <w:r w:rsidR="0037398A" w:rsidRPr="007528E0">
          <w:rPr>
            <w:rStyle w:val="Hipervnculo"/>
            <w:rFonts w:cs="Arial"/>
            <w:noProof/>
            <w:color w:val="auto"/>
            <w:sz w:val="22"/>
            <w:szCs w:val="22"/>
          </w:rPr>
          <w:t>. Tipo de mercurio y fuentes de exposición.</w:t>
        </w:r>
        <w:r w:rsidR="0037398A" w:rsidRPr="007528E0">
          <w:rPr>
            <w:rFonts w:cs="Arial"/>
            <w:noProof/>
            <w:webHidden/>
            <w:sz w:val="22"/>
            <w:szCs w:val="22"/>
          </w:rPr>
          <w:tab/>
        </w:r>
        <w:r w:rsidR="0037398A" w:rsidRPr="007528E0">
          <w:rPr>
            <w:rFonts w:cs="Arial"/>
            <w:noProof/>
            <w:webHidden/>
            <w:sz w:val="22"/>
            <w:szCs w:val="22"/>
          </w:rPr>
          <w:fldChar w:fldCharType="begin"/>
        </w:r>
        <w:r w:rsidR="0037398A" w:rsidRPr="007528E0">
          <w:rPr>
            <w:rFonts w:cs="Arial"/>
            <w:noProof/>
            <w:webHidden/>
            <w:sz w:val="22"/>
            <w:szCs w:val="22"/>
          </w:rPr>
          <w:instrText xml:space="preserve"> PAGEREF _Toc505456252 \h </w:instrText>
        </w:r>
        <w:r w:rsidR="0037398A" w:rsidRPr="007528E0">
          <w:rPr>
            <w:rFonts w:cs="Arial"/>
            <w:noProof/>
            <w:webHidden/>
            <w:sz w:val="22"/>
            <w:szCs w:val="22"/>
          </w:rPr>
        </w:r>
        <w:r w:rsidR="0037398A" w:rsidRPr="007528E0">
          <w:rPr>
            <w:rFonts w:cs="Arial"/>
            <w:noProof/>
            <w:webHidden/>
            <w:sz w:val="22"/>
            <w:szCs w:val="22"/>
          </w:rPr>
          <w:fldChar w:fldCharType="separate"/>
        </w:r>
        <w:r w:rsidR="0037398A" w:rsidRPr="007528E0">
          <w:rPr>
            <w:rFonts w:cs="Arial"/>
            <w:noProof/>
            <w:webHidden/>
            <w:sz w:val="22"/>
            <w:szCs w:val="22"/>
          </w:rPr>
          <w:t>2</w:t>
        </w:r>
        <w:r w:rsidR="0037398A" w:rsidRPr="007528E0">
          <w:rPr>
            <w:rFonts w:cs="Arial"/>
            <w:noProof/>
            <w:webHidden/>
            <w:sz w:val="22"/>
            <w:szCs w:val="22"/>
          </w:rPr>
          <w:fldChar w:fldCharType="end"/>
        </w:r>
      </w:hyperlink>
      <w:r w:rsidR="004730AF">
        <w:rPr>
          <w:rFonts w:cs="Arial"/>
          <w:noProof/>
          <w:sz w:val="22"/>
          <w:szCs w:val="22"/>
        </w:rPr>
        <w:t>9</w:t>
      </w:r>
    </w:p>
    <w:p w14:paraId="7975B0C2" w14:textId="62D41294" w:rsidR="0037398A" w:rsidRPr="007528E0" w:rsidRDefault="00F87462" w:rsidP="0037398A">
      <w:pPr>
        <w:pStyle w:val="Tabladeilustraciones"/>
        <w:tabs>
          <w:tab w:val="right" w:leader="dot" w:pos="8828"/>
        </w:tabs>
        <w:spacing w:before="100" w:beforeAutospacing="1" w:after="100" w:afterAutospacing="1"/>
        <w:rPr>
          <w:rFonts w:cs="Arial"/>
          <w:noProof/>
          <w:sz w:val="22"/>
          <w:szCs w:val="22"/>
          <w:lang w:val="es-CO" w:eastAsia="es-CO"/>
        </w:rPr>
      </w:pPr>
      <w:hyperlink w:anchor="_Toc505456253" w:history="1">
        <w:r w:rsidR="0037398A" w:rsidRPr="007528E0">
          <w:rPr>
            <w:rStyle w:val="Hipervnculo"/>
            <w:rFonts w:cs="Arial"/>
            <w:b/>
            <w:noProof/>
            <w:color w:val="auto"/>
            <w:sz w:val="22"/>
            <w:szCs w:val="22"/>
          </w:rPr>
          <w:t>Tabla 7.</w:t>
        </w:r>
        <w:r w:rsidR="0037398A" w:rsidRPr="007528E0">
          <w:rPr>
            <w:rStyle w:val="Hipervnculo"/>
            <w:rFonts w:cs="Arial"/>
            <w:noProof/>
            <w:color w:val="auto"/>
            <w:sz w:val="22"/>
            <w:szCs w:val="22"/>
          </w:rPr>
          <w:t xml:space="preserve"> Niveles de referencia para compuestos de mercurio en muestras biológicas.</w:t>
        </w:r>
        <w:r w:rsidR="0037398A" w:rsidRPr="007528E0">
          <w:rPr>
            <w:rFonts w:cs="Arial"/>
            <w:noProof/>
            <w:webHidden/>
            <w:sz w:val="22"/>
            <w:szCs w:val="22"/>
          </w:rPr>
          <w:tab/>
        </w:r>
      </w:hyperlink>
      <w:r w:rsidR="004730AF">
        <w:rPr>
          <w:rFonts w:cs="Arial"/>
          <w:noProof/>
          <w:sz w:val="22"/>
          <w:szCs w:val="22"/>
        </w:rPr>
        <w:t>31</w:t>
      </w:r>
    </w:p>
    <w:p w14:paraId="330AF39F" w14:textId="43B641D5" w:rsidR="0037398A" w:rsidRPr="007528E0" w:rsidRDefault="00F87462" w:rsidP="0037398A">
      <w:pPr>
        <w:pStyle w:val="Tabladeilustraciones"/>
        <w:tabs>
          <w:tab w:val="right" w:leader="dot" w:pos="8828"/>
        </w:tabs>
        <w:spacing w:before="100" w:beforeAutospacing="1" w:after="100" w:afterAutospacing="1"/>
        <w:rPr>
          <w:rFonts w:cs="Arial"/>
          <w:noProof/>
          <w:sz w:val="22"/>
          <w:szCs w:val="22"/>
          <w:lang w:val="es-CO" w:eastAsia="es-CO"/>
        </w:rPr>
      </w:pPr>
      <w:hyperlink w:anchor="_Toc505456254" w:history="1">
        <w:r w:rsidR="0037398A" w:rsidRPr="007528E0">
          <w:rPr>
            <w:rStyle w:val="Hipervnculo"/>
            <w:rFonts w:cs="Arial"/>
            <w:b/>
            <w:noProof/>
            <w:color w:val="auto"/>
            <w:sz w:val="22"/>
            <w:szCs w:val="22"/>
          </w:rPr>
          <w:t>Tabla 8</w:t>
        </w:r>
        <w:r w:rsidR="0037398A" w:rsidRPr="007528E0">
          <w:rPr>
            <w:rStyle w:val="Hipervnculo"/>
            <w:rFonts w:cs="Arial"/>
            <w:noProof/>
            <w:color w:val="auto"/>
            <w:sz w:val="22"/>
            <w:szCs w:val="22"/>
          </w:rPr>
          <w:t>. Procesos de toma en muestras biológicas y ambientales</w:t>
        </w:r>
        <w:r w:rsidR="0037398A" w:rsidRPr="007528E0">
          <w:rPr>
            <w:rFonts w:cs="Arial"/>
            <w:noProof/>
            <w:webHidden/>
            <w:sz w:val="22"/>
            <w:szCs w:val="22"/>
          </w:rPr>
          <w:tab/>
        </w:r>
      </w:hyperlink>
      <w:r w:rsidR="004730AF">
        <w:rPr>
          <w:rFonts w:cs="Arial"/>
          <w:noProof/>
          <w:sz w:val="22"/>
          <w:szCs w:val="22"/>
        </w:rPr>
        <w:t>31</w:t>
      </w:r>
    </w:p>
    <w:p w14:paraId="4630D907" w14:textId="554E1FCB" w:rsidR="0037398A" w:rsidRPr="007528E0" w:rsidRDefault="00F87462" w:rsidP="0037398A">
      <w:pPr>
        <w:pStyle w:val="Tabladeilustraciones"/>
        <w:tabs>
          <w:tab w:val="right" w:leader="dot" w:pos="8828"/>
        </w:tabs>
        <w:spacing w:before="100" w:beforeAutospacing="1" w:after="100" w:afterAutospacing="1"/>
        <w:rPr>
          <w:rFonts w:cs="Arial"/>
          <w:noProof/>
          <w:sz w:val="22"/>
          <w:szCs w:val="22"/>
          <w:lang w:val="es-CO" w:eastAsia="es-CO"/>
        </w:rPr>
      </w:pPr>
      <w:hyperlink w:anchor="_Toc505456255" w:history="1">
        <w:r w:rsidR="0037398A" w:rsidRPr="007528E0">
          <w:rPr>
            <w:rStyle w:val="Hipervnculo"/>
            <w:rFonts w:cs="Arial"/>
            <w:b/>
            <w:noProof/>
            <w:color w:val="auto"/>
            <w:sz w:val="22"/>
            <w:szCs w:val="22"/>
          </w:rPr>
          <w:t>Tabla 9.</w:t>
        </w:r>
        <w:r w:rsidR="0037398A" w:rsidRPr="007528E0">
          <w:rPr>
            <w:rStyle w:val="Hipervnculo"/>
            <w:rFonts w:cs="Arial"/>
            <w:noProof/>
            <w:color w:val="auto"/>
            <w:sz w:val="22"/>
            <w:szCs w:val="22"/>
          </w:rPr>
          <w:t xml:space="preserve"> Procesos de toma en muestras biológicas y ambientales.</w:t>
        </w:r>
        <w:r w:rsidR="0037398A" w:rsidRPr="007528E0">
          <w:rPr>
            <w:rFonts w:cs="Arial"/>
            <w:noProof/>
            <w:webHidden/>
            <w:sz w:val="22"/>
            <w:szCs w:val="22"/>
          </w:rPr>
          <w:tab/>
        </w:r>
        <w:r w:rsidR="0037398A" w:rsidRPr="007528E0">
          <w:rPr>
            <w:rFonts w:cs="Arial"/>
            <w:noProof/>
            <w:webHidden/>
            <w:sz w:val="22"/>
            <w:szCs w:val="22"/>
          </w:rPr>
          <w:fldChar w:fldCharType="begin"/>
        </w:r>
        <w:r w:rsidR="0037398A" w:rsidRPr="007528E0">
          <w:rPr>
            <w:rFonts w:cs="Arial"/>
            <w:noProof/>
            <w:webHidden/>
            <w:sz w:val="22"/>
            <w:szCs w:val="22"/>
          </w:rPr>
          <w:instrText xml:space="preserve"> PAGEREF _Toc505456255 \h </w:instrText>
        </w:r>
        <w:r w:rsidR="0037398A" w:rsidRPr="007528E0">
          <w:rPr>
            <w:rFonts w:cs="Arial"/>
            <w:noProof/>
            <w:webHidden/>
            <w:sz w:val="22"/>
            <w:szCs w:val="22"/>
          </w:rPr>
        </w:r>
        <w:r w:rsidR="0037398A" w:rsidRPr="007528E0">
          <w:rPr>
            <w:rFonts w:cs="Arial"/>
            <w:noProof/>
            <w:webHidden/>
            <w:sz w:val="22"/>
            <w:szCs w:val="22"/>
          </w:rPr>
          <w:fldChar w:fldCharType="separate"/>
        </w:r>
        <w:r w:rsidR="0037398A" w:rsidRPr="007528E0">
          <w:rPr>
            <w:rFonts w:cs="Arial"/>
            <w:noProof/>
            <w:webHidden/>
            <w:sz w:val="22"/>
            <w:szCs w:val="22"/>
          </w:rPr>
          <w:t>3</w:t>
        </w:r>
        <w:r w:rsidR="0037398A" w:rsidRPr="007528E0">
          <w:rPr>
            <w:rFonts w:cs="Arial"/>
            <w:noProof/>
            <w:webHidden/>
            <w:sz w:val="22"/>
            <w:szCs w:val="22"/>
          </w:rPr>
          <w:fldChar w:fldCharType="end"/>
        </w:r>
      </w:hyperlink>
      <w:r w:rsidR="004730AF">
        <w:rPr>
          <w:rFonts w:cs="Arial"/>
          <w:noProof/>
          <w:sz w:val="22"/>
          <w:szCs w:val="22"/>
        </w:rPr>
        <w:t>5</w:t>
      </w:r>
    </w:p>
    <w:p w14:paraId="5B02B935" w14:textId="2EDCADF5" w:rsidR="0037398A" w:rsidRPr="007528E0" w:rsidRDefault="00F87462" w:rsidP="0037398A">
      <w:pPr>
        <w:pStyle w:val="Tabladeilustraciones"/>
        <w:tabs>
          <w:tab w:val="right" w:leader="dot" w:pos="8828"/>
        </w:tabs>
        <w:spacing w:before="100" w:beforeAutospacing="1" w:after="100" w:afterAutospacing="1"/>
        <w:rPr>
          <w:rFonts w:cs="Arial"/>
          <w:noProof/>
          <w:sz w:val="22"/>
          <w:szCs w:val="22"/>
          <w:lang w:val="es-CO" w:eastAsia="es-CO"/>
        </w:rPr>
      </w:pPr>
      <w:hyperlink w:anchor="_Toc505456256" w:history="1">
        <w:r w:rsidR="0037398A" w:rsidRPr="007528E0">
          <w:rPr>
            <w:rStyle w:val="Hipervnculo"/>
            <w:rFonts w:cs="Arial"/>
            <w:b/>
            <w:noProof/>
            <w:color w:val="auto"/>
            <w:sz w:val="22"/>
            <w:szCs w:val="22"/>
          </w:rPr>
          <w:t>Tabla 10.</w:t>
        </w:r>
        <w:r w:rsidR="0037398A" w:rsidRPr="007528E0">
          <w:rPr>
            <w:rStyle w:val="Hipervnculo"/>
            <w:rFonts w:cs="Arial"/>
            <w:noProof/>
            <w:color w:val="auto"/>
            <w:sz w:val="22"/>
            <w:szCs w:val="22"/>
          </w:rPr>
          <w:t xml:space="preserve"> Niveles de referencia para compuestos de cadmio en muestras biológicas.</w:t>
        </w:r>
        <w:r w:rsidR="0037398A" w:rsidRPr="007528E0">
          <w:rPr>
            <w:rFonts w:cs="Arial"/>
            <w:noProof/>
            <w:webHidden/>
            <w:sz w:val="22"/>
            <w:szCs w:val="22"/>
          </w:rPr>
          <w:tab/>
        </w:r>
        <w:r w:rsidR="0037398A" w:rsidRPr="007528E0">
          <w:rPr>
            <w:rFonts w:cs="Arial"/>
            <w:noProof/>
            <w:webHidden/>
            <w:sz w:val="22"/>
            <w:szCs w:val="22"/>
          </w:rPr>
          <w:fldChar w:fldCharType="begin"/>
        </w:r>
        <w:r w:rsidR="0037398A" w:rsidRPr="007528E0">
          <w:rPr>
            <w:rFonts w:cs="Arial"/>
            <w:noProof/>
            <w:webHidden/>
            <w:sz w:val="22"/>
            <w:szCs w:val="22"/>
          </w:rPr>
          <w:instrText xml:space="preserve"> PAGEREF _Toc505456256 \h </w:instrText>
        </w:r>
        <w:r w:rsidR="0037398A" w:rsidRPr="007528E0">
          <w:rPr>
            <w:rFonts w:cs="Arial"/>
            <w:noProof/>
            <w:webHidden/>
            <w:sz w:val="22"/>
            <w:szCs w:val="22"/>
          </w:rPr>
        </w:r>
        <w:r w:rsidR="0037398A" w:rsidRPr="007528E0">
          <w:rPr>
            <w:rFonts w:cs="Arial"/>
            <w:noProof/>
            <w:webHidden/>
            <w:sz w:val="22"/>
            <w:szCs w:val="22"/>
          </w:rPr>
          <w:fldChar w:fldCharType="separate"/>
        </w:r>
        <w:r w:rsidR="0037398A" w:rsidRPr="007528E0">
          <w:rPr>
            <w:rFonts w:cs="Arial"/>
            <w:noProof/>
            <w:webHidden/>
            <w:sz w:val="22"/>
            <w:szCs w:val="22"/>
          </w:rPr>
          <w:t>3</w:t>
        </w:r>
        <w:r w:rsidR="0037398A" w:rsidRPr="007528E0">
          <w:rPr>
            <w:rFonts w:cs="Arial"/>
            <w:noProof/>
            <w:webHidden/>
            <w:sz w:val="22"/>
            <w:szCs w:val="22"/>
          </w:rPr>
          <w:fldChar w:fldCharType="end"/>
        </w:r>
      </w:hyperlink>
      <w:r w:rsidR="004730AF">
        <w:rPr>
          <w:rFonts w:cs="Arial"/>
          <w:noProof/>
          <w:sz w:val="22"/>
          <w:szCs w:val="22"/>
        </w:rPr>
        <w:t>7</w:t>
      </w:r>
    </w:p>
    <w:p w14:paraId="12881407" w14:textId="20942044" w:rsidR="0037398A" w:rsidRPr="007528E0" w:rsidRDefault="00F87462" w:rsidP="0037398A">
      <w:pPr>
        <w:pStyle w:val="Tabladeilustraciones"/>
        <w:tabs>
          <w:tab w:val="right" w:leader="dot" w:pos="8828"/>
        </w:tabs>
        <w:spacing w:before="100" w:beforeAutospacing="1" w:after="100" w:afterAutospacing="1"/>
        <w:rPr>
          <w:rFonts w:cs="Arial"/>
          <w:noProof/>
          <w:sz w:val="22"/>
          <w:szCs w:val="22"/>
          <w:lang w:val="es-CO" w:eastAsia="es-CO"/>
        </w:rPr>
      </w:pPr>
      <w:hyperlink w:anchor="_Toc505456257" w:history="1">
        <w:r w:rsidR="0037398A" w:rsidRPr="007528E0">
          <w:rPr>
            <w:rStyle w:val="Hipervnculo"/>
            <w:rFonts w:cs="Arial"/>
            <w:b/>
            <w:noProof/>
            <w:color w:val="auto"/>
            <w:sz w:val="22"/>
            <w:szCs w:val="22"/>
          </w:rPr>
          <w:t>Tabla 11</w:t>
        </w:r>
        <w:r w:rsidR="0037398A" w:rsidRPr="007528E0">
          <w:rPr>
            <w:rStyle w:val="Hipervnculo"/>
            <w:rFonts w:cs="Arial"/>
            <w:noProof/>
            <w:color w:val="auto"/>
            <w:sz w:val="22"/>
            <w:szCs w:val="22"/>
          </w:rPr>
          <w:t>. Procesos de toma en muestras biológicas y ambientales para cadmio</w:t>
        </w:r>
        <w:r w:rsidR="0037398A" w:rsidRPr="007528E0">
          <w:rPr>
            <w:rFonts w:cs="Arial"/>
            <w:noProof/>
            <w:webHidden/>
            <w:sz w:val="22"/>
            <w:szCs w:val="22"/>
          </w:rPr>
          <w:tab/>
        </w:r>
        <w:r w:rsidR="0037398A" w:rsidRPr="007528E0">
          <w:rPr>
            <w:rFonts w:cs="Arial"/>
            <w:noProof/>
            <w:webHidden/>
            <w:sz w:val="22"/>
            <w:szCs w:val="22"/>
          </w:rPr>
          <w:fldChar w:fldCharType="begin"/>
        </w:r>
        <w:r w:rsidR="0037398A" w:rsidRPr="007528E0">
          <w:rPr>
            <w:rFonts w:cs="Arial"/>
            <w:noProof/>
            <w:webHidden/>
            <w:sz w:val="22"/>
            <w:szCs w:val="22"/>
          </w:rPr>
          <w:instrText xml:space="preserve"> PAGEREF _Toc505456257 \h </w:instrText>
        </w:r>
        <w:r w:rsidR="0037398A" w:rsidRPr="007528E0">
          <w:rPr>
            <w:rFonts w:cs="Arial"/>
            <w:noProof/>
            <w:webHidden/>
            <w:sz w:val="22"/>
            <w:szCs w:val="22"/>
          </w:rPr>
        </w:r>
        <w:r w:rsidR="0037398A" w:rsidRPr="007528E0">
          <w:rPr>
            <w:rFonts w:cs="Arial"/>
            <w:noProof/>
            <w:webHidden/>
            <w:sz w:val="22"/>
            <w:szCs w:val="22"/>
          </w:rPr>
          <w:fldChar w:fldCharType="separate"/>
        </w:r>
        <w:r w:rsidR="0037398A" w:rsidRPr="007528E0">
          <w:rPr>
            <w:rFonts w:cs="Arial"/>
            <w:noProof/>
            <w:webHidden/>
            <w:sz w:val="22"/>
            <w:szCs w:val="22"/>
          </w:rPr>
          <w:t>3</w:t>
        </w:r>
        <w:r w:rsidR="0037398A" w:rsidRPr="007528E0">
          <w:rPr>
            <w:rFonts w:cs="Arial"/>
            <w:noProof/>
            <w:webHidden/>
            <w:sz w:val="22"/>
            <w:szCs w:val="22"/>
          </w:rPr>
          <w:fldChar w:fldCharType="end"/>
        </w:r>
      </w:hyperlink>
      <w:r w:rsidR="004730AF">
        <w:rPr>
          <w:rFonts w:cs="Arial"/>
          <w:noProof/>
          <w:sz w:val="22"/>
          <w:szCs w:val="22"/>
        </w:rPr>
        <w:t>8</w:t>
      </w:r>
    </w:p>
    <w:p w14:paraId="097507FE" w14:textId="29771B62" w:rsidR="0037398A" w:rsidRPr="007528E0" w:rsidRDefault="00F87462" w:rsidP="0037398A">
      <w:pPr>
        <w:pStyle w:val="Tabladeilustraciones"/>
        <w:tabs>
          <w:tab w:val="right" w:leader="dot" w:pos="8828"/>
        </w:tabs>
        <w:spacing w:before="100" w:beforeAutospacing="1" w:after="100" w:afterAutospacing="1"/>
        <w:rPr>
          <w:rFonts w:cs="Arial"/>
          <w:noProof/>
          <w:sz w:val="22"/>
          <w:szCs w:val="22"/>
          <w:lang w:val="es-CO" w:eastAsia="es-CO"/>
        </w:rPr>
      </w:pPr>
      <w:hyperlink w:anchor="_Toc505456258" w:history="1">
        <w:r w:rsidR="0037398A" w:rsidRPr="007528E0">
          <w:rPr>
            <w:rStyle w:val="Hipervnculo"/>
            <w:rFonts w:cs="Arial"/>
            <w:b/>
            <w:noProof/>
            <w:color w:val="auto"/>
            <w:sz w:val="22"/>
            <w:szCs w:val="22"/>
          </w:rPr>
          <w:t>Tabla 12.</w:t>
        </w:r>
        <w:r w:rsidR="0037398A" w:rsidRPr="007528E0">
          <w:rPr>
            <w:rStyle w:val="Hipervnculo"/>
            <w:rFonts w:cs="Arial"/>
            <w:noProof/>
            <w:color w:val="auto"/>
            <w:sz w:val="22"/>
            <w:szCs w:val="22"/>
          </w:rPr>
          <w:t xml:space="preserve"> Niveles de referencia para exposición a arsénico en muestras biológicas.</w:t>
        </w:r>
        <w:r w:rsidR="0037398A" w:rsidRPr="007528E0">
          <w:rPr>
            <w:rFonts w:cs="Arial"/>
            <w:noProof/>
            <w:webHidden/>
            <w:sz w:val="22"/>
            <w:szCs w:val="22"/>
          </w:rPr>
          <w:tab/>
        </w:r>
        <w:r w:rsidR="0037398A" w:rsidRPr="007528E0">
          <w:rPr>
            <w:rFonts w:cs="Arial"/>
            <w:noProof/>
            <w:webHidden/>
            <w:sz w:val="22"/>
            <w:szCs w:val="22"/>
          </w:rPr>
          <w:fldChar w:fldCharType="begin"/>
        </w:r>
        <w:r w:rsidR="0037398A" w:rsidRPr="007528E0">
          <w:rPr>
            <w:rFonts w:cs="Arial"/>
            <w:noProof/>
            <w:webHidden/>
            <w:sz w:val="22"/>
            <w:szCs w:val="22"/>
          </w:rPr>
          <w:instrText xml:space="preserve"> PAGEREF _Toc505456258 \h </w:instrText>
        </w:r>
        <w:r w:rsidR="0037398A" w:rsidRPr="007528E0">
          <w:rPr>
            <w:rFonts w:cs="Arial"/>
            <w:noProof/>
            <w:webHidden/>
            <w:sz w:val="22"/>
            <w:szCs w:val="22"/>
          </w:rPr>
        </w:r>
        <w:r w:rsidR="0037398A" w:rsidRPr="007528E0">
          <w:rPr>
            <w:rFonts w:cs="Arial"/>
            <w:noProof/>
            <w:webHidden/>
            <w:sz w:val="22"/>
            <w:szCs w:val="22"/>
          </w:rPr>
          <w:fldChar w:fldCharType="separate"/>
        </w:r>
        <w:r w:rsidR="0037398A" w:rsidRPr="007528E0">
          <w:rPr>
            <w:rFonts w:cs="Arial"/>
            <w:noProof/>
            <w:webHidden/>
            <w:sz w:val="22"/>
            <w:szCs w:val="22"/>
          </w:rPr>
          <w:t>3</w:t>
        </w:r>
        <w:r w:rsidR="0037398A" w:rsidRPr="007528E0">
          <w:rPr>
            <w:rFonts w:cs="Arial"/>
            <w:noProof/>
            <w:webHidden/>
            <w:sz w:val="22"/>
            <w:szCs w:val="22"/>
          </w:rPr>
          <w:fldChar w:fldCharType="end"/>
        </w:r>
      </w:hyperlink>
      <w:r w:rsidR="004730AF">
        <w:rPr>
          <w:rFonts w:cs="Arial"/>
          <w:noProof/>
          <w:sz w:val="22"/>
          <w:szCs w:val="22"/>
        </w:rPr>
        <w:t>9</w:t>
      </w:r>
    </w:p>
    <w:p w14:paraId="69C05EA2" w14:textId="2A35D7C3" w:rsidR="0037398A" w:rsidRPr="007528E0" w:rsidRDefault="00F87462" w:rsidP="0037398A">
      <w:pPr>
        <w:pStyle w:val="Tabladeilustraciones"/>
        <w:tabs>
          <w:tab w:val="right" w:leader="dot" w:pos="8828"/>
        </w:tabs>
        <w:spacing w:before="100" w:beforeAutospacing="1" w:after="100" w:afterAutospacing="1"/>
        <w:rPr>
          <w:rFonts w:cs="Arial"/>
          <w:noProof/>
          <w:sz w:val="22"/>
          <w:szCs w:val="22"/>
          <w:lang w:val="es-CO" w:eastAsia="es-CO"/>
        </w:rPr>
      </w:pPr>
      <w:hyperlink w:anchor="_Toc505456259" w:history="1">
        <w:r w:rsidR="0037398A" w:rsidRPr="007528E0">
          <w:rPr>
            <w:rStyle w:val="Hipervnculo"/>
            <w:rFonts w:cs="Arial"/>
            <w:b/>
            <w:noProof/>
            <w:color w:val="auto"/>
            <w:sz w:val="22"/>
            <w:szCs w:val="22"/>
          </w:rPr>
          <w:t>Tabla 13</w:t>
        </w:r>
        <w:r w:rsidR="0037398A" w:rsidRPr="007528E0">
          <w:rPr>
            <w:rStyle w:val="Hipervnculo"/>
            <w:rFonts w:cs="Arial"/>
            <w:noProof/>
            <w:color w:val="auto"/>
            <w:sz w:val="22"/>
            <w:szCs w:val="22"/>
          </w:rPr>
          <w:t>. Principales grupos de solventes orgánicos.</w:t>
        </w:r>
        <w:r w:rsidR="0037398A" w:rsidRPr="007528E0">
          <w:rPr>
            <w:rFonts w:cs="Arial"/>
            <w:noProof/>
            <w:webHidden/>
            <w:sz w:val="22"/>
            <w:szCs w:val="22"/>
          </w:rPr>
          <w:tab/>
        </w:r>
        <w:r w:rsidR="0037398A" w:rsidRPr="007528E0">
          <w:rPr>
            <w:rFonts w:cs="Arial"/>
            <w:noProof/>
            <w:webHidden/>
            <w:sz w:val="22"/>
            <w:szCs w:val="22"/>
          </w:rPr>
          <w:fldChar w:fldCharType="begin"/>
        </w:r>
        <w:r w:rsidR="0037398A" w:rsidRPr="007528E0">
          <w:rPr>
            <w:rFonts w:cs="Arial"/>
            <w:noProof/>
            <w:webHidden/>
            <w:sz w:val="22"/>
            <w:szCs w:val="22"/>
          </w:rPr>
          <w:instrText xml:space="preserve"> PAGEREF _Toc505456259 \h </w:instrText>
        </w:r>
        <w:r w:rsidR="0037398A" w:rsidRPr="007528E0">
          <w:rPr>
            <w:rFonts w:cs="Arial"/>
            <w:noProof/>
            <w:webHidden/>
            <w:sz w:val="22"/>
            <w:szCs w:val="22"/>
          </w:rPr>
        </w:r>
        <w:r w:rsidR="0037398A" w:rsidRPr="007528E0">
          <w:rPr>
            <w:rFonts w:cs="Arial"/>
            <w:noProof/>
            <w:webHidden/>
            <w:sz w:val="22"/>
            <w:szCs w:val="22"/>
          </w:rPr>
          <w:fldChar w:fldCharType="separate"/>
        </w:r>
        <w:r w:rsidR="0037398A" w:rsidRPr="007528E0">
          <w:rPr>
            <w:rFonts w:cs="Arial"/>
            <w:noProof/>
            <w:webHidden/>
            <w:sz w:val="22"/>
            <w:szCs w:val="22"/>
          </w:rPr>
          <w:t>3</w:t>
        </w:r>
        <w:r w:rsidR="0037398A" w:rsidRPr="007528E0">
          <w:rPr>
            <w:rFonts w:cs="Arial"/>
            <w:noProof/>
            <w:webHidden/>
            <w:sz w:val="22"/>
            <w:szCs w:val="22"/>
          </w:rPr>
          <w:fldChar w:fldCharType="end"/>
        </w:r>
      </w:hyperlink>
      <w:r w:rsidR="004730AF">
        <w:rPr>
          <w:rFonts w:cs="Arial"/>
          <w:noProof/>
          <w:sz w:val="22"/>
          <w:szCs w:val="22"/>
        </w:rPr>
        <w:t>9</w:t>
      </w:r>
    </w:p>
    <w:p w14:paraId="13FB5202" w14:textId="03C90D26" w:rsidR="0037398A" w:rsidRPr="007528E0" w:rsidRDefault="00F87462" w:rsidP="0037398A">
      <w:pPr>
        <w:pStyle w:val="Tabladeilustraciones"/>
        <w:tabs>
          <w:tab w:val="right" w:leader="dot" w:pos="8828"/>
        </w:tabs>
        <w:spacing w:before="100" w:beforeAutospacing="1" w:after="100" w:afterAutospacing="1"/>
        <w:rPr>
          <w:rFonts w:cs="Arial"/>
          <w:noProof/>
          <w:sz w:val="22"/>
          <w:szCs w:val="22"/>
          <w:lang w:val="es-CO" w:eastAsia="es-CO"/>
        </w:rPr>
      </w:pPr>
      <w:hyperlink w:anchor="_Toc505456260" w:history="1">
        <w:r w:rsidR="0037398A" w:rsidRPr="007528E0">
          <w:rPr>
            <w:rStyle w:val="Hipervnculo"/>
            <w:rFonts w:cs="Arial"/>
            <w:b/>
            <w:noProof/>
            <w:color w:val="auto"/>
            <w:sz w:val="22"/>
            <w:szCs w:val="22"/>
          </w:rPr>
          <w:t>Tabla 14.</w:t>
        </w:r>
        <w:r w:rsidR="0037398A" w:rsidRPr="007528E0">
          <w:rPr>
            <w:rStyle w:val="Hipervnculo"/>
            <w:rFonts w:cs="Arial"/>
            <w:noProof/>
            <w:color w:val="auto"/>
            <w:sz w:val="22"/>
            <w:szCs w:val="22"/>
          </w:rPr>
          <w:t xml:space="preserve"> Productos más comunes notificados como intoxicación por otras sustancias químicas.</w:t>
        </w:r>
        <w:r w:rsidR="0037398A" w:rsidRPr="007528E0">
          <w:rPr>
            <w:rFonts w:cs="Arial"/>
            <w:noProof/>
            <w:webHidden/>
            <w:sz w:val="22"/>
            <w:szCs w:val="22"/>
          </w:rPr>
          <w:tab/>
        </w:r>
      </w:hyperlink>
      <w:r w:rsidR="004730AF">
        <w:rPr>
          <w:rFonts w:cs="Arial"/>
          <w:noProof/>
          <w:sz w:val="22"/>
          <w:szCs w:val="22"/>
        </w:rPr>
        <w:t>42</w:t>
      </w:r>
    </w:p>
    <w:p w14:paraId="2B85D272" w14:textId="444A1812" w:rsidR="0037398A" w:rsidRPr="007528E0" w:rsidRDefault="00F87462" w:rsidP="0037398A">
      <w:pPr>
        <w:pStyle w:val="Tabladeilustraciones"/>
        <w:tabs>
          <w:tab w:val="right" w:leader="dot" w:pos="8828"/>
        </w:tabs>
        <w:spacing w:before="100" w:beforeAutospacing="1" w:after="100" w:afterAutospacing="1"/>
        <w:rPr>
          <w:rFonts w:cs="Arial"/>
          <w:noProof/>
          <w:sz w:val="22"/>
          <w:szCs w:val="22"/>
          <w:lang w:val="es-CO" w:eastAsia="es-CO"/>
        </w:rPr>
      </w:pPr>
      <w:hyperlink w:anchor="_Toc505456261" w:history="1">
        <w:r w:rsidR="0037398A" w:rsidRPr="007528E0">
          <w:rPr>
            <w:rStyle w:val="Hipervnculo"/>
            <w:rFonts w:cs="Arial"/>
            <w:b/>
            <w:noProof/>
            <w:color w:val="auto"/>
            <w:sz w:val="22"/>
            <w:szCs w:val="22"/>
          </w:rPr>
          <w:t>Tabla 15.</w:t>
        </w:r>
        <w:r w:rsidR="0037398A" w:rsidRPr="007528E0">
          <w:rPr>
            <w:rStyle w:val="Hipervnculo"/>
            <w:rFonts w:cs="Arial"/>
            <w:noProof/>
            <w:color w:val="auto"/>
            <w:sz w:val="22"/>
            <w:szCs w:val="22"/>
          </w:rPr>
          <w:t xml:space="preserve"> Análisis a realizar en intoxicación con cianuro</w:t>
        </w:r>
        <w:r w:rsidR="0037398A" w:rsidRPr="007528E0">
          <w:rPr>
            <w:rFonts w:cs="Arial"/>
            <w:noProof/>
            <w:webHidden/>
            <w:sz w:val="22"/>
            <w:szCs w:val="22"/>
          </w:rPr>
          <w:tab/>
        </w:r>
        <w:r w:rsidR="0037398A" w:rsidRPr="007528E0">
          <w:rPr>
            <w:rFonts w:cs="Arial"/>
            <w:noProof/>
            <w:webHidden/>
            <w:sz w:val="22"/>
            <w:szCs w:val="22"/>
          </w:rPr>
          <w:fldChar w:fldCharType="begin"/>
        </w:r>
        <w:r w:rsidR="0037398A" w:rsidRPr="007528E0">
          <w:rPr>
            <w:rFonts w:cs="Arial"/>
            <w:noProof/>
            <w:webHidden/>
            <w:sz w:val="22"/>
            <w:szCs w:val="22"/>
          </w:rPr>
          <w:instrText xml:space="preserve"> PAGEREF _Toc505456261 \h </w:instrText>
        </w:r>
        <w:r w:rsidR="0037398A" w:rsidRPr="007528E0">
          <w:rPr>
            <w:rFonts w:cs="Arial"/>
            <w:noProof/>
            <w:webHidden/>
            <w:sz w:val="22"/>
            <w:szCs w:val="22"/>
          </w:rPr>
        </w:r>
        <w:r w:rsidR="0037398A" w:rsidRPr="007528E0">
          <w:rPr>
            <w:rFonts w:cs="Arial"/>
            <w:noProof/>
            <w:webHidden/>
            <w:sz w:val="22"/>
            <w:szCs w:val="22"/>
          </w:rPr>
          <w:fldChar w:fldCharType="separate"/>
        </w:r>
        <w:r w:rsidR="0037398A" w:rsidRPr="007528E0">
          <w:rPr>
            <w:rFonts w:cs="Arial"/>
            <w:noProof/>
            <w:webHidden/>
            <w:sz w:val="22"/>
            <w:szCs w:val="22"/>
          </w:rPr>
          <w:t>4</w:t>
        </w:r>
        <w:r w:rsidR="0037398A" w:rsidRPr="007528E0">
          <w:rPr>
            <w:rFonts w:cs="Arial"/>
            <w:noProof/>
            <w:webHidden/>
            <w:sz w:val="22"/>
            <w:szCs w:val="22"/>
          </w:rPr>
          <w:fldChar w:fldCharType="end"/>
        </w:r>
      </w:hyperlink>
      <w:r w:rsidR="004730AF">
        <w:rPr>
          <w:rFonts w:cs="Arial"/>
          <w:noProof/>
          <w:sz w:val="22"/>
          <w:szCs w:val="22"/>
        </w:rPr>
        <w:t>5</w:t>
      </w:r>
    </w:p>
    <w:p w14:paraId="47E73056" w14:textId="7B1A3021" w:rsidR="0037398A" w:rsidRPr="007528E0" w:rsidRDefault="00F87462" w:rsidP="0037398A">
      <w:pPr>
        <w:pStyle w:val="Tabladeilustraciones"/>
        <w:tabs>
          <w:tab w:val="right" w:leader="dot" w:pos="8828"/>
        </w:tabs>
        <w:spacing w:before="100" w:beforeAutospacing="1" w:after="100" w:afterAutospacing="1"/>
        <w:rPr>
          <w:rFonts w:cs="Arial"/>
          <w:noProof/>
          <w:sz w:val="22"/>
          <w:szCs w:val="22"/>
          <w:lang w:val="es-CO" w:eastAsia="es-CO"/>
        </w:rPr>
      </w:pPr>
      <w:hyperlink w:anchor="_Toc505456262" w:history="1">
        <w:r w:rsidR="0037398A" w:rsidRPr="007528E0">
          <w:rPr>
            <w:rStyle w:val="Hipervnculo"/>
            <w:rFonts w:cs="Arial"/>
            <w:b/>
            <w:noProof/>
            <w:color w:val="auto"/>
            <w:sz w:val="22"/>
            <w:szCs w:val="22"/>
          </w:rPr>
          <w:t>Tabla 16.</w:t>
        </w:r>
        <w:r w:rsidR="0037398A" w:rsidRPr="007528E0">
          <w:rPr>
            <w:rStyle w:val="Hipervnculo"/>
            <w:rFonts w:cs="Arial"/>
            <w:noProof/>
            <w:color w:val="auto"/>
            <w:sz w:val="22"/>
            <w:szCs w:val="22"/>
          </w:rPr>
          <w:t xml:space="preserve"> Tipos de cáusticos y manifestaciones clínicas.</w:t>
        </w:r>
        <w:r w:rsidR="0037398A" w:rsidRPr="007528E0">
          <w:rPr>
            <w:rFonts w:cs="Arial"/>
            <w:noProof/>
            <w:webHidden/>
            <w:sz w:val="22"/>
            <w:szCs w:val="22"/>
          </w:rPr>
          <w:tab/>
        </w:r>
        <w:r w:rsidR="0037398A" w:rsidRPr="007528E0">
          <w:rPr>
            <w:rFonts w:cs="Arial"/>
            <w:noProof/>
            <w:webHidden/>
            <w:sz w:val="22"/>
            <w:szCs w:val="22"/>
          </w:rPr>
          <w:fldChar w:fldCharType="begin"/>
        </w:r>
        <w:r w:rsidR="0037398A" w:rsidRPr="007528E0">
          <w:rPr>
            <w:rFonts w:cs="Arial"/>
            <w:noProof/>
            <w:webHidden/>
            <w:sz w:val="22"/>
            <w:szCs w:val="22"/>
          </w:rPr>
          <w:instrText xml:space="preserve"> PAGEREF _Toc505456262 \h </w:instrText>
        </w:r>
        <w:r w:rsidR="0037398A" w:rsidRPr="007528E0">
          <w:rPr>
            <w:rFonts w:cs="Arial"/>
            <w:noProof/>
            <w:webHidden/>
            <w:sz w:val="22"/>
            <w:szCs w:val="22"/>
          </w:rPr>
        </w:r>
        <w:r w:rsidR="0037398A" w:rsidRPr="007528E0">
          <w:rPr>
            <w:rFonts w:cs="Arial"/>
            <w:noProof/>
            <w:webHidden/>
            <w:sz w:val="22"/>
            <w:szCs w:val="22"/>
          </w:rPr>
          <w:fldChar w:fldCharType="separate"/>
        </w:r>
        <w:r w:rsidR="0037398A" w:rsidRPr="007528E0">
          <w:rPr>
            <w:rFonts w:cs="Arial"/>
            <w:noProof/>
            <w:webHidden/>
            <w:sz w:val="22"/>
            <w:szCs w:val="22"/>
          </w:rPr>
          <w:t>4</w:t>
        </w:r>
        <w:r w:rsidR="0037398A" w:rsidRPr="007528E0">
          <w:rPr>
            <w:rFonts w:cs="Arial"/>
            <w:noProof/>
            <w:webHidden/>
            <w:sz w:val="22"/>
            <w:szCs w:val="22"/>
          </w:rPr>
          <w:fldChar w:fldCharType="end"/>
        </w:r>
      </w:hyperlink>
      <w:r w:rsidR="004730AF">
        <w:rPr>
          <w:rFonts w:cs="Arial"/>
          <w:noProof/>
          <w:sz w:val="22"/>
          <w:szCs w:val="22"/>
        </w:rPr>
        <w:t>6</w:t>
      </w:r>
    </w:p>
    <w:p w14:paraId="0B3633AE" w14:textId="6431E9D3" w:rsidR="0037398A" w:rsidRPr="007528E0" w:rsidRDefault="00F87462" w:rsidP="0037398A">
      <w:pPr>
        <w:pStyle w:val="Tabladeilustraciones"/>
        <w:tabs>
          <w:tab w:val="right" w:leader="dot" w:pos="8828"/>
        </w:tabs>
        <w:spacing w:before="100" w:beforeAutospacing="1" w:after="100" w:afterAutospacing="1"/>
        <w:rPr>
          <w:rFonts w:cs="Arial"/>
          <w:noProof/>
          <w:sz w:val="22"/>
          <w:szCs w:val="22"/>
          <w:lang w:val="es-CO" w:eastAsia="es-CO"/>
        </w:rPr>
      </w:pPr>
      <w:hyperlink w:anchor="_Toc505456263" w:history="1">
        <w:r w:rsidR="0037398A" w:rsidRPr="007528E0">
          <w:rPr>
            <w:rStyle w:val="Hipervnculo"/>
            <w:rFonts w:cs="Arial"/>
            <w:b/>
            <w:noProof/>
            <w:color w:val="auto"/>
            <w:sz w:val="22"/>
            <w:szCs w:val="22"/>
          </w:rPr>
          <w:t>Tabla 17</w:t>
        </w:r>
        <w:r w:rsidR="0037398A" w:rsidRPr="007528E0">
          <w:rPr>
            <w:rStyle w:val="Hipervnculo"/>
            <w:rFonts w:cs="Arial"/>
            <w:noProof/>
            <w:color w:val="auto"/>
            <w:sz w:val="22"/>
            <w:szCs w:val="22"/>
          </w:rPr>
          <w:t>. Clasificación de plantas toxicas de acuerdo al mecanismo de acción</w:t>
        </w:r>
        <w:r w:rsidR="0037398A" w:rsidRPr="007528E0">
          <w:rPr>
            <w:rFonts w:cs="Arial"/>
            <w:noProof/>
            <w:webHidden/>
            <w:sz w:val="22"/>
            <w:szCs w:val="22"/>
          </w:rPr>
          <w:tab/>
        </w:r>
        <w:r w:rsidR="0037398A" w:rsidRPr="007528E0">
          <w:rPr>
            <w:rFonts w:cs="Arial"/>
            <w:noProof/>
            <w:webHidden/>
            <w:sz w:val="22"/>
            <w:szCs w:val="22"/>
          </w:rPr>
          <w:fldChar w:fldCharType="begin"/>
        </w:r>
        <w:r w:rsidR="0037398A" w:rsidRPr="007528E0">
          <w:rPr>
            <w:rFonts w:cs="Arial"/>
            <w:noProof/>
            <w:webHidden/>
            <w:sz w:val="22"/>
            <w:szCs w:val="22"/>
          </w:rPr>
          <w:instrText xml:space="preserve"> PAGEREF _Toc505456263 \h </w:instrText>
        </w:r>
        <w:r w:rsidR="0037398A" w:rsidRPr="007528E0">
          <w:rPr>
            <w:rFonts w:cs="Arial"/>
            <w:noProof/>
            <w:webHidden/>
            <w:sz w:val="22"/>
            <w:szCs w:val="22"/>
          </w:rPr>
        </w:r>
        <w:r w:rsidR="0037398A" w:rsidRPr="007528E0">
          <w:rPr>
            <w:rFonts w:cs="Arial"/>
            <w:noProof/>
            <w:webHidden/>
            <w:sz w:val="22"/>
            <w:szCs w:val="22"/>
          </w:rPr>
          <w:fldChar w:fldCharType="separate"/>
        </w:r>
        <w:r w:rsidR="0037398A" w:rsidRPr="007528E0">
          <w:rPr>
            <w:rFonts w:cs="Arial"/>
            <w:noProof/>
            <w:webHidden/>
            <w:sz w:val="22"/>
            <w:szCs w:val="22"/>
          </w:rPr>
          <w:t>4</w:t>
        </w:r>
        <w:r w:rsidR="0037398A" w:rsidRPr="007528E0">
          <w:rPr>
            <w:rFonts w:cs="Arial"/>
            <w:noProof/>
            <w:webHidden/>
            <w:sz w:val="22"/>
            <w:szCs w:val="22"/>
          </w:rPr>
          <w:fldChar w:fldCharType="end"/>
        </w:r>
      </w:hyperlink>
      <w:r w:rsidR="004730AF">
        <w:rPr>
          <w:rFonts w:cs="Arial"/>
          <w:noProof/>
          <w:sz w:val="22"/>
          <w:szCs w:val="22"/>
        </w:rPr>
        <w:t>7</w:t>
      </w:r>
    </w:p>
    <w:p w14:paraId="396944EC" w14:textId="74DB1C6D" w:rsidR="0037398A" w:rsidRPr="007528E0" w:rsidRDefault="00F87462" w:rsidP="0037398A">
      <w:pPr>
        <w:pStyle w:val="Tabladeilustraciones"/>
        <w:tabs>
          <w:tab w:val="right" w:leader="dot" w:pos="8828"/>
        </w:tabs>
        <w:spacing w:before="100" w:beforeAutospacing="1" w:after="100" w:afterAutospacing="1"/>
        <w:rPr>
          <w:rFonts w:cs="Arial"/>
          <w:noProof/>
          <w:sz w:val="22"/>
          <w:szCs w:val="22"/>
          <w:lang w:val="es-CO" w:eastAsia="es-CO"/>
        </w:rPr>
      </w:pPr>
      <w:hyperlink w:anchor="_Toc505456264" w:history="1">
        <w:r w:rsidR="0037398A" w:rsidRPr="007528E0">
          <w:rPr>
            <w:rStyle w:val="Hipervnculo"/>
            <w:rFonts w:cs="Arial"/>
            <w:b/>
            <w:noProof/>
            <w:color w:val="auto"/>
            <w:sz w:val="22"/>
            <w:szCs w:val="22"/>
          </w:rPr>
          <w:t>Tabla 18.</w:t>
        </w:r>
        <w:r w:rsidR="0037398A" w:rsidRPr="007528E0">
          <w:rPr>
            <w:rStyle w:val="Hipervnculo"/>
            <w:rFonts w:cs="Arial"/>
            <w:noProof/>
            <w:color w:val="auto"/>
            <w:sz w:val="22"/>
            <w:szCs w:val="22"/>
          </w:rPr>
          <w:t xml:space="preserve"> Descripción de las manifestaciones clínicas y laboratorio de toxicología de la intoxicación por gases.</w:t>
        </w:r>
        <w:r w:rsidR="0037398A" w:rsidRPr="007528E0">
          <w:rPr>
            <w:rFonts w:cs="Arial"/>
            <w:noProof/>
            <w:webHidden/>
            <w:sz w:val="22"/>
            <w:szCs w:val="22"/>
          </w:rPr>
          <w:tab/>
        </w:r>
        <w:r w:rsidR="0037398A" w:rsidRPr="007528E0">
          <w:rPr>
            <w:rFonts w:cs="Arial"/>
            <w:noProof/>
            <w:webHidden/>
            <w:sz w:val="22"/>
            <w:szCs w:val="22"/>
          </w:rPr>
          <w:fldChar w:fldCharType="begin"/>
        </w:r>
        <w:r w:rsidR="0037398A" w:rsidRPr="007528E0">
          <w:rPr>
            <w:rFonts w:cs="Arial"/>
            <w:noProof/>
            <w:webHidden/>
            <w:sz w:val="22"/>
            <w:szCs w:val="22"/>
          </w:rPr>
          <w:instrText xml:space="preserve"> PAGEREF _Toc505456264 \h </w:instrText>
        </w:r>
        <w:r w:rsidR="0037398A" w:rsidRPr="007528E0">
          <w:rPr>
            <w:rFonts w:cs="Arial"/>
            <w:noProof/>
            <w:webHidden/>
            <w:sz w:val="22"/>
            <w:szCs w:val="22"/>
          </w:rPr>
        </w:r>
        <w:r w:rsidR="0037398A" w:rsidRPr="007528E0">
          <w:rPr>
            <w:rFonts w:cs="Arial"/>
            <w:noProof/>
            <w:webHidden/>
            <w:sz w:val="22"/>
            <w:szCs w:val="22"/>
          </w:rPr>
          <w:fldChar w:fldCharType="separate"/>
        </w:r>
        <w:r w:rsidR="0037398A" w:rsidRPr="007528E0">
          <w:rPr>
            <w:rFonts w:cs="Arial"/>
            <w:noProof/>
            <w:webHidden/>
            <w:sz w:val="22"/>
            <w:szCs w:val="22"/>
          </w:rPr>
          <w:t>4</w:t>
        </w:r>
        <w:r w:rsidR="0037398A" w:rsidRPr="007528E0">
          <w:rPr>
            <w:rFonts w:cs="Arial"/>
            <w:noProof/>
            <w:webHidden/>
            <w:sz w:val="22"/>
            <w:szCs w:val="22"/>
          </w:rPr>
          <w:fldChar w:fldCharType="end"/>
        </w:r>
      </w:hyperlink>
      <w:r w:rsidR="004730AF">
        <w:rPr>
          <w:rFonts w:cs="Arial"/>
          <w:noProof/>
          <w:sz w:val="22"/>
          <w:szCs w:val="22"/>
        </w:rPr>
        <w:t>9</w:t>
      </w:r>
    </w:p>
    <w:p w14:paraId="1685D9BE" w14:textId="6B2E8437" w:rsidR="0037398A" w:rsidRPr="007528E0" w:rsidRDefault="00F87462" w:rsidP="0037398A">
      <w:pPr>
        <w:pStyle w:val="Tabladeilustraciones"/>
        <w:tabs>
          <w:tab w:val="right" w:leader="dot" w:pos="8828"/>
        </w:tabs>
        <w:spacing w:before="100" w:beforeAutospacing="1" w:after="100" w:afterAutospacing="1"/>
        <w:rPr>
          <w:rFonts w:cs="Arial"/>
          <w:noProof/>
          <w:sz w:val="22"/>
          <w:szCs w:val="22"/>
          <w:lang w:val="es-CO" w:eastAsia="es-CO"/>
        </w:rPr>
      </w:pPr>
      <w:hyperlink w:anchor="_Toc505456265" w:history="1">
        <w:r w:rsidR="0037398A" w:rsidRPr="007528E0">
          <w:rPr>
            <w:rStyle w:val="Hipervnculo"/>
            <w:rFonts w:cs="Arial"/>
            <w:b/>
            <w:noProof/>
            <w:color w:val="auto"/>
            <w:sz w:val="22"/>
            <w:szCs w:val="22"/>
          </w:rPr>
          <w:t>Tabla 19</w:t>
        </w:r>
        <w:r w:rsidR="0037398A" w:rsidRPr="007528E0">
          <w:rPr>
            <w:rStyle w:val="Hipervnculo"/>
            <w:rFonts w:cs="Arial"/>
            <w:noProof/>
            <w:color w:val="auto"/>
            <w:sz w:val="22"/>
            <w:szCs w:val="22"/>
          </w:rPr>
          <w:t>. Descripción de las manifestaciones clínicas y laboratorio de toxicología de las intoxicaciones por sustancias psicoactivas.</w:t>
        </w:r>
        <w:r w:rsidR="0037398A" w:rsidRPr="007528E0">
          <w:rPr>
            <w:rFonts w:cs="Arial"/>
            <w:noProof/>
            <w:webHidden/>
            <w:sz w:val="22"/>
            <w:szCs w:val="22"/>
          </w:rPr>
          <w:tab/>
        </w:r>
        <w:r w:rsidR="0037398A" w:rsidRPr="007528E0">
          <w:rPr>
            <w:rFonts w:cs="Arial"/>
            <w:noProof/>
            <w:webHidden/>
            <w:sz w:val="22"/>
            <w:szCs w:val="22"/>
          </w:rPr>
          <w:fldChar w:fldCharType="begin"/>
        </w:r>
        <w:r w:rsidR="0037398A" w:rsidRPr="007528E0">
          <w:rPr>
            <w:rFonts w:cs="Arial"/>
            <w:noProof/>
            <w:webHidden/>
            <w:sz w:val="22"/>
            <w:szCs w:val="22"/>
          </w:rPr>
          <w:instrText xml:space="preserve"> PAGEREF _Toc505456265 \h </w:instrText>
        </w:r>
        <w:r w:rsidR="0037398A" w:rsidRPr="007528E0">
          <w:rPr>
            <w:rFonts w:cs="Arial"/>
            <w:noProof/>
            <w:webHidden/>
            <w:sz w:val="22"/>
            <w:szCs w:val="22"/>
          </w:rPr>
        </w:r>
        <w:r w:rsidR="0037398A" w:rsidRPr="007528E0">
          <w:rPr>
            <w:rFonts w:cs="Arial"/>
            <w:noProof/>
            <w:webHidden/>
            <w:sz w:val="22"/>
            <w:szCs w:val="22"/>
          </w:rPr>
          <w:fldChar w:fldCharType="end"/>
        </w:r>
      </w:hyperlink>
      <w:r w:rsidR="004730AF">
        <w:rPr>
          <w:rFonts w:cs="Arial"/>
          <w:noProof/>
          <w:sz w:val="22"/>
          <w:szCs w:val="22"/>
        </w:rPr>
        <w:t>51</w:t>
      </w:r>
    </w:p>
    <w:p w14:paraId="27FF16DB" w14:textId="77777777" w:rsidR="0037398A" w:rsidRPr="007528E0" w:rsidRDefault="0037398A" w:rsidP="0037398A">
      <w:pPr>
        <w:spacing w:before="100" w:beforeAutospacing="1" w:after="100" w:afterAutospacing="1"/>
        <w:rPr>
          <w:rFonts w:cs="Arial"/>
          <w:b/>
          <w:sz w:val="22"/>
          <w:szCs w:val="22"/>
        </w:rPr>
      </w:pPr>
      <w:r w:rsidRPr="007528E0">
        <w:rPr>
          <w:rFonts w:cs="Arial"/>
          <w:sz w:val="22"/>
          <w:szCs w:val="22"/>
          <w:lang w:val="es-CO"/>
        </w:rPr>
        <w:fldChar w:fldCharType="end"/>
      </w:r>
      <w:bookmarkStart w:id="1" w:name="_Toc505456653"/>
      <w:bookmarkEnd w:id="0"/>
      <w:r w:rsidRPr="007528E0">
        <w:rPr>
          <w:rFonts w:cs="Arial"/>
          <w:b/>
          <w:sz w:val="22"/>
          <w:szCs w:val="22"/>
        </w:rPr>
        <w:t>Definiciones Generales</w:t>
      </w:r>
      <w:bookmarkEnd w:id="1"/>
    </w:p>
    <w:p w14:paraId="001C9851" w14:textId="77777777" w:rsidR="0037398A" w:rsidRPr="007528E0" w:rsidRDefault="0037398A" w:rsidP="0037398A">
      <w:pPr>
        <w:spacing w:before="100" w:beforeAutospacing="1" w:after="100" w:afterAutospacing="1"/>
        <w:rPr>
          <w:rFonts w:cs="Arial"/>
          <w:sz w:val="22"/>
          <w:szCs w:val="22"/>
        </w:rPr>
      </w:pPr>
      <w:bookmarkStart w:id="2" w:name="_Toc464122675"/>
      <w:r w:rsidRPr="007528E0">
        <w:rPr>
          <w:rFonts w:cs="Arial"/>
          <w:sz w:val="22"/>
          <w:szCs w:val="22"/>
        </w:rPr>
        <w:t>Definiciones del Sistema de Vigilancia en Salud Pública</w:t>
      </w:r>
      <w:bookmarkEnd w:id="2"/>
      <w:r w:rsidRPr="007528E0">
        <w:rPr>
          <w:rFonts w:cs="Arial"/>
          <w:sz w:val="22"/>
          <w:szCs w:val="22"/>
        </w:rPr>
        <w:t xml:space="preserve">: las contenidas en el Decreto 3518 de octubre 9 de 2006 del Ministerio de Salud y Protección Social por el cual se crea y reglamenta el Sistema de vigilancia en salud pública y se dictan otras disposiciones </w:t>
      </w:r>
      <w:r w:rsidRPr="007528E0">
        <w:rPr>
          <w:rFonts w:cs="Arial"/>
          <w:b/>
          <w:sz w:val="22"/>
          <w:szCs w:val="22"/>
        </w:rPr>
        <w:fldChar w:fldCharType="begin" w:fldLock="1"/>
      </w:r>
      <w:r w:rsidRPr="007528E0">
        <w:rPr>
          <w:rFonts w:cs="Arial"/>
          <w:sz w:val="22"/>
          <w:szCs w:val="22"/>
        </w:rPr>
        <w:instrText>ADDIN CSL_CITATION { "citationItems" : [ { "id" : "ITEM-1", "itemData" : { "author" : [ { "dropping-particle" : "", "family" : "Ministerio de la Salud y Proteccion Social", "given" : "", "non-dropping-particle" : "", "parse-names" : false, "suffix" : "" } ], "id" : "ITEM-1", "issued" : { "date-parts" : [ [ "0" ] ] }, "title" : "Decreto 3518 de 2006, \"Por el cual se crea y reglamenta el Sistema de Vigilancia en Salud P\u00fablica y se dictan otras disposiciones\"", "type" : "report" }, "uris" : [ "http://www.mendeley.com/documents/?uuid=244672ff-0407-4025-acd8-0d1434da8315" ] } ], "mendeley" : { "formattedCitation" : "(1)", "plainTextFormattedCitation" : "(1)", "previouslyFormattedCitation" : "(1)" }, "properties" : { "noteIndex" : 0 }, "schema" : "https://github.com/citation-style-language/schema/raw/master/csl-citation.json" }</w:instrText>
      </w:r>
      <w:r w:rsidRPr="007528E0">
        <w:rPr>
          <w:rFonts w:cs="Arial"/>
          <w:b/>
          <w:sz w:val="22"/>
          <w:szCs w:val="22"/>
        </w:rPr>
        <w:fldChar w:fldCharType="separate"/>
      </w:r>
      <w:r w:rsidRPr="007528E0">
        <w:rPr>
          <w:rFonts w:cs="Arial"/>
          <w:noProof/>
          <w:sz w:val="22"/>
          <w:szCs w:val="22"/>
        </w:rPr>
        <w:t>(1)</w:t>
      </w:r>
      <w:r w:rsidRPr="007528E0">
        <w:rPr>
          <w:rFonts w:cs="Arial"/>
          <w:b/>
          <w:sz w:val="22"/>
          <w:szCs w:val="22"/>
        </w:rPr>
        <w:fldChar w:fldCharType="end"/>
      </w:r>
      <w:r w:rsidRPr="007528E0">
        <w:rPr>
          <w:rFonts w:cs="Arial"/>
          <w:sz w:val="22"/>
          <w:szCs w:val="22"/>
        </w:rPr>
        <w:t>.</w:t>
      </w:r>
    </w:p>
    <w:p w14:paraId="640C1D36" w14:textId="77777777" w:rsidR="0037398A" w:rsidRPr="007528E0" w:rsidRDefault="0037398A" w:rsidP="0037398A">
      <w:pPr>
        <w:tabs>
          <w:tab w:val="center" w:pos="510"/>
          <w:tab w:val="left" w:pos="1134"/>
        </w:tabs>
        <w:adjustRightInd w:val="0"/>
        <w:spacing w:before="100" w:beforeAutospacing="1" w:after="100" w:afterAutospacing="1"/>
        <w:textAlignment w:val="center"/>
        <w:rPr>
          <w:rFonts w:cs="Arial"/>
          <w:sz w:val="22"/>
          <w:szCs w:val="22"/>
        </w:rPr>
      </w:pPr>
      <w:r w:rsidRPr="007528E0">
        <w:rPr>
          <w:rFonts w:cs="Arial"/>
          <w:b/>
          <w:bCs/>
          <w:sz w:val="22"/>
          <w:szCs w:val="22"/>
        </w:rPr>
        <w:t>Autoridades Sanitarias:</w:t>
      </w:r>
      <w:r w:rsidRPr="007528E0">
        <w:rPr>
          <w:rFonts w:cs="Arial"/>
          <w:sz w:val="22"/>
          <w:szCs w:val="22"/>
        </w:rPr>
        <w:t xml:space="preserve"> Entidades jurídicas de carácter público con atribuciones para ejercer funciones de rectoría, regulación, inspección, vigilancia y control de los sectores público y privado en salud y adoptar medidas de prevención y seguimiento que garanticen la protección de la salud pública.</w:t>
      </w:r>
    </w:p>
    <w:p w14:paraId="3FC98CE4" w14:textId="77777777" w:rsidR="0037398A" w:rsidRPr="007528E0" w:rsidRDefault="0037398A" w:rsidP="0037398A">
      <w:pPr>
        <w:tabs>
          <w:tab w:val="center" w:pos="510"/>
          <w:tab w:val="left" w:pos="1134"/>
        </w:tabs>
        <w:adjustRightInd w:val="0"/>
        <w:spacing w:before="100" w:beforeAutospacing="1" w:after="100" w:afterAutospacing="1"/>
        <w:textAlignment w:val="center"/>
        <w:rPr>
          <w:rFonts w:cs="Arial"/>
          <w:sz w:val="22"/>
          <w:szCs w:val="22"/>
        </w:rPr>
      </w:pPr>
      <w:r w:rsidRPr="007528E0">
        <w:rPr>
          <w:rFonts w:cs="Arial"/>
          <w:b/>
          <w:bCs/>
          <w:sz w:val="22"/>
          <w:szCs w:val="22"/>
        </w:rPr>
        <w:t>Entidades Sanitarias:</w:t>
      </w:r>
      <w:r w:rsidRPr="007528E0">
        <w:rPr>
          <w:rFonts w:cs="Arial"/>
          <w:sz w:val="22"/>
          <w:szCs w:val="22"/>
        </w:rPr>
        <w:t xml:space="preserve"> Entidades del Estado que prestan servicios sanitarios o de sanidad con el propósito de preservar la salud humana y la salud pública.</w:t>
      </w:r>
    </w:p>
    <w:p w14:paraId="322EDAC0" w14:textId="77777777" w:rsidR="0037398A" w:rsidRPr="007528E0" w:rsidRDefault="0037398A" w:rsidP="0037398A">
      <w:pPr>
        <w:tabs>
          <w:tab w:val="center" w:pos="510"/>
          <w:tab w:val="left" w:pos="1134"/>
        </w:tabs>
        <w:adjustRightInd w:val="0"/>
        <w:spacing w:before="100" w:beforeAutospacing="1" w:after="100" w:afterAutospacing="1"/>
        <w:textAlignment w:val="center"/>
        <w:rPr>
          <w:rFonts w:cs="Arial"/>
          <w:sz w:val="22"/>
          <w:szCs w:val="22"/>
        </w:rPr>
      </w:pPr>
      <w:r w:rsidRPr="007528E0">
        <w:rPr>
          <w:rFonts w:cs="Arial"/>
          <w:b/>
          <w:bCs/>
          <w:sz w:val="22"/>
          <w:szCs w:val="22"/>
        </w:rPr>
        <w:t>Estrategias de Vigilancia en Salud Pública:</w:t>
      </w:r>
      <w:r w:rsidRPr="007528E0">
        <w:rPr>
          <w:rFonts w:cs="Arial"/>
          <w:sz w:val="22"/>
          <w:szCs w:val="22"/>
        </w:rPr>
        <w:t xml:space="preserve"> Conjunto de métodos y procedimientos para la vigilancia de eventos de interés en salud pública, diseñadas con base en las características de los eventos a vigilar; la capacidad existente para detectar y atender el problema; los objetivos de la vigilancia; los costos relacionados con el desarrollo de la capacidad necesaria y las características de las instituciones involucradas en el proceso de la vigilancia.</w:t>
      </w:r>
    </w:p>
    <w:p w14:paraId="4A8ABC02" w14:textId="77777777" w:rsidR="0037398A" w:rsidRPr="007528E0" w:rsidRDefault="0037398A" w:rsidP="0037398A">
      <w:pPr>
        <w:tabs>
          <w:tab w:val="center" w:pos="510"/>
          <w:tab w:val="left" w:pos="1134"/>
        </w:tabs>
        <w:adjustRightInd w:val="0"/>
        <w:spacing w:before="100" w:beforeAutospacing="1" w:after="100" w:afterAutospacing="1"/>
        <w:textAlignment w:val="center"/>
        <w:rPr>
          <w:rFonts w:cs="Arial"/>
          <w:sz w:val="22"/>
          <w:szCs w:val="22"/>
        </w:rPr>
      </w:pPr>
      <w:r w:rsidRPr="007528E0">
        <w:rPr>
          <w:rFonts w:cs="Arial"/>
          <w:b/>
          <w:bCs/>
          <w:sz w:val="22"/>
          <w:szCs w:val="22"/>
        </w:rPr>
        <w:t xml:space="preserve">Eventos: </w:t>
      </w:r>
      <w:r w:rsidRPr="007528E0">
        <w:rPr>
          <w:rFonts w:cs="Arial"/>
          <w:sz w:val="22"/>
          <w:szCs w:val="22"/>
        </w:rPr>
        <w:t>Sucesos o circunstancias que pueden modificar o incidir en la situación de salud de un individuo o una comunidad y que, para efectos del presente decreto, se clasifican en condiciones fisiológicas, enfermedades, discapacidades y muertes; factores protectores y factores de riesgo relacionados con condiciones del medio ambiente, consumo y comportamiento; acciones de protección específica, detección temprana y atención de enfermedades y demás factores determinantes asociados.</w:t>
      </w:r>
    </w:p>
    <w:p w14:paraId="475B84C6" w14:textId="77777777" w:rsidR="0037398A" w:rsidRPr="007528E0" w:rsidRDefault="0037398A" w:rsidP="0037398A">
      <w:pPr>
        <w:tabs>
          <w:tab w:val="center" w:pos="510"/>
          <w:tab w:val="left" w:pos="1134"/>
        </w:tabs>
        <w:adjustRightInd w:val="0"/>
        <w:spacing w:before="100" w:beforeAutospacing="1" w:after="100" w:afterAutospacing="1"/>
        <w:textAlignment w:val="center"/>
        <w:rPr>
          <w:rFonts w:cs="Arial"/>
          <w:sz w:val="22"/>
          <w:szCs w:val="22"/>
        </w:rPr>
      </w:pPr>
      <w:r w:rsidRPr="007528E0">
        <w:rPr>
          <w:rFonts w:cs="Arial"/>
          <w:b/>
          <w:bCs/>
          <w:sz w:val="22"/>
          <w:szCs w:val="22"/>
        </w:rPr>
        <w:t xml:space="preserve">Eventos de Interés en Salud Pública: </w:t>
      </w:r>
      <w:r w:rsidRPr="007528E0">
        <w:rPr>
          <w:rFonts w:cs="Arial"/>
          <w:sz w:val="22"/>
          <w:szCs w:val="22"/>
        </w:rPr>
        <w:t xml:space="preserve"> Aquellos eventos considerados como importantes o trascendentes para la salud colectiva por parte del Ministerio de Salud y Protección Social, teniendo en cuenta criterios de frecuencia, gravedad, comportamiento epidemiológico, posibilidades de prevención, costo–efectividad de las intervenciones, e interés público; que, además, requieren ser enfrentados con medidas de salud pública.</w:t>
      </w:r>
    </w:p>
    <w:p w14:paraId="1D0176ED" w14:textId="77777777" w:rsidR="0037398A" w:rsidRPr="007528E0" w:rsidRDefault="0037398A" w:rsidP="0037398A">
      <w:pPr>
        <w:tabs>
          <w:tab w:val="center" w:pos="510"/>
          <w:tab w:val="left" w:pos="1134"/>
        </w:tabs>
        <w:adjustRightInd w:val="0"/>
        <w:spacing w:before="100" w:beforeAutospacing="1" w:after="100" w:afterAutospacing="1"/>
        <w:textAlignment w:val="center"/>
        <w:rPr>
          <w:rFonts w:cs="Arial"/>
          <w:sz w:val="22"/>
          <w:szCs w:val="22"/>
        </w:rPr>
      </w:pPr>
      <w:r w:rsidRPr="007528E0">
        <w:rPr>
          <w:rFonts w:cs="Arial"/>
          <w:b/>
          <w:bCs/>
          <w:sz w:val="22"/>
          <w:szCs w:val="22"/>
        </w:rPr>
        <w:t>Factores de Riesgo / Factores Protectores:</w:t>
      </w:r>
      <w:r w:rsidRPr="007528E0">
        <w:rPr>
          <w:rFonts w:cs="Arial"/>
          <w:sz w:val="22"/>
          <w:szCs w:val="22"/>
        </w:rPr>
        <w:t xml:space="preserve"> Aquellos atributos, variables o circunstancias inherentes o no a los individuos que están relacionados con los fenómenos de salud y que determinan en la población expuesta a ellos, una mayor o menor probabilidad de ocurrencia de un evento en salud.</w:t>
      </w:r>
    </w:p>
    <w:p w14:paraId="5C3C1127" w14:textId="77777777" w:rsidR="0037398A" w:rsidRPr="007528E0" w:rsidRDefault="0037398A" w:rsidP="0037398A">
      <w:pPr>
        <w:tabs>
          <w:tab w:val="center" w:pos="510"/>
          <w:tab w:val="left" w:pos="1134"/>
        </w:tabs>
        <w:adjustRightInd w:val="0"/>
        <w:spacing w:before="100" w:beforeAutospacing="1" w:after="100" w:afterAutospacing="1"/>
        <w:textAlignment w:val="center"/>
        <w:rPr>
          <w:rFonts w:cs="Arial"/>
          <w:sz w:val="22"/>
          <w:szCs w:val="22"/>
        </w:rPr>
      </w:pPr>
      <w:r w:rsidRPr="007528E0">
        <w:rPr>
          <w:rFonts w:cs="Arial"/>
          <w:b/>
          <w:bCs/>
          <w:sz w:val="22"/>
          <w:szCs w:val="22"/>
        </w:rPr>
        <w:lastRenderedPageBreak/>
        <w:t>Medidas Sanitarias:</w:t>
      </w:r>
      <w:r w:rsidRPr="007528E0">
        <w:rPr>
          <w:rFonts w:cs="Arial"/>
          <w:sz w:val="22"/>
          <w:szCs w:val="22"/>
        </w:rPr>
        <w:t xml:space="preserve"> Conjunto de medidas de salud pública y demás precauciones sanitarias aplicadas por la autoridad sanitaria, para prevenir, mitigar, controlar o eliminar la propagación de un evento que afecte o pueda afectar la salud de la población.</w:t>
      </w:r>
    </w:p>
    <w:p w14:paraId="076AE1B5" w14:textId="77777777" w:rsidR="0037398A" w:rsidRPr="007528E0" w:rsidRDefault="0037398A" w:rsidP="0037398A">
      <w:pPr>
        <w:tabs>
          <w:tab w:val="center" w:pos="510"/>
          <w:tab w:val="left" w:pos="1134"/>
        </w:tabs>
        <w:adjustRightInd w:val="0"/>
        <w:spacing w:before="100" w:beforeAutospacing="1" w:after="100" w:afterAutospacing="1"/>
        <w:textAlignment w:val="center"/>
        <w:rPr>
          <w:rFonts w:cs="Arial"/>
          <w:sz w:val="22"/>
          <w:szCs w:val="22"/>
        </w:rPr>
      </w:pPr>
      <w:r w:rsidRPr="007528E0">
        <w:rPr>
          <w:rFonts w:cs="Arial"/>
          <w:b/>
          <w:bCs/>
          <w:sz w:val="22"/>
          <w:szCs w:val="22"/>
        </w:rPr>
        <w:t>Unidad Notificadora:</w:t>
      </w:r>
      <w:r w:rsidRPr="007528E0">
        <w:rPr>
          <w:rFonts w:cs="Arial"/>
          <w:sz w:val="22"/>
          <w:szCs w:val="22"/>
        </w:rPr>
        <w:t xml:space="preserve"> Es la entidad pública responsable de la investigación, confirmación y configuración de los eventos de interés en salud pública, con base en la información suministrada por las Unidades Primarias Generadoras de Datos y cualquier otra información obtenida a través de procedimientos epidemiológicos.</w:t>
      </w:r>
    </w:p>
    <w:p w14:paraId="2A619CBF" w14:textId="77777777" w:rsidR="0037398A" w:rsidRPr="007528E0" w:rsidRDefault="0037398A" w:rsidP="0037398A">
      <w:pPr>
        <w:tabs>
          <w:tab w:val="center" w:pos="510"/>
          <w:tab w:val="left" w:pos="1134"/>
        </w:tabs>
        <w:adjustRightInd w:val="0"/>
        <w:spacing w:before="100" w:beforeAutospacing="1" w:after="100" w:afterAutospacing="1"/>
        <w:textAlignment w:val="center"/>
        <w:rPr>
          <w:rFonts w:cs="Arial"/>
          <w:sz w:val="22"/>
          <w:szCs w:val="22"/>
        </w:rPr>
      </w:pPr>
      <w:r w:rsidRPr="007528E0">
        <w:rPr>
          <w:rFonts w:cs="Arial"/>
          <w:b/>
          <w:bCs/>
          <w:sz w:val="22"/>
          <w:szCs w:val="22"/>
        </w:rPr>
        <w:t>Unidad Primaria Generadora de Datos – UPGD:</w:t>
      </w:r>
      <w:r w:rsidRPr="007528E0">
        <w:rPr>
          <w:rFonts w:cs="Arial"/>
          <w:sz w:val="22"/>
          <w:szCs w:val="22"/>
        </w:rPr>
        <w:t xml:space="preserve"> Es la entidad pública o privada que capta la ocurrencia de eventos de interés en salud pública y genera información útil y necesaria para los fines del Sistema de Vigilancia en Salud Pública, </w:t>
      </w:r>
      <w:proofErr w:type="spellStart"/>
      <w:r w:rsidRPr="007528E0">
        <w:rPr>
          <w:rFonts w:cs="Arial"/>
          <w:sz w:val="22"/>
          <w:szCs w:val="22"/>
        </w:rPr>
        <w:t>Sivigila</w:t>
      </w:r>
      <w:proofErr w:type="spellEnd"/>
      <w:r w:rsidRPr="007528E0">
        <w:rPr>
          <w:rFonts w:cs="Arial"/>
          <w:sz w:val="22"/>
          <w:szCs w:val="22"/>
        </w:rPr>
        <w:t>.</w:t>
      </w:r>
    </w:p>
    <w:p w14:paraId="7DC70381" w14:textId="77777777" w:rsidR="0037398A" w:rsidRPr="007528E0" w:rsidRDefault="0037398A" w:rsidP="0037398A">
      <w:pPr>
        <w:tabs>
          <w:tab w:val="center" w:pos="510"/>
          <w:tab w:val="left" w:pos="1134"/>
        </w:tabs>
        <w:adjustRightInd w:val="0"/>
        <w:spacing w:before="100" w:beforeAutospacing="1" w:after="100" w:afterAutospacing="1"/>
        <w:textAlignment w:val="center"/>
        <w:rPr>
          <w:rFonts w:cs="Arial"/>
          <w:sz w:val="22"/>
          <w:szCs w:val="22"/>
        </w:rPr>
      </w:pPr>
      <w:r w:rsidRPr="007528E0">
        <w:rPr>
          <w:rFonts w:cs="Arial"/>
          <w:b/>
          <w:bCs/>
          <w:sz w:val="22"/>
          <w:szCs w:val="22"/>
        </w:rPr>
        <w:t>Vigilancia en Salud Pública:</w:t>
      </w:r>
      <w:r w:rsidRPr="007528E0">
        <w:rPr>
          <w:rFonts w:cs="Arial"/>
          <w:sz w:val="22"/>
          <w:szCs w:val="22"/>
        </w:rPr>
        <w:t xml:space="preserve"> Función esencial asociada a la responsabilidad estatal y ciudadana de protección de la salud, consistente en el proceso sistemático y constante de recolección, análisis, interpretación y divulgación de datos específicos relacionados con la salud, para su utilización en la planificación, ejecución y evaluación de la práctica en salud pública.</w:t>
      </w:r>
    </w:p>
    <w:p w14:paraId="56DE6DF0" w14:textId="77777777" w:rsidR="0037398A" w:rsidRPr="007528E0" w:rsidRDefault="0037398A" w:rsidP="0037398A">
      <w:pPr>
        <w:tabs>
          <w:tab w:val="center" w:pos="510"/>
          <w:tab w:val="left" w:pos="1134"/>
        </w:tabs>
        <w:adjustRightInd w:val="0"/>
        <w:spacing w:before="100" w:beforeAutospacing="1" w:after="100" w:afterAutospacing="1"/>
        <w:textAlignment w:val="center"/>
        <w:rPr>
          <w:rFonts w:cs="Arial"/>
          <w:sz w:val="22"/>
          <w:szCs w:val="22"/>
        </w:rPr>
      </w:pPr>
      <w:r w:rsidRPr="007528E0">
        <w:rPr>
          <w:rFonts w:cs="Arial"/>
          <w:b/>
          <w:bCs/>
          <w:sz w:val="22"/>
          <w:szCs w:val="22"/>
        </w:rPr>
        <w:t>Vigilancia y Control Sanitario:</w:t>
      </w:r>
      <w:r w:rsidRPr="007528E0">
        <w:rPr>
          <w:rFonts w:cs="Arial"/>
          <w:sz w:val="22"/>
          <w:szCs w:val="22"/>
        </w:rPr>
        <w:t xml:space="preserve"> Función esencial asociada a la responsabilidad estatal y ciudadana de protección de la salud, consistente en el proceso sistemático y constante de inspección, vigilancia y control del cumplimiento de normas y procesos para asegurar una adecuada situación sanitaria y de seguridad de todas las actividades que tienen relación con la salud humana.</w:t>
      </w:r>
    </w:p>
    <w:p w14:paraId="2E2C769E" w14:textId="77777777" w:rsidR="0037398A" w:rsidRPr="007528E0" w:rsidRDefault="0037398A" w:rsidP="0037398A">
      <w:pPr>
        <w:pStyle w:val="Ttulo2"/>
        <w:spacing w:before="100" w:beforeAutospacing="1" w:after="100" w:afterAutospacing="1"/>
        <w:rPr>
          <w:sz w:val="22"/>
          <w:szCs w:val="22"/>
        </w:rPr>
      </w:pPr>
      <w:bookmarkStart w:id="3" w:name="_Toc464122676"/>
      <w:bookmarkStart w:id="4" w:name="_Toc505456654"/>
      <w:r w:rsidRPr="007528E0">
        <w:rPr>
          <w:sz w:val="22"/>
          <w:szCs w:val="22"/>
        </w:rPr>
        <w:t>Definiciones de algunos Términos Toxicológicos</w:t>
      </w:r>
      <w:bookmarkEnd w:id="3"/>
      <w:bookmarkEnd w:id="4"/>
    </w:p>
    <w:p w14:paraId="7ACF4A7C" w14:textId="77777777" w:rsidR="0037398A" w:rsidRPr="007528E0" w:rsidRDefault="0037398A" w:rsidP="0037398A">
      <w:pPr>
        <w:spacing w:before="100" w:beforeAutospacing="1" w:after="100" w:afterAutospacing="1"/>
        <w:ind w:left="-11"/>
        <w:rPr>
          <w:rFonts w:cs="Arial"/>
          <w:sz w:val="22"/>
          <w:szCs w:val="22"/>
        </w:rPr>
      </w:pPr>
      <w:r w:rsidRPr="007528E0">
        <w:rPr>
          <w:rFonts w:cs="Arial"/>
          <w:b/>
          <w:sz w:val="22"/>
          <w:szCs w:val="22"/>
        </w:rPr>
        <w:t>Abuso (de sustancias):</w:t>
      </w:r>
      <w:r w:rsidRPr="007528E0">
        <w:rPr>
          <w:rFonts w:cs="Arial"/>
          <w:sz w:val="22"/>
          <w:szCs w:val="22"/>
        </w:rPr>
        <w:t xml:space="preserve"> Uso inadecuado o excesivo de medicamentos, disolventes, drogas u otras sustancias </w:t>
      </w:r>
      <w:r w:rsidRPr="007528E0">
        <w:rPr>
          <w:rFonts w:cs="Arial"/>
          <w:sz w:val="22"/>
          <w:szCs w:val="22"/>
        </w:rPr>
        <w:fldChar w:fldCharType="begin" w:fldLock="1"/>
      </w:r>
      <w:r w:rsidRPr="007528E0">
        <w:rPr>
          <w:rFonts w:cs="Arial"/>
          <w:sz w:val="22"/>
          <w:szCs w:val="22"/>
        </w:rPr>
        <w:instrText>ADDIN CSL_CITATION { "citationItems" : [ { "id" : "ITEM-1", "itemData" : { "ISBN" : "1569730873", "author" : [ { "dropping-particle" : "", "family" : "Repetto", "given" : "Robert", "non-dropping-particle" : "", "parse-names" : false, "suffix" : "" }, { "dropping-particle" : "", "family" : "Baliga", "given" : "Sanjay S", "non-dropping-particle" : "", "parse-names" : false, "suffix" : "" } ], "id" : "ITEM-1", "issued" : { "date-parts" : [ [ "1996" ] ] }, "number-of-pages" : "109", "title" : "Pesticides and the immune system: the public healt risks", "type" : "book" }, "uris" : [ "http://www.mendeley.com/documents/?uuid=577567b3-c38a-4289-a6d0-20f00ba2f498" ] } ], "mendeley" : { "formattedCitation" : "(2)", "plainTextFormattedCitation" : "(2)", "previouslyFormattedCitation" : "(2)" }, "properties" : { "noteIndex" : 0 }, "schema" : "https://github.com/citation-style-language/schema/raw/master/csl-citation.json" }</w:instrText>
      </w:r>
      <w:r w:rsidRPr="007528E0">
        <w:rPr>
          <w:rFonts w:cs="Arial"/>
          <w:sz w:val="22"/>
          <w:szCs w:val="22"/>
        </w:rPr>
        <w:fldChar w:fldCharType="separate"/>
      </w:r>
      <w:r w:rsidRPr="007528E0">
        <w:rPr>
          <w:rFonts w:cs="Arial"/>
          <w:noProof/>
          <w:sz w:val="22"/>
          <w:szCs w:val="22"/>
        </w:rPr>
        <w:t>(2)</w:t>
      </w:r>
      <w:r w:rsidRPr="007528E0">
        <w:rPr>
          <w:rFonts w:cs="Arial"/>
          <w:sz w:val="22"/>
          <w:szCs w:val="22"/>
        </w:rPr>
        <w:fldChar w:fldCharType="end"/>
      </w:r>
      <w:r w:rsidRPr="007528E0">
        <w:rPr>
          <w:rFonts w:cs="Arial"/>
          <w:sz w:val="22"/>
          <w:szCs w:val="22"/>
        </w:rPr>
        <w:t>.</w:t>
      </w:r>
    </w:p>
    <w:p w14:paraId="7D6974FF" w14:textId="77777777" w:rsidR="0037398A" w:rsidRPr="007528E0" w:rsidRDefault="0037398A" w:rsidP="0037398A">
      <w:pPr>
        <w:spacing w:before="100" w:beforeAutospacing="1" w:after="100" w:afterAutospacing="1"/>
        <w:ind w:left="-11"/>
        <w:rPr>
          <w:rFonts w:cs="Arial"/>
          <w:sz w:val="22"/>
          <w:szCs w:val="22"/>
        </w:rPr>
      </w:pPr>
      <w:r w:rsidRPr="007528E0">
        <w:rPr>
          <w:rFonts w:cs="Arial"/>
          <w:b/>
          <w:sz w:val="22"/>
          <w:szCs w:val="22"/>
        </w:rPr>
        <w:t>Adicción:</w:t>
      </w:r>
      <w:r w:rsidRPr="007528E0">
        <w:rPr>
          <w:rFonts w:cs="Arial"/>
          <w:sz w:val="22"/>
          <w:szCs w:val="22"/>
        </w:rPr>
        <w:t xml:space="preserve"> Afición y sometimiento al uso regular de una sustancia en busca de alivio, bienestar, estimulación o vigor, frecuentemente con desarrollo de necesidad de consumo </w:t>
      </w:r>
      <w:r w:rsidRPr="007528E0">
        <w:rPr>
          <w:rFonts w:cs="Arial"/>
          <w:sz w:val="22"/>
          <w:szCs w:val="22"/>
        </w:rPr>
        <w:fldChar w:fldCharType="begin" w:fldLock="1"/>
      </w:r>
      <w:r w:rsidRPr="007528E0">
        <w:rPr>
          <w:rFonts w:cs="Arial"/>
          <w:sz w:val="22"/>
          <w:szCs w:val="22"/>
        </w:rPr>
        <w:instrText>ADDIN CSL_CITATION { "citationItems" : [ { "id" : "ITEM-1", "itemData" : { "ISBN" : "1569730873", "author" : [ { "dropping-particle" : "", "family" : "Repetto", "given" : "Robert", "non-dropping-particle" : "", "parse-names" : false, "suffix" : "" }, { "dropping-particle" : "", "family" : "Baliga", "given" : "Sanjay S", "non-dropping-particle" : "", "parse-names" : false, "suffix" : "" } ], "id" : "ITEM-1", "issued" : { "date-parts" : [ [ "1996" ] ] }, "number-of-pages" : "109", "title" : "Pesticides and the immune system: the public healt risks", "type" : "book" }, "uris" : [ "http://www.mendeley.com/documents/?uuid=577567b3-c38a-4289-a6d0-20f00ba2f498" ] } ], "mendeley" : { "formattedCitation" : "(2)", "plainTextFormattedCitation" : "(2)", "previouslyFormattedCitation" : "(2)" }, "properties" : { "noteIndex" : 0 }, "schema" : "https://github.com/citation-style-language/schema/raw/master/csl-citation.json" }</w:instrText>
      </w:r>
      <w:r w:rsidRPr="007528E0">
        <w:rPr>
          <w:rFonts w:cs="Arial"/>
          <w:sz w:val="22"/>
          <w:szCs w:val="22"/>
        </w:rPr>
        <w:fldChar w:fldCharType="separate"/>
      </w:r>
      <w:r w:rsidRPr="007528E0">
        <w:rPr>
          <w:rFonts w:cs="Arial"/>
          <w:noProof/>
          <w:sz w:val="22"/>
          <w:szCs w:val="22"/>
        </w:rPr>
        <w:t>(2)</w:t>
      </w:r>
      <w:r w:rsidRPr="007528E0">
        <w:rPr>
          <w:rFonts w:cs="Arial"/>
          <w:sz w:val="22"/>
          <w:szCs w:val="22"/>
        </w:rPr>
        <w:fldChar w:fldCharType="end"/>
      </w:r>
      <w:r w:rsidRPr="007528E0">
        <w:rPr>
          <w:rFonts w:cs="Arial"/>
          <w:sz w:val="22"/>
          <w:szCs w:val="22"/>
        </w:rPr>
        <w:t>.</w:t>
      </w:r>
    </w:p>
    <w:p w14:paraId="51BA67E0" w14:textId="77777777" w:rsidR="0037398A" w:rsidRPr="007528E0" w:rsidRDefault="0037398A" w:rsidP="0037398A">
      <w:pPr>
        <w:spacing w:before="100" w:beforeAutospacing="1" w:after="100" w:afterAutospacing="1"/>
        <w:ind w:left="-11"/>
        <w:rPr>
          <w:rFonts w:cs="Arial"/>
          <w:sz w:val="22"/>
          <w:szCs w:val="22"/>
        </w:rPr>
      </w:pPr>
      <w:r w:rsidRPr="007528E0">
        <w:rPr>
          <w:rFonts w:cs="Arial"/>
          <w:b/>
          <w:sz w:val="22"/>
          <w:szCs w:val="22"/>
        </w:rPr>
        <w:t>Antídoto:</w:t>
      </w:r>
      <w:r w:rsidRPr="007528E0">
        <w:rPr>
          <w:rFonts w:cs="Arial"/>
          <w:sz w:val="22"/>
          <w:szCs w:val="22"/>
        </w:rPr>
        <w:t xml:space="preserve"> Sustancia capaz de contrarrestar o reducir el efecto de una sustancia potencialmente tóxica mediante una acción química relativamente específica </w:t>
      </w:r>
      <w:r w:rsidRPr="007528E0">
        <w:rPr>
          <w:rFonts w:cs="Arial"/>
          <w:sz w:val="22"/>
          <w:szCs w:val="22"/>
        </w:rPr>
        <w:fldChar w:fldCharType="begin" w:fldLock="1"/>
      </w:r>
      <w:r w:rsidRPr="007528E0">
        <w:rPr>
          <w:rFonts w:cs="Arial"/>
          <w:sz w:val="22"/>
          <w:szCs w:val="22"/>
        </w:rPr>
        <w:instrText>ADDIN CSL_CITATION { "citationItems" : [ { "id" : "ITEM-1", "itemData" : { "ISBN" : "1569730873", "author" : [ { "dropping-particle" : "", "family" : "Repetto", "given" : "Robert", "non-dropping-particle" : "", "parse-names" : false, "suffix" : "" }, { "dropping-particle" : "", "family" : "Baliga", "given" : "Sanjay S", "non-dropping-particle" : "", "parse-names" : false, "suffix" : "" } ], "id" : "ITEM-1", "issued" : { "date-parts" : [ [ "1996" ] ] }, "number-of-pages" : "109", "title" : "Pesticides and the immune system: the public healt risks", "type" : "book" }, "uris" : [ "http://www.mendeley.com/documents/?uuid=577567b3-c38a-4289-a6d0-20f00ba2f498" ] } ], "mendeley" : { "formattedCitation" : "(2)", "plainTextFormattedCitation" : "(2)", "previouslyFormattedCitation" : "(2)" }, "properties" : { "noteIndex" : 0 }, "schema" : "https://github.com/citation-style-language/schema/raw/master/csl-citation.json" }</w:instrText>
      </w:r>
      <w:r w:rsidRPr="007528E0">
        <w:rPr>
          <w:rFonts w:cs="Arial"/>
          <w:sz w:val="22"/>
          <w:szCs w:val="22"/>
        </w:rPr>
        <w:fldChar w:fldCharType="separate"/>
      </w:r>
      <w:r w:rsidRPr="007528E0">
        <w:rPr>
          <w:rFonts w:cs="Arial"/>
          <w:noProof/>
          <w:sz w:val="22"/>
          <w:szCs w:val="22"/>
        </w:rPr>
        <w:t>(2)</w:t>
      </w:r>
      <w:r w:rsidRPr="007528E0">
        <w:rPr>
          <w:rFonts w:cs="Arial"/>
          <w:sz w:val="22"/>
          <w:szCs w:val="22"/>
        </w:rPr>
        <w:fldChar w:fldCharType="end"/>
      </w:r>
      <w:r w:rsidRPr="007528E0">
        <w:rPr>
          <w:rFonts w:cs="Arial"/>
          <w:sz w:val="22"/>
          <w:szCs w:val="22"/>
        </w:rPr>
        <w:t>.</w:t>
      </w:r>
    </w:p>
    <w:p w14:paraId="772FE559" w14:textId="77777777" w:rsidR="0037398A" w:rsidRPr="007528E0" w:rsidRDefault="0037398A" w:rsidP="0037398A">
      <w:pPr>
        <w:autoSpaceDE w:val="0"/>
        <w:autoSpaceDN w:val="0"/>
        <w:spacing w:before="100" w:beforeAutospacing="1" w:after="100" w:afterAutospacing="1"/>
        <w:rPr>
          <w:rFonts w:eastAsia="Calibri" w:cs="Arial"/>
          <w:b/>
          <w:sz w:val="22"/>
          <w:szCs w:val="22"/>
        </w:rPr>
      </w:pPr>
    </w:p>
    <w:p w14:paraId="037E7388" w14:textId="77777777" w:rsidR="0037398A" w:rsidRPr="007528E0" w:rsidRDefault="0037398A" w:rsidP="0037398A">
      <w:pPr>
        <w:spacing w:before="100" w:beforeAutospacing="1" w:after="100" w:afterAutospacing="1"/>
        <w:rPr>
          <w:rFonts w:eastAsia="Calibri" w:cs="Arial"/>
          <w:sz w:val="22"/>
          <w:szCs w:val="22"/>
        </w:rPr>
      </w:pPr>
      <w:r w:rsidRPr="007528E0">
        <w:rPr>
          <w:rFonts w:cs="Arial"/>
          <w:b/>
          <w:sz w:val="22"/>
          <w:szCs w:val="22"/>
        </w:rPr>
        <w:t>Automedicación:</w:t>
      </w:r>
      <w:r w:rsidRPr="007528E0">
        <w:rPr>
          <w:rFonts w:cs="Arial"/>
          <w:sz w:val="22"/>
          <w:szCs w:val="22"/>
        </w:rPr>
        <w:t xml:space="preserve"> Selección y uso de medicamentos de venta libre o sin receta con la finalidad de tratar síntomas o desordenes reconocidos, por iniciativa de las personas </w:t>
      </w:r>
      <w:r w:rsidRPr="007528E0">
        <w:rPr>
          <w:rFonts w:cs="Arial"/>
          <w:sz w:val="22"/>
          <w:szCs w:val="22"/>
        </w:rPr>
        <w:fldChar w:fldCharType="begin" w:fldLock="1"/>
      </w:r>
      <w:r w:rsidRPr="007528E0">
        <w:rPr>
          <w:rFonts w:cs="Arial"/>
          <w:sz w:val="22"/>
          <w:szCs w:val="22"/>
        </w:rPr>
        <w:instrText>ADDIN CSL_CITATION { "citationItems" : [ { "id" : "ITEM-1", "itemData" : { "author" : [ { "dropping-particle" : "", "family" : "Wirtz, V., A. Dreser", "given" : "and R. Leyva", "non-dropping-particle" : "", "parse-names" : false, "suffix" : "" } ], "container-title" : "Salud P\u00fablica M\u00e9x.", "id" : "ITEM-1", "issue" : "51", "issued" : { "date-parts" : [ [ "2009" ] ] }, "page" : "79 - 180", "title" : "El debate sobre la automedicaci\u00f3n", "type" : "article-journal", "volume" : "3" }, "uris" : [ "http://www.mendeley.com/documents/?uuid=11201aff-b813-4847-93fe-9d989af225c0" ] } ], "mendeley" : { "formattedCitation" : "(3)", "plainTextFormattedCitation" : "(3)", "previouslyFormattedCitation" : "(3)" }, "properties" : { "noteIndex" : 0 }, "schema" : "https://github.com/citation-style-language/schema/raw/master/csl-citation.json" }</w:instrText>
      </w:r>
      <w:r w:rsidRPr="007528E0">
        <w:rPr>
          <w:rFonts w:cs="Arial"/>
          <w:sz w:val="22"/>
          <w:szCs w:val="22"/>
        </w:rPr>
        <w:fldChar w:fldCharType="separate"/>
      </w:r>
      <w:r w:rsidRPr="007528E0">
        <w:rPr>
          <w:rFonts w:cs="Arial"/>
          <w:noProof/>
          <w:sz w:val="22"/>
          <w:szCs w:val="22"/>
        </w:rPr>
        <w:t>(3)</w:t>
      </w:r>
      <w:r w:rsidRPr="007528E0">
        <w:rPr>
          <w:rFonts w:cs="Arial"/>
          <w:sz w:val="22"/>
          <w:szCs w:val="22"/>
        </w:rPr>
        <w:fldChar w:fldCharType="end"/>
      </w:r>
    </w:p>
    <w:p w14:paraId="2522E6F9" w14:textId="77777777" w:rsidR="0037398A" w:rsidRPr="007528E0" w:rsidRDefault="0037398A" w:rsidP="0037398A">
      <w:pPr>
        <w:spacing w:before="100" w:beforeAutospacing="1" w:after="100" w:afterAutospacing="1"/>
        <w:rPr>
          <w:rFonts w:eastAsia="Calibri" w:cs="Arial"/>
          <w:sz w:val="22"/>
          <w:szCs w:val="22"/>
        </w:rPr>
      </w:pPr>
      <w:proofErr w:type="spellStart"/>
      <w:r w:rsidRPr="007528E0">
        <w:rPr>
          <w:rFonts w:cs="Arial"/>
          <w:b/>
          <w:sz w:val="22"/>
          <w:szCs w:val="22"/>
        </w:rPr>
        <w:lastRenderedPageBreak/>
        <w:t>Autoprescripción</w:t>
      </w:r>
      <w:proofErr w:type="spellEnd"/>
      <w:r w:rsidRPr="007528E0">
        <w:rPr>
          <w:rFonts w:cs="Arial"/>
          <w:b/>
          <w:sz w:val="22"/>
          <w:szCs w:val="22"/>
        </w:rPr>
        <w:t xml:space="preserve">: </w:t>
      </w:r>
      <w:r w:rsidRPr="007528E0">
        <w:rPr>
          <w:rFonts w:cs="Arial"/>
          <w:sz w:val="22"/>
          <w:szCs w:val="22"/>
        </w:rPr>
        <w:t xml:space="preserve">Es aquella circunstancia en la cual se usan medicamentos de prescripción o regulados como de “venta bajo formula medica”, sin que ellos hayan sido prescritos por el médico específicamente para quien los usa o en el momento que los usa </w:t>
      </w:r>
      <w:r w:rsidRPr="007528E0">
        <w:rPr>
          <w:rFonts w:cs="Arial"/>
          <w:sz w:val="22"/>
          <w:szCs w:val="22"/>
        </w:rPr>
        <w:fldChar w:fldCharType="begin" w:fldLock="1"/>
      </w:r>
      <w:r w:rsidRPr="007528E0">
        <w:rPr>
          <w:rFonts w:cs="Arial"/>
          <w:sz w:val="22"/>
          <w:szCs w:val="22"/>
        </w:rPr>
        <w:instrText>ADDIN CSL_CITATION { "citationItems" : [ { "id" : "ITEM-1", "itemData" : { "author" : [ { "dropping-particle" : "", "family" : "Wirtz, V., A. Dreser", "given" : "and R. Leyva", "non-dropping-particle" : "", "parse-names" : false, "suffix" : "" } ], "container-title" : "Salud P\u00fablica M\u00e9x.", "id" : "ITEM-1", "issue" : "51", "issued" : { "date-parts" : [ [ "2009" ] ] }, "page" : "79 - 180", "title" : "El debate sobre la automedicaci\u00f3n", "type" : "article-journal", "volume" : "3" }, "uris" : [ "http://www.mendeley.com/documents/?uuid=11201aff-b813-4847-93fe-9d989af225c0" ] } ], "mendeley" : { "formattedCitation" : "(3)", "plainTextFormattedCitation" : "(3)", "previouslyFormattedCitation" : "(3)" }, "properties" : { "noteIndex" : 0 }, "schema" : "https://github.com/citation-style-language/schema/raw/master/csl-citation.json" }</w:instrText>
      </w:r>
      <w:r w:rsidRPr="007528E0">
        <w:rPr>
          <w:rFonts w:cs="Arial"/>
          <w:sz w:val="22"/>
          <w:szCs w:val="22"/>
        </w:rPr>
        <w:fldChar w:fldCharType="separate"/>
      </w:r>
      <w:r w:rsidRPr="007528E0">
        <w:rPr>
          <w:rFonts w:cs="Arial"/>
          <w:noProof/>
          <w:sz w:val="22"/>
          <w:szCs w:val="22"/>
        </w:rPr>
        <w:t>(3)</w:t>
      </w:r>
      <w:r w:rsidRPr="007528E0">
        <w:rPr>
          <w:rFonts w:cs="Arial"/>
          <w:sz w:val="22"/>
          <w:szCs w:val="22"/>
        </w:rPr>
        <w:fldChar w:fldCharType="end"/>
      </w:r>
    </w:p>
    <w:p w14:paraId="4703ABA2" w14:textId="77777777" w:rsidR="0037398A" w:rsidRPr="007528E0" w:rsidRDefault="0037398A" w:rsidP="0037398A">
      <w:pPr>
        <w:widowControl w:val="0"/>
        <w:autoSpaceDE w:val="0"/>
        <w:autoSpaceDN w:val="0"/>
        <w:adjustRightInd w:val="0"/>
        <w:spacing w:before="100" w:beforeAutospacing="1" w:after="100" w:afterAutospacing="1"/>
        <w:rPr>
          <w:rFonts w:cs="Arial"/>
          <w:sz w:val="22"/>
          <w:szCs w:val="22"/>
          <w:lang w:val="es-ES"/>
        </w:rPr>
      </w:pPr>
      <w:r w:rsidRPr="007528E0">
        <w:rPr>
          <w:rFonts w:cs="Arial"/>
          <w:b/>
          <w:bCs/>
          <w:sz w:val="22"/>
          <w:szCs w:val="22"/>
          <w:lang w:val="es-ES"/>
        </w:rPr>
        <w:t xml:space="preserve">Bebida alcohólica falsificada o adulterada: </w:t>
      </w:r>
      <w:r w:rsidRPr="007528E0">
        <w:rPr>
          <w:rFonts w:cs="Arial"/>
          <w:bCs/>
          <w:sz w:val="22"/>
          <w:szCs w:val="22"/>
          <w:lang w:val="es-ES"/>
        </w:rPr>
        <w:t>E</w:t>
      </w:r>
      <w:r w:rsidRPr="007528E0">
        <w:rPr>
          <w:rFonts w:cs="Arial"/>
          <w:sz w:val="22"/>
          <w:szCs w:val="22"/>
          <w:lang w:val="es-ES"/>
        </w:rPr>
        <w:t xml:space="preserve">s aquella bebida alcohólica que: </w:t>
      </w:r>
    </w:p>
    <w:p w14:paraId="72DC4322" w14:textId="77777777" w:rsidR="0037398A" w:rsidRPr="007528E0" w:rsidRDefault="0037398A" w:rsidP="0037398A">
      <w:pPr>
        <w:widowControl w:val="0"/>
        <w:numPr>
          <w:ilvl w:val="2"/>
          <w:numId w:val="4"/>
        </w:numPr>
        <w:tabs>
          <w:tab w:val="clear" w:pos="2227"/>
          <w:tab w:val="num" w:pos="142"/>
        </w:tabs>
        <w:autoSpaceDE w:val="0"/>
        <w:autoSpaceDN w:val="0"/>
        <w:adjustRightInd w:val="0"/>
        <w:spacing w:before="100" w:beforeAutospacing="1" w:after="100" w:afterAutospacing="1"/>
        <w:ind w:left="426" w:hanging="426"/>
        <w:rPr>
          <w:rFonts w:cs="Arial"/>
          <w:sz w:val="22"/>
          <w:szCs w:val="22"/>
          <w:lang w:val="es-ES"/>
        </w:rPr>
      </w:pPr>
      <w:r w:rsidRPr="007528E0">
        <w:rPr>
          <w:rFonts w:cs="Arial"/>
          <w:sz w:val="22"/>
          <w:szCs w:val="22"/>
          <w:lang w:val="es-ES"/>
        </w:rPr>
        <w:t>Se designa o expende con nombre o calificativo distinto al que le corresponde.</w:t>
      </w:r>
    </w:p>
    <w:p w14:paraId="07087507" w14:textId="77777777" w:rsidR="0037398A" w:rsidRPr="007528E0" w:rsidRDefault="0037398A" w:rsidP="0037398A">
      <w:pPr>
        <w:widowControl w:val="0"/>
        <w:numPr>
          <w:ilvl w:val="2"/>
          <w:numId w:val="4"/>
        </w:numPr>
        <w:tabs>
          <w:tab w:val="clear" w:pos="2227"/>
          <w:tab w:val="num" w:pos="142"/>
        </w:tabs>
        <w:autoSpaceDE w:val="0"/>
        <w:autoSpaceDN w:val="0"/>
        <w:adjustRightInd w:val="0"/>
        <w:spacing w:before="100" w:beforeAutospacing="1" w:after="100" w:afterAutospacing="1"/>
        <w:ind w:left="426" w:hanging="426"/>
        <w:rPr>
          <w:rFonts w:cs="Arial"/>
          <w:sz w:val="22"/>
          <w:szCs w:val="22"/>
          <w:lang w:val="es-ES"/>
        </w:rPr>
      </w:pPr>
      <w:r w:rsidRPr="007528E0">
        <w:rPr>
          <w:rFonts w:cs="Arial"/>
          <w:sz w:val="22"/>
          <w:szCs w:val="22"/>
          <w:lang w:val="es-ES"/>
        </w:rPr>
        <w:t>En su envase, rotulo o etiqueta contiene diseño o declaración ambigua, falsa o que pueda inducir o producir engaño o confusión respecto de su composición intrínseca y uso.</w:t>
      </w:r>
    </w:p>
    <w:p w14:paraId="6A7E42D1" w14:textId="77777777" w:rsidR="0037398A" w:rsidRPr="007528E0" w:rsidRDefault="0037398A" w:rsidP="0037398A">
      <w:pPr>
        <w:widowControl w:val="0"/>
        <w:numPr>
          <w:ilvl w:val="2"/>
          <w:numId w:val="4"/>
        </w:numPr>
        <w:tabs>
          <w:tab w:val="clear" w:pos="2227"/>
          <w:tab w:val="num" w:pos="142"/>
        </w:tabs>
        <w:autoSpaceDE w:val="0"/>
        <w:autoSpaceDN w:val="0"/>
        <w:adjustRightInd w:val="0"/>
        <w:spacing w:before="100" w:beforeAutospacing="1" w:after="100" w:afterAutospacing="1"/>
        <w:ind w:left="426" w:hanging="426"/>
        <w:rPr>
          <w:rFonts w:cs="Arial"/>
          <w:sz w:val="22"/>
          <w:szCs w:val="22"/>
          <w:lang w:val="es-ES"/>
        </w:rPr>
      </w:pPr>
      <w:r w:rsidRPr="007528E0">
        <w:rPr>
          <w:rFonts w:cs="Arial"/>
          <w:sz w:val="22"/>
          <w:szCs w:val="22"/>
          <w:lang w:val="es-ES"/>
        </w:rPr>
        <w:t>No procede de sus verdaderos fabricantes o que tiene la apariencia y caracteres generales de un producto legítimo, protegido o no por marca registrada y que se denomine como este, sin serlo</w:t>
      </w:r>
      <w:r w:rsidRPr="007528E0">
        <w:rPr>
          <w:rFonts w:cs="Arial"/>
          <w:sz w:val="22"/>
          <w:szCs w:val="22"/>
          <w:lang w:val="es-ES"/>
        </w:rPr>
        <w:fldChar w:fldCharType="begin" w:fldLock="1"/>
      </w:r>
      <w:r w:rsidRPr="007528E0">
        <w:rPr>
          <w:rFonts w:cs="Arial"/>
          <w:sz w:val="22"/>
          <w:szCs w:val="22"/>
          <w:lang w:val="es-ES"/>
        </w:rPr>
        <w:instrText>ADDIN CSL_CITATION { "citationItems" : [ { "id" : "ITEM-1", "itemData" : { "author" : [ { "dropping-particle" : "", "family" : "Ministerio de la Protecci\u00f3n Social", "given" : "M.", "non-dropping-particle" : "", "parse-names" : false, "suffix" : "" } ], "id" : "ITEM-1", "issued" : { "date-parts" : [ [ "2012" ] ] }, "title" : "Decreto 1686 de 2012. Por el cual se establece el reglamento t\u00e9cnico sobre los requisitos sanitarios que se deben cumplir para la fabricaci\u00f3n, elaboraci\u00f3n, hidrataci\u00f3n, envase, almacenamiento, distribuci\u00f3n, transporte, comercializaci\u00f3n, expendio, exportac", "type" : "report" }, "uris" : [ "http://www.mendeley.com/documents/?uuid=43537163-243c-4dce-ae3c-6da7d512f4d8" ] } ], "mendeley" : { "formattedCitation" : "(4)", "plainTextFormattedCitation" : "(4)", "previouslyFormattedCitation" : "(4)" }, "properties" : { "noteIndex" : 0 }, "schema" : "https://github.com/citation-style-language/schema/raw/master/csl-citation.json" }</w:instrText>
      </w:r>
      <w:r w:rsidRPr="007528E0">
        <w:rPr>
          <w:rFonts w:cs="Arial"/>
          <w:sz w:val="22"/>
          <w:szCs w:val="22"/>
          <w:lang w:val="es-ES"/>
        </w:rPr>
        <w:fldChar w:fldCharType="separate"/>
      </w:r>
      <w:r w:rsidRPr="007528E0">
        <w:rPr>
          <w:rFonts w:cs="Arial"/>
          <w:noProof/>
          <w:sz w:val="22"/>
          <w:szCs w:val="22"/>
          <w:lang w:val="es-ES"/>
        </w:rPr>
        <w:t>(4)</w:t>
      </w:r>
      <w:r w:rsidRPr="007528E0">
        <w:rPr>
          <w:rFonts w:cs="Arial"/>
          <w:sz w:val="22"/>
          <w:szCs w:val="22"/>
          <w:lang w:val="es-ES"/>
        </w:rPr>
        <w:fldChar w:fldCharType="end"/>
      </w:r>
      <w:r w:rsidRPr="007528E0">
        <w:rPr>
          <w:rFonts w:cs="Arial"/>
          <w:sz w:val="22"/>
          <w:szCs w:val="22"/>
          <w:lang w:val="es-ES"/>
        </w:rPr>
        <w:t>.</w:t>
      </w:r>
    </w:p>
    <w:p w14:paraId="08D62B63" w14:textId="77777777" w:rsidR="0037398A" w:rsidRPr="007528E0" w:rsidRDefault="0037398A" w:rsidP="0037398A">
      <w:pPr>
        <w:widowControl w:val="0"/>
        <w:autoSpaceDE w:val="0"/>
        <w:autoSpaceDN w:val="0"/>
        <w:adjustRightInd w:val="0"/>
        <w:spacing w:before="100" w:beforeAutospacing="1" w:after="100" w:afterAutospacing="1"/>
        <w:rPr>
          <w:rFonts w:cs="Arial"/>
          <w:sz w:val="22"/>
          <w:szCs w:val="22"/>
          <w:lang w:val="es-ES"/>
        </w:rPr>
      </w:pPr>
      <w:r w:rsidRPr="007528E0">
        <w:rPr>
          <w:rFonts w:cs="Arial"/>
          <w:b/>
          <w:bCs/>
          <w:sz w:val="22"/>
          <w:szCs w:val="22"/>
          <w:lang w:val="es-ES"/>
        </w:rPr>
        <w:t>Bebida alcohólica fraudulenta</w:t>
      </w:r>
      <w:r w:rsidRPr="007528E0">
        <w:rPr>
          <w:rFonts w:cs="Arial"/>
          <w:bCs/>
          <w:sz w:val="22"/>
          <w:szCs w:val="22"/>
          <w:lang w:val="es-ES"/>
        </w:rPr>
        <w:t xml:space="preserve">: </w:t>
      </w:r>
      <w:r w:rsidRPr="007528E0">
        <w:rPr>
          <w:rFonts w:cs="Arial"/>
          <w:sz w:val="22"/>
          <w:szCs w:val="22"/>
          <w:lang w:val="es-ES"/>
        </w:rPr>
        <w:t>Es aquella bebida alcohólica que:</w:t>
      </w:r>
    </w:p>
    <w:p w14:paraId="1B4B382E" w14:textId="77777777" w:rsidR="0037398A" w:rsidRPr="007528E0" w:rsidRDefault="0037398A" w:rsidP="0037398A">
      <w:pPr>
        <w:widowControl w:val="0"/>
        <w:numPr>
          <w:ilvl w:val="3"/>
          <w:numId w:val="4"/>
        </w:numPr>
        <w:tabs>
          <w:tab w:val="clear" w:pos="2520"/>
          <w:tab w:val="num" w:pos="426"/>
        </w:tabs>
        <w:autoSpaceDE w:val="0"/>
        <w:autoSpaceDN w:val="0"/>
        <w:adjustRightInd w:val="0"/>
        <w:spacing w:before="100" w:beforeAutospacing="1" w:after="100" w:afterAutospacing="1"/>
        <w:ind w:hanging="2520"/>
        <w:rPr>
          <w:rFonts w:cs="Arial"/>
          <w:sz w:val="22"/>
          <w:szCs w:val="22"/>
          <w:lang w:val="es-ES"/>
        </w:rPr>
      </w:pPr>
      <w:r w:rsidRPr="007528E0">
        <w:rPr>
          <w:rFonts w:cs="Arial"/>
          <w:sz w:val="22"/>
          <w:szCs w:val="22"/>
          <w:lang w:val="es-ES"/>
        </w:rPr>
        <w:t xml:space="preserve">No posee registro sanitario. </w:t>
      </w:r>
    </w:p>
    <w:p w14:paraId="2FB6ED91" w14:textId="77777777" w:rsidR="0037398A" w:rsidRPr="007528E0" w:rsidRDefault="0037398A" w:rsidP="0037398A">
      <w:pPr>
        <w:widowControl w:val="0"/>
        <w:numPr>
          <w:ilvl w:val="3"/>
          <w:numId w:val="4"/>
        </w:numPr>
        <w:tabs>
          <w:tab w:val="clear" w:pos="2520"/>
          <w:tab w:val="num" w:pos="426"/>
        </w:tabs>
        <w:autoSpaceDE w:val="0"/>
        <w:autoSpaceDN w:val="0"/>
        <w:adjustRightInd w:val="0"/>
        <w:spacing w:before="100" w:beforeAutospacing="1" w:after="100" w:afterAutospacing="1"/>
        <w:ind w:left="426" w:hanging="426"/>
        <w:rPr>
          <w:rFonts w:cs="Arial"/>
          <w:sz w:val="22"/>
          <w:szCs w:val="22"/>
          <w:lang w:val="es-ES"/>
        </w:rPr>
      </w:pPr>
      <w:r w:rsidRPr="007528E0">
        <w:rPr>
          <w:rFonts w:cs="Arial"/>
          <w:sz w:val="22"/>
          <w:szCs w:val="22"/>
          <w:lang w:val="es-ES"/>
        </w:rPr>
        <w:t xml:space="preserve">Es importada sin el cumplimiento de los requisitos señalados por las normas sanitarias vigentes. </w:t>
      </w:r>
    </w:p>
    <w:p w14:paraId="17C497A3" w14:textId="77777777" w:rsidR="0037398A" w:rsidRPr="007528E0" w:rsidRDefault="0037398A" w:rsidP="0037398A">
      <w:pPr>
        <w:widowControl w:val="0"/>
        <w:numPr>
          <w:ilvl w:val="3"/>
          <w:numId w:val="4"/>
        </w:numPr>
        <w:tabs>
          <w:tab w:val="clear" w:pos="2520"/>
          <w:tab w:val="num" w:pos="426"/>
        </w:tabs>
        <w:autoSpaceDE w:val="0"/>
        <w:autoSpaceDN w:val="0"/>
        <w:adjustRightInd w:val="0"/>
        <w:spacing w:before="100" w:beforeAutospacing="1" w:after="100" w:afterAutospacing="1"/>
        <w:ind w:left="426" w:hanging="426"/>
        <w:rPr>
          <w:rFonts w:cs="Arial"/>
          <w:sz w:val="22"/>
          <w:szCs w:val="22"/>
          <w:lang w:val="es-ES"/>
        </w:rPr>
      </w:pPr>
      <w:r w:rsidRPr="007528E0">
        <w:rPr>
          <w:rFonts w:cs="Arial"/>
          <w:sz w:val="22"/>
          <w:szCs w:val="22"/>
          <w:lang w:val="es-ES"/>
        </w:rPr>
        <w:t xml:space="preserve">Incumple con los requisitos exigidos por la legislación sanitaria vigente. </w:t>
      </w:r>
    </w:p>
    <w:p w14:paraId="6BFA1863" w14:textId="77777777" w:rsidR="0037398A" w:rsidRPr="007528E0" w:rsidRDefault="0037398A" w:rsidP="0037398A">
      <w:pPr>
        <w:widowControl w:val="0"/>
        <w:numPr>
          <w:ilvl w:val="3"/>
          <w:numId w:val="4"/>
        </w:numPr>
        <w:tabs>
          <w:tab w:val="clear" w:pos="2520"/>
          <w:tab w:val="num" w:pos="426"/>
        </w:tabs>
        <w:autoSpaceDE w:val="0"/>
        <w:autoSpaceDN w:val="0"/>
        <w:adjustRightInd w:val="0"/>
        <w:spacing w:before="100" w:beforeAutospacing="1" w:after="100" w:afterAutospacing="1"/>
        <w:ind w:left="426" w:hanging="426"/>
        <w:rPr>
          <w:rFonts w:cs="Arial"/>
          <w:sz w:val="22"/>
          <w:szCs w:val="22"/>
          <w:lang w:val="es-ES"/>
        </w:rPr>
      </w:pPr>
      <w:r w:rsidRPr="007528E0">
        <w:rPr>
          <w:rFonts w:cs="Arial"/>
          <w:sz w:val="22"/>
          <w:szCs w:val="22"/>
          <w:lang w:val="es-ES"/>
        </w:rPr>
        <w:t xml:space="preserve">Se designa, comercializa, distribuye, expende o suministra con nombre o calificativo distinto al aprobado por la autoridad sanitaria. </w:t>
      </w:r>
    </w:p>
    <w:p w14:paraId="74867570" w14:textId="77777777" w:rsidR="0037398A" w:rsidRPr="007528E0" w:rsidRDefault="0037398A" w:rsidP="0037398A">
      <w:pPr>
        <w:widowControl w:val="0"/>
        <w:numPr>
          <w:ilvl w:val="3"/>
          <w:numId w:val="4"/>
        </w:numPr>
        <w:tabs>
          <w:tab w:val="clear" w:pos="2520"/>
          <w:tab w:val="num" w:pos="426"/>
        </w:tabs>
        <w:autoSpaceDE w:val="0"/>
        <w:autoSpaceDN w:val="0"/>
        <w:adjustRightInd w:val="0"/>
        <w:spacing w:before="100" w:beforeAutospacing="1" w:after="100" w:afterAutospacing="1"/>
        <w:ind w:left="426" w:hanging="426"/>
        <w:rPr>
          <w:rFonts w:cs="Arial"/>
          <w:sz w:val="22"/>
          <w:szCs w:val="22"/>
          <w:lang w:val="es-ES"/>
        </w:rPr>
      </w:pPr>
      <w:r w:rsidRPr="007528E0">
        <w:rPr>
          <w:rFonts w:cs="Arial"/>
          <w:sz w:val="22"/>
          <w:szCs w:val="22"/>
          <w:lang w:val="es-ES"/>
        </w:rPr>
        <w:t xml:space="preserve">En su envase o rotulo contiene diseño o declaraciones que puedan inducir a engaño respecto de su composición u origen. </w:t>
      </w:r>
    </w:p>
    <w:p w14:paraId="6554440B" w14:textId="77777777" w:rsidR="0037398A" w:rsidRPr="007528E0" w:rsidRDefault="0037398A" w:rsidP="0037398A">
      <w:pPr>
        <w:widowControl w:val="0"/>
        <w:numPr>
          <w:ilvl w:val="3"/>
          <w:numId w:val="4"/>
        </w:numPr>
        <w:tabs>
          <w:tab w:val="clear" w:pos="2520"/>
          <w:tab w:val="num" w:pos="426"/>
        </w:tabs>
        <w:autoSpaceDE w:val="0"/>
        <w:autoSpaceDN w:val="0"/>
        <w:adjustRightInd w:val="0"/>
        <w:spacing w:before="100" w:beforeAutospacing="1" w:after="100" w:afterAutospacing="1"/>
        <w:ind w:left="426" w:hanging="426"/>
        <w:rPr>
          <w:rFonts w:cs="Arial"/>
          <w:sz w:val="22"/>
          <w:szCs w:val="22"/>
          <w:lang w:val="es-ES"/>
        </w:rPr>
      </w:pPr>
      <w:r w:rsidRPr="007528E0">
        <w:rPr>
          <w:rFonts w:cs="Arial"/>
          <w:sz w:val="22"/>
          <w:szCs w:val="22"/>
          <w:lang w:val="es-ES"/>
        </w:rPr>
        <w:t xml:space="preserve">Requiere declarar fecha de vencimiento y se comercializa cuando esta haya expirado. </w:t>
      </w:r>
    </w:p>
    <w:p w14:paraId="6CC34BA9" w14:textId="77777777" w:rsidR="0037398A" w:rsidRPr="007528E0" w:rsidRDefault="0037398A" w:rsidP="0037398A">
      <w:pPr>
        <w:widowControl w:val="0"/>
        <w:numPr>
          <w:ilvl w:val="3"/>
          <w:numId w:val="4"/>
        </w:numPr>
        <w:tabs>
          <w:tab w:val="clear" w:pos="2520"/>
          <w:tab w:val="num" w:pos="426"/>
        </w:tabs>
        <w:autoSpaceDE w:val="0"/>
        <w:autoSpaceDN w:val="0"/>
        <w:adjustRightInd w:val="0"/>
        <w:spacing w:before="100" w:beforeAutospacing="1" w:after="100" w:afterAutospacing="1"/>
        <w:ind w:left="426" w:hanging="426"/>
        <w:rPr>
          <w:rFonts w:cs="Arial"/>
          <w:sz w:val="22"/>
          <w:szCs w:val="22"/>
          <w:lang w:val="es-ES"/>
        </w:rPr>
      </w:pPr>
      <w:r w:rsidRPr="007528E0">
        <w:rPr>
          <w:rFonts w:cs="Arial"/>
          <w:sz w:val="22"/>
          <w:szCs w:val="22"/>
          <w:lang w:val="es-ES"/>
        </w:rPr>
        <w:t>Tiene apariencia y características aprobadas por la autoridad sanitaria sin serlo y que no procede de los verdaderos fabricantes</w:t>
      </w:r>
      <w:r w:rsidRPr="007528E0">
        <w:rPr>
          <w:rFonts w:cs="Arial"/>
          <w:sz w:val="22"/>
          <w:szCs w:val="22"/>
          <w:lang w:val="es-ES"/>
        </w:rPr>
        <w:fldChar w:fldCharType="begin" w:fldLock="1"/>
      </w:r>
      <w:r w:rsidRPr="007528E0">
        <w:rPr>
          <w:rFonts w:cs="Arial"/>
          <w:sz w:val="22"/>
          <w:szCs w:val="22"/>
          <w:lang w:val="es-ES"/>
        </w:rPr>
        <w:instrText>ADDIN CSL_CITATION { "citationItems" : [ { "id" : "ITEM-1", "itemData" : { "author" : [ { "dropping-particle" : "", "family" : "Ministerio de la Protecci\u00f3n Social", "given" : "M.", "non-dropping-particle" : "", "parse-names" : false, "suffix" : "" } ], "id" : "ITEM-1", "issued" : { "date-parts" : [ [ "2012" ] ] }, "title" : "Decreto 1686 de 2012. Por el cual se establece el reglamento t\u00e9cnico sobre los requisitos sanitarios que se deben cumplir para la fabricaci\u00f3n, elaboraci\u00f3n, hidrataci\u00f3n, envase, almacenamiento, distribuci\u00f3n, transporte, comercializaci\u00f3n, expendio, exportac", "type" : "report" }, "uris" : [ "http://www.mendeley.com/documents/?uuid=43537163-243c-4dce-ae3c-6da7d512f4d8" ] } ], "mendeley" : { "formattedCitation" : "(4)", "plainTextFormattedCitation" : "(4)", "previouslyFormattedCitation" : "(4)" }, "properties" : { "noteIndex" : 0 }, "schema" : "https://github.com/citation-style-language/schema/raw/master/csl-citation.json" }</w:instrText>
      </w:r>
      <w:r w:rsidRPr="007528E0">
        <w:rPr>
          <w:rFonts w:cs="Arial"/>
          <w:sz w:val="22"/>
          <w:szCs w:val="22"/>
          <w:lang w:val="es-ES"/>
        </w:rPr>
        <w:fldChar w:fldCharType="separate"/>
      </w:r>
      <w:r w:rsidRPr="007528E0">
        <w:rPr>
          <w:rFonts w:cs="Arial"/>
          <w:noProof/>
          <w:sz w:val="22"/>
          <w:szCs w:val="22"/>
          <w:lang w:val="es-ES"/>
        </w:rPr>
        <w:t>(4)</w:t>
      </w:r>
      <w:r w:rsidRPr="007528E0">
        <w:rPr>
          <w:rFonts w:cs="Arial"/>
          <w:sz w:val="22"/>
          <w:szCs w:val="22"/>
          <w:lang w:val="es-ES"/>
        </w:rPr>
        <w:fldChar w:fldCharType="end"/>
      </w:r>
    </w:p>
    <w:p w14:paraId="1B3A814A" w14:textId="77777777" w:rsidR="0037398A" w:rsidRPr="007528E0" w:rsidRDefault="0037398A" w:rsidP="0037398A">
      <w:pPr>
        <w:widowControl w:val="0"/>
        <w:autoSpaceDE w:val="0"/>
        <w:autoSpaceDN w:val="0"/>
        <w:adjustRightInd w:val="0"/>
        <w:spacing w:before="100" w:beforeAutospacing="1" w:after="100" w:afterAutospacing="1"/>
        <w:rPr>
          <w:rFonts w:cs="Arial"/>
          <w:sz w:val="22"/>
          <w:szCs w:val="22"/>
        </w:rPr>
      </w:pPr>
      <w:r w:rsidRPr="007528E0">
        <w:rPr>
          <w:rFonts w:cs="Arial"/>
          <w:b/>
          <w:sz w:val="22"/>
          <w:szCs w:val="22"/>
        </w:rPr>
        <w:t>Biocida</w:t>
      </w:r>
      <w:r w:rsidRPr="007528E0">
        <w:rPr>
          <w:rFonts w:cs="Arial"/>
          <w:sz w:val="22"/>
          <w:szCs w:val="22"/>
        </w:rPr>
        <w:t xml:space="preserve">: Sustancia para matar organismos vivos </w:t>
      </w:r>
      <w:r w:rsidRPr="007528E0">
        <w:rPr>
          <w:rFonts w:cs="Arial"/>
          <w:sz w:val="22"/>
          <w:szCs w:val="22"/>
        </w:rPr>
        <w:fldChar w:fldCharType="begin" w:fldLock="1"/>
      </w:r>
      <w:r w:rsidRPr="007528E0">
        <w:rPr>
          <w:rFonts w:cs="Arial"/>
          <w:sz w:val="22"/>
          <w:szCs w:val="22"/>
        </w:rPr>
        <w:instrText>ADDIN CSL_CITATION { "citationItems" : [ { "id" : "ITEM-1", "itemData" : { "ISBN" : "1569730873", "author" : [ { "dropping-particle" : "", "family" : "Repetto", "given" : "Robert", "non-dropping-particle" : "", "parse-names" : false, "suffix" : "" }, { "dropping-particle" : "", "family" : "Baliga", "given" : "Sanjay S", "non-dropping-particle" : "", "parse-names" : false, "suffix" : "" } ], "id" : "ITEM-1", "issued" : { "date-parts" : [ [ "1996" ] ] }, "number-of-pages" : "109", "title" : "Pesticides and the immune system: the public healt risks", "type" : "book" }, "uris" : [ "http://www.mendeley.com/documents/?uuid=577567b3-c38a-4289-a6d0-20f00ba2f498" ] } ], "mendeley" : { "formattedCitation" : "(2)", "plainTextFormattedCitation" : "(2)", "previouslyFormattedCitation" : "(2)" }, "properties" : { "noteIndex" : 0 }, "schema" : "https://github.com/citation-style-language/schema/raw/master/csl-citation.json" }</w:instrText>
      </w:r>
      <w:r w:rsidRPr="007528E0">
        <w:rPr>
          <w:rFonts w:cs="Arial"/>
          <w:sz w:val="22"/>
          <w:szCs w:val="22"/>
        </w:rPr>
        <w:fldChar w:fldCharType="separate"/>
      </w:r>
      <w:r w:rsidRPr="007528E0">
        <w:rPr>
          <w:rFonts w:cs="Arial"/>
          <w:noProof/>
          <w:sz w:val="22"/>
          <w:szCs w:val="22"/>
        </w:rPr>
        <w:t>(2)</w:t>
      </w:r>
      <w:r w:rsidRPr="007528E0">
        <w:rPr>
          <w:rFonts w:cs="Arial"/>
          <w:sz w:val="22"/>
          <w:szCs w:val="22"/>
        </w:rPr>
        <w:fldChar w:fldCharType="end"/>
      </w:r>
      <w:r w:rsidRPr="007528E0">
        <w:rPr>
          <w:rFonts w:cs="Arial"/>
          <w:sz w:val="22"/>
          <w:szCs w:val="22"/>
        </w:rPr>
        <w:fldChar w:fldCharType="begin"/>
      </w:r>
      <w:r w:rsidRPr="007528E0">
        <w:rPr>
          <w:rFonts w:cs="Arial"/>
          <w:sz w:val="22"/>
          <w:szCs w:val="22"/>
        </w:rPr>
        <w:instrText xml:space="preserve"> ADDIN EN.CITE &lt;EndNote&gt;&lt;Cite&gt;&lt;Author&gt;Repetto&lt;/Author&gt;&lt;Year&gt;1995&lt;/Year&gt;&lt;RecNum&gt;2471&lt;/RecNum&gt;&lt;DisplayText&gt;(8)&lt;/DisplayText&gt;&lt;record&gt;&lt;rec-number&gt;2471&lt;/rec-number&gt;&lt;foreign-keys&gt;&lt;key app="EN" db-id="009rpx2x4zssace5atw5zppkzpwrsdtvxpdr"&gt;2471&lt;/key&gt;&lt;/foreign-keys&gt;&lt;ref-type name="Manuscript"&gt;36&lt;/ref-type&gt;&lt;contributors&gt;&lt;authors&gt;&lt;author&gt;Repetto, M.&lt;/author&gt;&lt;author&gt;Sanz, P.&lt;/author&gt;&lt;/authors&gt;&lt;/contributors&gt;&lt;titles&gt;&lt;title&gt;Glosario de términos usados en toxicología. Recomendaciones de la IUPAC 1993. Versión española. AET&lt;/title&gt;&lt;/titles&gt;&lt;dates&gt;&lt;year&gt;1995&lt;/year&gt;&lt;/dates&gt;&lt;urls&gt;&lt;/urls&gt;&lt;/record&gt;&lt;/Cite&gt;&lt;/EndNote&gt;</w:instrText>
      </w:r>
      <w:r w:rsidRPr="007528E0">
        <w:rPr>
          <w:rFonts w:cs="Arial"/>
          <w:sz w:val="22"/>
          <w:szCs w:val="22"/>
        </w:rPr>
        <w:fldChar w:fldCharType="end"/>
      </w:r>
      <w:r w:rsidRPr="007528E0">
        <w:rPr>
          <w:rFonts w:cs="Arial"/>
          <w:sz w:val="22"/>
          <w:szCs w:val="22"/>
        </w:rPr>
        <w:t>.</w:t>
      </w:r>
    </w:p>
    <w:p w14:paraId="2E7EC721" w14:textId="77777777" w:rsidR="0037398A" w:rsidRPr="007528E0" w:rsidRDefault="0037398A" w:rsidP="0037398A">
      <w:pPr>
        <w:widowControl w:val="0"/>
        <w:autoSpaceDE w:val="0"/>
        <w:autoSpaceDN w:val="0"/>
        <w:adjustRightInd w:val="0"/>
        <w:spacing w:before="100" w:beforeAutospacing="1" w:after="100" w:afterAutospacing="1"/>
        <w:rPr>
          <w:rFonts w:cs="Arial"/>
          <w:sz w:val="22"/>
          <w:szCs w:val="22"/>
          <w:lang w:val="es-ES"/>
        </w:rPr>
      </w:pPr>
      <w:r w:rsidRPr="007528E0">
        <w:rPr>
          <w:rFonts w:cs="Arial"/>
          <w:b/>
          <w:sz w:val="22"/>
          <w:szCs w:val="22"/>
        </w:rPr>
        <w:t xml:space="preserve">Biomarcador: </w:t>
      </w:r>
      <w:r w:rsidRPr="007528E0">
        <w:rPr>
          <w:rFonts w:cs="Arial"/>
          <w:sz w:val="22"/>
          <w:szCs w:val="22"/>
        </w:rPr>
        <w:t xml:space="preserve">Parámetro que puede utilizarse para identificar un efecto toxico en un organismo, y puede permitir la extrapolación </w:t>
      </w:r>
      <w:proofErr w:type="spellStart"/>
      <w:r w:rsidRPr="007528E0">
        <w:rPr>
          <w:rFonts w:cs="Arial"/>
          <w:sz w:val="22"/>
          <w:szCs w:val="22"/>
        </w:rPr>
        <w:t>interespecies</w:t>
      </w:r>
      <w:proofErr w:type="spellEnd"/>
      <w:r w:rsidRPr="007528E0">
        <w:rPr>
          <w:rFonts w:cs="Arial"/>
          <w:sz w:val="22"/>
          <w:szCs w:val="22"/>
        </w:rPr>
        <w:t xml:space="preserve">. También se define como un indicador que señala un acontecimiento o una situación en una muestra o sistema biológico y proporciona una medida de la exposición, el efecto o la susceptibilidad </w:t>
      </w:r>
      <w:r w:rsidRPr="007528E0">
        <w:rPr>
          <w:rFonts w:cs="Arial"/>
          <w:sz w:val="22"/>
          <w:szCs w:val="22"/>
        </w:rPr>
        <w:fldChar w:fldCharType="begin" w:fldLock="1"/>
      </w:r>
      <w:r w:rsidRPr="007528E0">
        <w:rPr>
          <w:rFonts w:cs="Arial"/>
          <w:sz w:val="22"/>
          <w:szCs w:val="22"/>
        </w:rPr>
        <w:instrText>ADDIN CSL_CITATION { "citationItems" : [ { "id" : "ITEM-1", "itemData" : { "author" : [ { "dropping-particle" : "", "family" : "Aristiz\u00e1bal, H.J., A.L. Pe\u00f1a", "given" : "et al.", "non-dropping-particle" : "", "parse-names" : false, "suffix" : "" } ], "id" : "ITEM-1", "issued" : { "date-parts" : [ [ "0" ] ] }, "title" : "Diagn\u00f3stico cl\u00ednico del paciente intoxicado, in Toxicolog\u00eda cl\u00ednica", "type" : "book" }, "uris" : [ "http://www.mendeley.com/documents/?uuid=1bb4ec25-6eb8-44f7-95b0-a44d560158ae" ] } ], "mendeley" : { "formattedCitation" : "(5)", "plainTextFormattedCitation" : "(5)", "previouslyFormattedCitation" : "(5)" }, "properties" : { "noteIndex" : 0 }, "schema" : "https://github.com/citation-style-language/schema/raw/master/csl-citation.json" }</w:instrText>
      </w:r>
      <w:r w:rsidRPr="007528E0">
        <w:rPr>
          <w:rFonts w:cs="Arial"/>
          <w:sz w:val="22"/>
          <w:szCs w:val="22"/>
        </w:rPr>
        <w:fldChar w:fldCharType="separate"/>
      </w:r>
      <w:r w:rsidRPr="007528E0">
        <w:rPr>
          <w:rFonts w:cs="Arial"/>
          <w:noProof/>
          <w:sz w:val="22"/>
          <w:szCs w:val="22"/>
        </w:rPr>
        <w:t>(5)</w:t>
      </w:r>
      <w:r w:rsidRPr="007528E0">
        <w:rPr>
          <w:rFonts w:cs="Arial"/>
          <w:sz w:val="22"/>
          <w:szCs w:val="22"/>
        </w:rPr>
        <w:fldChar w:fldCharType="end"/>
      </w:r>
      <w:r w:rsidRPr="007528E0">
        <w:rPr>
          <w:rFonts w:cs="Arial"/>
          <w:sz w:val="22"/>
          <w:szCs w:val="22"/>
        </w:rPr>
        <w:fldChar w:fldCharType="begin"/>
      </w:r>
      <w:r w:rsidRPr="007528E0">
        <w:rPr>
          <w:rFonts w:cs="Arial"/>
          <w:sz w:val="22"/>
          <w:szCs w:val="22"/>
        </w:rPr>
        <w:instrText xml:space="preserve"> ADDIN EN.CITE &lt;EndNote&gt;&lt;Cite&gt;&lt;Author&gt;Peña&lt;/Author&gt;&lt;Year&gt;2010&lt;/Year&gt;&lt;RecNum&gt;36&lt;/RecNum&gt;&lt;record&gt;&lt;rec-number&gt;36&lt;/rec-number&gt;&lt;foreign-keys&gt;&lt;key app="EN" db-id="ddpe5f20rxpzfme5vd9vtzvts0derwa25asd"&gt;36&lt;/key&gt;&lt;/foreign-keys&gt;&lt;ref-type name="Book"&gt;6&lt;/ref-type&gt;&lt;contributors&gt;&lt;authors&gt;&lt;author&gt;Peña, Lina Maria&lt;/author&gt;&lt;author&gt;Hoyos, Claudia Lucia Arroyave&lt;/author&gt;&lt;author&gt;Hernandez, Jose Julian Aristizabal&lt;/author&gt;&lt;author&gt;Calzada, Ubier Eduardo Gomez&lt;/author&gt;&lt;/authors&gt;&lt;/contributors&gt;&lt;titles&gt;&lt;title&gt;Toxicología clínica. Diagnóstico del paciente intoxicado.&lt;/title&gt;&lt;/titles&gt;&lt;dates&gt;&lt;year&gt;2010&lt;/year&gt;&lt;/dates&gt;&lt;publisher&gt;CIB (Corporación para Investigaciones Biológicas)&lt;/publisher&gt;&lt;isbn&gt;9589076440&lt;/isbn&gt;&lt;urls&gt;&lt;/urls&gt;&lt;/record&gt;&lt;/Cite&gt;&lt;/EndNote&gt;</w:instrText>
      </w:r>
      <w:r w:rsidRPr="007528E0">
        <w:rPr>
          <w:rFonts w:cs="Arial"/>
          <w:sz w:val="22"/>
          <w:szCs w:val="22"/>
        </w:rPr>
        <w:fldChar w:fldCharType="end"/>
      </w:r>
      <w:r w:rsidRPr="007528E0">
        <w:rPr>
          <w:rFonts w:cs="Arial"/>
          <w:sz w:val="22"/>
          <w:szCs w:val="22"/>
        </w:rPr>
        <w:t>.</w:t>
      </w:r>
    </w:p>
    <w:p w14:paraId="50AA0F42" w14:textId="77777777" w:rsidR="0037398A" w:rsidRPr="007528E0" w:rsidRDefault="0037398A" w:rsidP="0037398A">
      <w:pPr>
        <w:spacing w:before="100" w:beforeAutospacing="1" w:after="100" w:afterAutospacing="1"/>
        <w:rPr>
          <w:rFonts w:eastAsia="Calibri" w:cs="Arial"/>
          <w:sz w:val="22"/>
          <w:szCs w:val="22"/>
          <w:vertAlign w:val="superscript"/>
          <w:lang w:val="es-CO" w:eastAsia="es-CO"/>
        </w:rPr>
      </w:pPr>
      <w:r w:rsidRPr="007528E0">
        <w:rPr>
          <w:rFonts w:eastAsia="Calibri" w:cs="Arial"/>
          <w:b/>
          <w:bCs/>
          <w:sz w:val="22"/>
          <w:szCs w:val="22"/>
          <w:lang w:val="es-CO" w:eastAsia="es-CO"/>
        </w:rPr>
        <w:t xml:space="preserve">Droga: </w:t>
      </w:r>
      <w:r w:rsidRPr="007528E0">
        <w:rPr>
          <w:rFonts w:eastAsia="Calibri" w:cs="Arial"/>
          <w:bCs/>
          <w:sz w:val="22"/>
          <w:szCs w:val="22"/>
          <w:lang w:val="es-CO" w:eastAsia="es-CO"/>
        </w:rPr>
        <w:t>Es</w:t>
      </w:r>
      <w:r w:rsidRPr="007528E0">
        <w:rPr>
          <w:rFonts w:eastAsia="Calibri" w:cs="Arial"/>
          <w:sz w:val="22"/>
          <w:szCs w:val="22"/>
          <w:lang w:val="es-CO" w:eastAsia="es-CO"/>
        </w:rPr>
        <w:t xml:space="preserve"> toda sustancia que introducida en el organismo, puede alterar una o varias de sus funciones; de modo que droga es sinónimo de fármaco y así se usa en la literatura en inglés (</w:t>
      </w:r>
      <w:proofErr w:type="spellStart"/>
      <w:r w:rsidRPr="007528E0">
        <w:rPr>
          <w:rFonts w:eastAsia="Calibri" w:cs="Arial"/>
          <w:sz w:val="22"/>
          <w:szCs w:val="22"/>
          <w:lang w:val="es-CO" w:eastAsia="es-CO"/>
        </w:rPr>
        <w:t>drug</w:t>
      </w:r>
      <w:proofErr w:type="spellEnd"/>
      <w:r w:rsidRPr="007528E0">
        <w:rPr>
          <w:rFonts w:eastAsia="Calibri" w:cs="Arial"/>
          <w:sz w:val="22"/>
          <w:szCs w:val="22"/>
          <w:lang w:val="es-CO" w:eastAsia="es-CO"/>
        </w:rPr>
        <w:t xml:space="preserve">) </w:t>
      </w:r>
      <w:r w:rsidRPr="007528E0">
        <w:rPr>
          <w:rFonts w:eastAsia="Calibri" w:cs="Arial"/>
          <w:sz w:val="22"/>
          <w:szCs w:val="22"/>
          <w:lang w:val="es-CO" w:eastAsia="es-CO"/>
        </w:rPr>
        <w:fldChar w:fldCharType="begin" w:fldLock="1"/>
      </w:r>
      <w:r w:rsidRPr="007528E0">
        <w:rPr>
          <w:rFonts w:eastAsia="Calibri" w:cs="Arial"/>
          <w:sz w:val="22"/>
          <w:szCs w:val="22"/>
          <w:lang w:val="es-CO" w:eastAsia="es-CO"/>
        </w:rPr>
        <w:instrText>ADDIN CSL_CITATION { "citationItems" : [ { "id" : "ITEM-1", "itemData" : { "author" : [ { "dropping-particle" : "", "family" : "Lorenzo Fern\u00e1ndez, P. et al.", "given" : "", "non-dropping-particle" : "", "parse-names" : false, "suffix" : "" } ], "container-title" : "Madrid, Espa\u00f1a: Panamericana.", "id" : "ITEM-1", "issued" : { "date-parts" : [ [ "2009" ] ] }, "title" : "Drogodependencias. 3th ed.", "type" : "article-journal" }, "uris" : [ "http://www.mendeley.com/documents/?uuid=de6b20fa-0ac3-4149-8839-58eceddf562a" ] } ], "mendeley" : { "formattedCitation" : "(6)", "plainTextFormattedCitation" : "(6)", "previouslyFormattedCitation" : "(6)" }, "properties" : { "noteIndex" : 0 }, "schema" : "https://github.com/citation-style-language/schema/raw/master/csl-citation.json" }</w:instrText>
      </w:r>
      <w:r w:rsidRPr="007528E0">
        <w:rPr>
          <w:rFonts w:eastAsia="Calibri" w:cs="Arial"/>
          <w:sz w:val="22"/>
          <w:szCs w:val="22"/>
          <w:lang w:val="es-CO" w:eastAsia="es-CO"/>
        </w:rPr>
        <w:fldChar w:fldCharType="separate"/>
      </w:r>
      <w:r w:rsidRPr="007528E0">
        <w:rPr>
          <w:rFonts w:eastAsia="Calibri" w:cs="Arial"/>
          <w:noProof/>
          <w:sz w:val="22"/>
          <w:szCs w:val="22"/>
          <w:lang w:val="es-CO" w:eastAsia="es-CO"/>
        </w:rPr>
        <w:t>(6)</w:t>
      </w:r>
      <w:r w:rsidRPr="007528E0">
        <w:rPr>
          <w:rFonts w:eastAsia="Calibri" w:cs="Arial"/>
          <w:sz w:val="22"/>
          <w:szCs w:val="22"/>
          <w:lang w:val="es-CO" w:eastAsia="es-CO"/>
        </w:rPr>
        <w:fldChar w:fldCharType="end"/>
      </w:r>
      <w:r w:rsidRPr="007528E0">
        <w:rPr>
          <w:rFonts w:eastAsia="Calibri" w:cs="Arial"/>
          <w:sz w:val="22"/>
          <w:szCs w:val="22"/>
          <w:lang w:val="es-CO" w:eastAsia="es-CO"/>
        </w:rPr>
        <w:t xml:space="preserve">. En su uso común, el término hace referencia a las sustancias psicoactivas y específicamente a las ilícitas. Sin embargo, la cafeína, el tabaco, el alcohol y otras sustancias que se usan frecuentemente sin fines terapéuticos (uso no médico) son también drogas en el sentido de que se toman básicamente por sus efectos psicoactivos </w:t>
      </w:r>
      <w:r w:rsidRPr="007528E0">
        <w:rPr>
          <w:rFonts w:eastAsia="Calibri" w:cs="Arial"/>
          <w:sz w:val="22"/>
          <w:szCs w:val="22"/>
          <w:lang w:val="es-CO" w:eastAsia="es-CO"/>
        </w:rPr>
        <w:lastRenderedPageBreak/>
        <w:fldChar w:fldCharType="begin" w:fldLock="1"/>
      </w:r>
      <w:r w:rsidRPr="007528E0">
        <w:rPr>
          <w:rFonts w:eastAsia="Calibri" w:cs="Arial"/>
          <w:sz w:val="22"/>
          <w:szCs w:val="22"/>
          <w:lang w:val="es-CO" w:eastAsia="es-CO"/>
        </w:rPr>
        <w:instrText>ADDIN CSL_CITATION { "citationItems" : [ { "id" : "ITEM-1", "itemData" : { "author" : [ { "dropping-particle" : "", "family" : "Babor, T.", "given" : "et al.", "non-dropping-particle" : "", "parse-names" : false, "suffix" : "" } ], "id" : "ITEM-1", "issued" : { "date-parts" : [ [ "1994" ] ] }, "title" : "Lexicon of alcohol and drug terms World Health Organization", "type" : "report" }, "uris" : [ "http://www.mendeley.com/documents/?uuid=c24305d3-5e13-4660-894b-92d3e548309e" ] } ], "mendeley" : { "formattedCitation" : "(7)", "plainTextFormattedCitation" : "(7)", "previouslyFormattedCitation" : "(7)" }, "properties" : { "noteIndex" : 0 }, "schema" : "https://github.com/citation-style-language/schema/raw/master/csl-citation.json" }</w:instrText>
      </w:r>
      <w:r w:rsidRPr="007528E0">
        <w:rPr>
          <w:rFonts w:eastAsia="Calibri" w:cs="Arial"/>
          <w:sz w:val="22"/>
          <w:szCs w:val="22"/>
          <w:lang w:val="es-CO" w:eastAsia="es-CO"/>
        </w:rPr>
        <w:fldChar w:fldCharType="separate"/>
      </w:r>
      <w:r w:rsidRPr="007528E0">
        <w:rPr>
          <w:rFonts w:eastAsia="Calibri" w:cs="Arial"/>
          <w:noProof/>
          <w:sz w:val="22"/>
          <w:szCs w:val="22"/>
          <w:lang w:val="es-CO" w:eastAsia="es-CO"/>
        </w:rPr>
        <w:t>(7)</w:t>
      </w:r>
      <w:r w:rsidRPr="007528E0">
        <w:rPr>
          <w:rFonts w:eastAsia="Calibri" w:cs="Arial"/>
          <w:sz w:val="22"/>
          <w:szCs w:val="22"/>
          <w:lang w:val="es-CO" w:eastAsia="es-CO"/>
        </w:rPr>
        <w:fldChar w:fldCharType="end"/>
      </w:r>
      <w:r w:rsidRPr="007528E0">
        <w:rPr>
          <w:rFonts w:eastAsia="Calibri" w:cs="Arial"/>
          <w:sz w:val="22"/>
          <w:szCs w:val="22"/>
          <w:lang w:val="es-CO" w:eastAsia="es-CO"/>
        </w:rPr>
        <w:t xml:space="preserve">. En la declaración sobre Reducción de la Demanda de Drogas </w:t>
      </w:r>
      <w:r w:rsidRPr="007528E0">
        <w:rPr>
          <w:rFonts w:eastAsia="Calibri" w:cs="Arial"/>
          <w:sz w:val="22"/>
          <w:szCs w:val="22"/>
          <w:lang w:val="es-CO" w:eastAsia="es-CO"/>
        </w:rPr>
        <w:fldChar w:fldCharType="begin" w:fldLock="1"/>
      </w:r>
      <w:r w:rsidRPr="007528E0">
        <w:rPr>
          <w:rFonts w:eastAsia="Calibri" w:cs="Arial"/>
          <w:sz w:val="22"/>
          <w:szCs w:val="22"/>
          <w:lang w:val="es-CO" w:eastAsia="es-CO"/>
        </w:rPr>
        <w:instrText>ADDIN CSL_CITATION { "citationItems" : [ { "id" : "ITEM-1", "itemData" : { "author" : [ { "dropping-particle" : "", "family" : "World Health Organization, UNEP United Nations Environment Programme", "given" : "IOMC Inter-Organization Programme for the Sound Management of Chemicals.", "non-dropping-particle" : "", "parse-names" : false, "suffix" : "" } ], "id" : "ITEM-1", "issued" : { "date-parts" : [ [ "2008" ] ] }, "title" : "Guidance for identifying populations at risk from mercury exposure", "type" : "report" }, "uris" : [ "http://www.mendeley.com/documents/?uuid=c50a56d5-f616-44ce-8b30-980960c5e9b0" ] } ], "mendeley" : { "formattedCitation" : "(8)", "plainTextFormattedCitation" : "(8)", "previouslyFormattedCitation" : "(8)" }, "properties" : { "noteIndex" : 0 }, "schema" : "https://github.com/citation-style-language/schema/raw/master/csl-citation.json" }</w:instrText>
      </w:r>
      <w:r w:rsidRPr="007528E0">
        <w:rPr>
          <w:rFonts w:eastAsia="Calibri" w:cs="Arial"/>
          <w:sz w:val="22"/>
          <w:szCs w:val="22"/>
          <w:lang w:val="es-CO" w:eastAsia="es-CO"/>
        </w:rPr>
        <w:fldChar w:fldCharType="separate"/>
      </w:r>
      <w:r w:rsidRPr="007528E0">
        <w:rPr>
          <w:rFonts w:eastAsia="Calibri" w:cs="Arial"/>
          <w:noProof/>
          <w:sz w:val="22"/>
          <w:szCs w:val="22"/>
          <w:lang w:val="es-CO" w:eastAsia="es-CO"/>
        </w:rPr>
        <w:t>(8)</w:t>
      </w:r>
      <w:r w:rsidRPr="007528E0">
        <w:rPr>
          <w:rFonts w:eastAsia="Calibri" w:cs="Arial"/>
          <w:sz w:val="22"/>
          <w:szCs w:val="22"/>
          <w:lang w:val="es-CO" w:eastAsia="es-CO"/>
        </w:rPr>
        <w:fldChar w:fldCharType="end"/>
      </w:r>
      <w:r w:rsidRPr="007528E0">
        <w:rPr>
          <w:rFonts w:eastAsia="Calibri" w:cs="Arial"/>
          <w:sz w:val="22"/>
          <w:szCs w:val="22"/>
          <w:lang w:val="es-CO" w:eastAsia="es-CO"/>
        </w:rPr>
        <w:fldChar w:fldCharType="begin"/>
      </w:r>
      <w:r w:rsidRPr="007528E0">
        <w:rPr>
          <w:rFonts w:eastAsia="Calibri" w:cs="Arial"/>
          <w:sz w:val="22"/>
          <w:szCs w:val="22"/>
          <w:lang w:val="es-CO" w:eastAsia="es-CO"/>
        </w:rPr>
        <w:instrText xml:space="preserve"> ADDIN EN.CITE &lt;EndNote&gt;&lt;Cite&gt;&lt;Author&gt;United Nations Office for Drug Control and Crime Prevention&lt;/Author&gt;&lt;Year&gt;2000&lt;/Year&gt;&lt;RecNum&gt;40&lt;/RecNum&gt;&lt;record&gt;&lt;rec-number&gt;40&lt;/rec-number&gt;&lt;foreign-keys&gt;&lt;key app="EN" db-id="ddpe5f20rxpzfme5vd9vtzvts0derwa25asd"&gt;40&lt;/key&gt;&lt;/foreign-keys&gt;&lt;ref-type name="Report"&gt;27&lt;/ref-type&gt;&lt;contributors&gt;&lt;authors&gt;&lt;author&gt;United Nations Office for Drug Control and Crime Prevention, UNODCCP.&lt;/author&gt;&lt;/authors&gt;&lt;/contributors&gt;&lt;titles&gt;&lt;title&gt;Guidelines. ODCCP Studies on Drugs and Crime. A Glossary of terms&lt;/title&gt;&lt;/titles&gt;&lt;dates&gt;&lt;year&gt;2000&lt;/year&gt;&lt;/dates&gt;&lt;pub-location&gt;New York&lt;/pub-location&gt;&lt;urls&gt;&lt;related-urls&gt;&lt;url&gt;&lt;style face="underline" font="default" size="100%"&gt;&amp;lt;http://www.unodc.org/pdf/report_2000-11-30_1.pdf&amp;gt;&lt;/style&gt;&lt;style face="normal" font="default" size="100%"&gt;&lt;/style&gt;&lt;/url&gt;&lt;/related-urls&gt;&lt;/urls&gt;&lt;/record&gt;&lt;/Cite&gt;&lt;/EndNote&gt;</w:instrText>
      </w:r>
      <w:r w:rsidRPr="007528E0">
        <w:rPr>
          <w:rFonts w:eastAsia="Calibri" w:cs="Arial"/>
          <w:sz w:val="22"/>
          <w:szCs w:val="22"/>
          <w:lang w:val="es-CO" w:eastAsia="es-CO"/>
        </w:rPr>
        <w:fldChar w:fldCharType="end"/>
      </w:r>
      <w:r w:rsidRPr="007528E0">
        <w:rPr>
          <w:rFonts w:eastAsia="Calibri" w:cs="Arial"/>
          <w:sz w:val="22"/>
          <w:szCs w:val="22"/>
          <w:lang w:val="es-CO" w:eastAsia="es-CO"/>
        </w:rPr>
        <w:t>, el término se refiere a sustancias ilícitas que son objeto de control internacional (estupefacientes).</w:t>
      </w:r>
    </w:p>
    <w:p w14:paraId="271841C0" w14:textId="77777777" w:rsidR="0037398A" w:rsidRPr="007528E0" w:rsidRDefault="0037398A" w:rsidP="0037398A">
      <w:pPr>
        <w:autoSpaceDE w:val="0"/>
        <w:autoSpaceDN w:val="0"/>
        <w:spacing w:before="100" w:beforeAutospacing="1" w:after="100" w:afterAutospacing="1"/>
        <w:rPr>
          <w:rFonts w:eastAsia="Calibri" w:cs="Arial"/>
          <w:sz w:val="22"/>
          <w:szCs w:val="22"/>
        </w:rPr>
      </w:pPr>
      <w:r w:rsidRPr="007528E0">
        <w:rPr>
          <w:rFonts w:eastAsia="Calibri" w:cs="Arial"/>
          <w:b/>
          <w:sz w:val="22"/>
          <w:szCs w:val="22"/>
        </w:rPr>
        <w:t>Droga Blanca:</w:t>
      </w:r>
      <w:r w:rsidRPr="007528E0">
        <w:rPr>
          <w:rFonts w:eastAsia="Calibri" w:cs="Arial"/>
          <w:sz w:val="22"/>
          <w:szCs w:val="22"/>
        </w:rPr>
        <w:t xml:space="preserve"> Es la materia prima para preparar formula magistrales tales como: Aceite de Almendras, Aceite de Manzanilla, Aceite Mineral, Ácido Bórico, Alumbre en Barra o en Pasta, Azufre, Bicarbonato de Sodio, Bórax, Glicerina Pura, Sal de Nitro, Sulfato de Magnesio, </w:t>
      </w:r>
      <w:proofErr w:type="spellStart"/>
      <w:r w:rsidRPr="007528E0">
        <w:rPr>
          <w:rFonts w:eastAsia="Calibri" w:cs="Arial"/>
          <w:sz w:val="22"/>
          <w:szCs w:val="22"/>
        </w:rPr>
        <w:t>Storaque</w:t>
      </w:r>
      <w:proofErr w:type="spellEnd"/>
      <w:r w:rsidRPr="007528E0">
        <w:rPr>
          <w:rFonts w:eastAsia="Calibri" w:cs="Arial"/>
          <w:sz w:val="22"/>
          <w:szCs w:val="22"/>
        </w:rPr>
        <w:t xml:space="preserve">, Vaselina Pura, Agua de Rosas, Formol, Ácido Acético, Amoniaco, Sal Nitro, Sulfato de Cobre, Blanco de Zinc, Sulfato de Soda, Sal </w:t>
      </w:r>
      <w:proofErr w:type="spellStart"/>
      <w:r w:rsidRPr="007528E0">
        <w:rPr>
          <w:rFonts w:eastAsia="Calibri" w:cs="Arial"/>
          <w:sz w:val="22"/>
          <w:szCs w:val="22"/>
        </w:rPr>
        <w:t>Bigua</w:t>
      </w:r>
      <w:proofErr w:type="spellEnd"/>
      <w:r w:rsidRPr="007528E0">
        <w:rPr>
          <w:rFonts w:eastAsia="Calibri" w:cs="Arial"/>
          <w:sz w:val="22"/>
          <w:szCs w:val="22"/>
        </w:rPr>
        <w:t xml:space="preserve">, Azul de Metileno y otros </w:t>
      </w:r>
      <w:r w:rsidRPr="007528E0">
        <w:rPr>
          <w:rFonts w:eastAsia="Calibri" w:cs="Arial"/>
          <w:sz w:val="22"/>
          <w:szCs w:val="22"/>
        </w:rPr>
        <w:fldChar w:fldCharType="begin" w:fldLock="1"/>
      </w:r>
      <w:r w:rsidRPr="007528E0">
        <w:rPr>
          <w:rFonts w:eastAsia="Calibri" w:cs="Arial"/>
          <w:sz w:val="22"/>
          <w:szCs w:val="22"/>
        </w:rPr>
        <w:instrText>ADDIN CSL_CITATION { "citationItems" : [ { "id" : "ITEM-1", "itemData" : { "author" : [ { "dropping-particle" : "", "family" : "Alimentos", "given" : "Instituto Nacional de Vigilancia de Medicamentos y", "non-dropping-particle" : "", "parse-names" : false, "suffix" : "" } ], "id" : "ITEM-1", "issued" : { "date-parts" : [ [ "1999" ] ] }, "title" : "esoluci\u00f3n 243630. Mediante la cual se acogen unos conceptos.", "type" : "report" }, "uris" : [ "http://www.mendeley.com/documents/?uuid=9acaaa68-2973-4472-891d-2d464dfa0a0c" ] } ], "mendeley" : { "formattedCitation" : "(9)", "plainTextFormattedCitation" : "(9)", "previouslyFormattedCitation" : "(9)" }, "properties" : { "noteIndex" : 0 }, "schema" : "https://github.com/citation-style-language/schema/raw/master/csl-citation.json" }</w:instrText>
      </w:r>
      <w:r w:rsidRPr="007528E0">
        <w:rPr>
          <w:rFonts w:eastAsia="Calibri" w:cs="Arial"/>
          <w:sz w:val="22"/>
          <w:szCs w:val="22"/>
        </w:rPr>
        <w:fldChar w:fldCharType="separate"/>
      </w:r>
      <w:r w:rsidRPr="007528E0">
        <w:rPr>
          <w:rFonts w:eastAsia="Calibri" w:cs="Arial"/>
          <w:noProof/>
          <w:sz w:val="22"/>
          <w:szCs w:val="22"/>
        </w:rPr>
        <w:t>(9)</w:t>
      </w:r>
      <w:r w:rsidRPr="007528E0">
        <w:rPr>
          <w:rFonts w:eastAsia="Calibri" w:cs="Arial"/>
          <w:sz w:val="22"/>
          <w:szCs w:val="22"/>
        </w:rPr>
        <w:fldChar w:fldCharType="end"/>
      </w:r>
      <w:r w:rsidRPr="007528E0">
        <w:rPr>
          <w:rFonts w:eastAsia="Calibri" w:cs="Arial"/>
          <w:sz w:val="22"/>
          <w:szCs w:val="22"/>
        </w:rPr>
        <w:t xml:space="preserve">. </w:t>
      </w:r>
    </w:p>
    <w:p w14:paraId="689F365E" w14:textId="77777777" w:rsidR="0037398A" w:rsidRPr="007528E0" w:rsidRDefault="0037398A" w:rsidP="0037398A">
      <w:pPr>
        <w:autoSpaceDE w:val="0"/>
        <w:autoSpaceDN w:val="0"/>
        <w:spacing w:before="100" w:beforeAutospacing="1" w:after="100" w:afterAutospacing="1"/>
        <w:rPr>
          <w:rFonts w:eastAsia="Calibri" w:cs="Arial"/>
          <w:sz w:val="22"/>
          <w:szCs w:val="22"/>
          <w:lang w:val="es-CO" w:eastAsia="es-CO"/>
        </w:rPr>
      </w:pPr>
      <w:r w:rsidRPr="007528E0">
        <w:rPr>
          <w:rFonts w:eastAsia="Calibri" w:cs="Arial"/>
          <w:b/>
          <w:bCs/>
          <w:sz w:val="22"/>
          <w:szCs w:val="22"/>
          <w:lang w:val="es-CO" w:eastAsia="es-CO"/>
        </w:rPr>
        <w:t xml:space="preserve">Drogas ilegales: </w:t>
      </w:r>
      <w:r w:rsidRPr="007528E0">
        <w:rPr>
          <w:rFonts w:eastAsia="Calibri" w:cs="Arial"/>
          <w:sz w:val="22"/>
          <w:szCs w:val="22"/>
          <w:lang w:val="es-CO" w:eastAsia="es-CO"/>
        </w:rPr>
        <w:t>Sustancia psicoactiva cuya producción, venta (no necesariamente su consumo) está prohibido por la legislación con carácter general. Una droga incluida en las listas de los acuerdos internacionales sobre control de drogas, sólo puede ser denominada ilegal (o ilícita) si su origen es ilícito. Si su origen es legal, entonces la droga en sí misma no es ilícita, pero lo pueden ser su venta o uso en determinadas circunstancias (menores de edad)</w:t>
      </w:r>
      <w:r w:rsidRPr="007528E0">
        <w:rPr>
          <w:rFonts w:eastAsia="Calibri" w:cs="Arial"/>
          <w:sz w:val="22"/>
          <w:szCs w:val="22"/>
          <w:lang w:val="es-CO" w:eastAsia="es-CO"/>
        </w:rPr>
        <w:fldChar w:fldCharType="begin" w:fldLock="1"/>
      </w:r>
      <w:r w:rsidRPr="007528E0">
        <w:rPr>
          <w:rFonts w:eastAsia="Calibri" w:cs="Arial"/>
          <w:sz w:val="22"/>
          <w:szCs w:val="22"/>
          <w:lang w:val="es-CO" w:eastAsia="es-CO"/>
        </w:rPr>
        <w:instrText>ADDIN CSL_CITATION { "citationItems" : [ { "id" : "ITEM-1", "itemData" : { "author" : [ { "dropping-particle" : "", "family" : "Babor, T.", "given" : "et al.", "non-dropping-particle" : "", "parse-names" : false, "suffix" : "" } ], "id" : "ITEM-1", "issued" : { "date-parts" : [ [ "1994" ] ] }, "title" : "Lexicon of alcohol and drug terms World Health Organization", "type" : "report" }, "uris" : [ "http://www.mendeley.com/documents/?uuid=c24305d3-5e13-4660-894b-92d3e548309e" ] } ], "mendeley" : { "formattedCitation" : "(7)", "plainTextFormattedCitation" : "(7)", "previouslyFormattedCitation" : "(7)" }, "properties" : { "noteIndex" : 0 }, "schema" : "https://github.com/citation-style-language/schema/raw/master/csl-citation.json" }</w:instrText>
      </w:r>
      <w:r w:rsidRPr="007528E0">
        <w:rPr>
          <w:rFonts w:eastAsia="Calibri" w:cs="Arial"/>
          <w:sz w:val="22"/>
          <w:szCs w:val="22"/>
          <w:lang w:val="es-CO" w:eastAsia="es-CO"/>
        </w:rPr>
        <w:fldChar w:fldCharType="separate"/>
      </w:r>
      <w:r w:rsidRPr="007528E0">
        <w:rPr>
          <w:rFonts w:eastAsia="Calibri" w:cs="Arial"/>
          <w:noProof/>
          <w:sz w:val="22"/>
          <w:szCs w:val="22"/>
          <w:lang w:val="es-CO" w:eastAsia="es-CO"/>
        </w:rPr>
        <w:t>(7)</w:t>
      </w:r>
      <w:r w:rsidRPr="007528E0">
        <w:rPr>
          <w:rFonts w:eastAsia="Calibri" w:cs="Arial"/>
          <w:sz w:val="22"/>
          <w:szCs w:val="22"/>
          <w:lang w:val="es-CO" w:eastAsia="es-CO"/>
        </w:rPr>
        <w:fldChar w:fldCharType="end"/>
      </w:r>
      <w:r w:rsidRPr="007528E0">
        <w:rPr>
          <w:rFonts w:eastAsia="Calibri" w:cs="Arial"/>
          <w:sz w:val="22"/>
          <w:szCs w:val="22"/>
          <w:lang w:val="es-CO" w:eastAsia="es-CO"/>
        </w:rPr>
        <w:fldChar w:fldCharType="begin" w:fldLock="1"/>
      </w:r>
      <w:r w:rsidRPr="007528E0">
        <w:rPr>
          <w:rFonts w:eastAsia="Calibri" w:cs="Arial"/>
          <w:sz w:val="22"/>
          <w:szCs w:val="22"/>
          <w:lang w:val="es-CO" w:eastAsia="es-CO"/>
        </w:rPr>
        <w:instrText>ADDIN CSL_CITATION { "citationItems" : [ { "id" : "ITEM-1", "itemData" : { "author" : [ { "dropping-particle" : "", "family" : "ODCCP", "given" : "United Nations Office for Drug Control and Crime Prevention Guidelines.", "non-dropping-particle" : "", "parse-names" : false, "suffix" : "" } ], "id" : "ITEM-1", "issued" : { "date-parts" : [ [ "2000" ] ] }, "title" : "Studies on Drugs and Crime. A Glossary of terms. New York.", "type" : "report" }, "uris" : [ "http://www.mendeley.com/documents/?uuid=d251cd91-da88-4078-aeee-b99e5eaecf24" ] } ], "mendeley" : { "formattedCitation" : "(10)", "plainTextFormattedCitation" : "(10)", "previouslyFormattedCitation" : "(10)" }, "properties" : { "noteIndex" : 0 }, "schema" : "https://github.com/citation-style-language/schema/raw/master/csl-citation.json" }</w:instrText>
      </w:r>
      <w:r w:rsidRPr="007528E0">
        <w:rPr>
          <w:rFonts w:eastAsia="Calibri" w:cs="Arial"/>
          <w:sz w:val="22"/>
          <w:szCs w:val="22"/>
          <w:lang w:val="es-CO" w:eastAsia="es-CO"/>
        </w:rPr>
        <w:fldChar w:fldCharType="separate"/>
      </w:r>
      <w:r w:rsidRPr="007528E0">
        <w:rPr>
          <w:rFonts w:eastAsia="Calibri" w:cs="Arial"/>
          <w:noProof/>
          <w:sz w:val="22"/>
          <w:szCs w:val="22"/>
          <w:lang w:val="es-CO" w:eastAsia="es-CO"/>
        </w:rPr>
        <w:t>(10)</w:t>
      </w:r>
      <w:r w:rsidRPr="007528E0">
        <w:rPr>
          <w:rFonts w:eastAsia="Calibri" w:cs="Arial"/>
          <w:sz w:val="22"/>
          <w:szCs w:val="22"/>
          <w:lang w:val="es-CO" w:eastAsia="es-CO"/>
        </w:rPr>
        <w:fldChar w:fldCharType="end"/>
      </w:r>
      <w:r w:rsidRPr="007528E0">
        <w:rPr>
          <w:rFonts w:eastAsia="Calibri" w:cs="Arial"/>
          <w:sz w:val="22"/>
          <w:szCs w:val="22"/>
          <w:lang w:val="es-CO" w:eastAsia="es-CO"/>
        </w:rPr>
        <w:t xml:space="preserve">. </w:t>
      </w:r>
    </w:p>
    <w:p w14:paraId="3EF5A943" w14:textId="77777777" w:rsidR="0037398A" w:rsidRPr="007528E0" w:rsidRDefault="0037398A" w:rsidP="0037398A">
      <w:pPr>
        <w:autoSpaceDE w:val="0"/>
        <w:autoSpaceDN w:val="0"/>
        <w:spacing w:before="100" w:beforeAutospacing="1" w:after="100" w:afterAutospacing="1"/>
        <w:rPr>
          <w:rFonts w:eastAsia="Calibri" w:cs="Arial"/>
          <w:sz w:val="22"/>
          <w:szCs w:val="22"/>
          <w:lang w:val="es-CO" w:eastAsia="es-CO"/>
        </w:rPr>
      </w:pPr>
      <w:r w:rsidRPr="007528E0">
        <w:rPr>
          <w:rFonts w:eastAsia="Calibri" w:cs="Arial"/>
          <w:b/>
          <w:bCs/>
          <w:sz w:val="22"/>
          <w:szCs w:val="22"/>
          <w:lang w:val="es-CO" w:eastAsia="es-CO"/>
        </w:rPr>
        <w:t xml:space="preserve">Drogas legales: </w:t>
      </w:r>
      <w:r w:rsidRPr="007528E0">
        <w:rPr>
          <w:rFonts w:eastAsia="Calibri" w:cs="Arial"/>
          <w:sz w:val="22"/>
          <w:szCs w:val="22"/>
          <w:lang w:val="es-CO" w:eastAsia="es-CO"/>
        </w:rPr>
        <w:t xml:space="preserve">son aquellas sustancias psicoactivas cuya producción, venta y consumo no están prohibidos por la legislación (por ejemplo, el tabaco o el alcohol). En algunos casos su comercialización o uso, pueden estar sometidos a restricciones en función de determinadas circunstancias (horarios o tipos de establecimiento de venta, edad de los consumidores, etc.). En el caso de los fármacos, generalmente su venta legal está sometida a la prescripción facultativa </w:t>
      </w:r>
      <w:r w:rsidRPr="007528E0">
        <w:rPr>
          <w:rFonts w:eastAsia="Calibri" w:cs="Arial"/>
          <w:sz w:val="22"/>
          <w:szCs w:val="22"/>
          <w:lang w:val="es-CO" w:eastAsia="es-CO"/>
        </w:rPr>
        <w:fldChar w:fldCharType="begin" w:fldLock="1"/>
      </w:r>
      <w:r w:rsidRPr="007528E0">
        <w:rPr>
          <w:rFonts w:eastAsia="Calibri" w:cs="Arial"/>
          <w:sz w:val="22"/>
          <w:szCs w:val="22"/>
          <w:lang w:val="es-CO" w:eastAsia="es-CO"/>
        </w:rPr>
        <w:instrText>ADDIN CSL_CITATION { "citationItems" : [ { "id" : "ITEM-1", "itemData" : { "author" : [ { "dropping-particle" : "", "family" : "Babor, T.", "given" : "et al.", "non-dropping-particle" : "", "parse-names" : false, "suffix" : "" } ], "id" : "ITEM-1", "issued" : { "date-parts" : [ [ "1994" ] ] }, "title" : "Lexicon of alcohol and drug terms World Health Organization", "type" : "report" }, "uris" : [ "http://www.mendeley.com/documents/?uuid=c24305d3-5e13-4660-894b-92d3e548309e" ] } ], "mendeley" : { "formattedCitation" : "(7)", "plainTextFormattedCitation" : "(7)", "previouslyFormattedCitation" : "(7)" }, "properties" : { "noteIndex" : 0 }, "schema" : "https://github.com/citation-style-language/schema/raw/master/csl-citation.json" }</w:instrText>
      </w:r>
      <w:r w:rsidRPr="007528E0">
        <w:rPr>
          <w:rFonts w:eastAsia="Calibri" w:cs="Arial"/>
          <w:sz w:val="22"/>
          <w:szCs w:val="22"/>
          <w:lang w:val="es-CO" w:eastAsia="es-CO"/>
        </w:rPr>
        <w:fldChar w:fldCharType="separate"/>
      </w:r>
      <w:r w:rsidRPr="007528E0">
        <w:rPr>
          <w:rFonts w:eastAsia="Calibri" w:cs="Arial"/>
          <w:noProof/>
          <w:sz w:val="22"/>
          <w:szCs w:val="22"/>
          <w:lang w:val="es-CO" w:eastAsia="es-CO"/>
        </w:rPr>
        <w:t>(7)</w:t>
      </w:r>
      <w:r w:rsidRPr="007528E0">
        <w:rPr>
          <w:rFonts w:eastAsia="Calibri" w:cs="Arial"/>
          <w:sz w:val="22"/>
          <w:szCs w:val="22"/>
          <w:lang w:val="es-CO" w:eastAsia="es-CO"/>
        </w:rPr>
        <w:fldChar w:fldCharType="end"/>
      </w:r>
      <w:r w:rsidRPr="007528E0">
        <w:rPr>
          <w:rFonts w:eastAsia="Calibri" w:cs="Arial"/>
          <w:sz w:val="22"/>
          <w:szCs w:val="22"/>
          <w:lang w:val="es-CO" w:eastAsia="es-CO"/>
        </w:rPr>
        <w:fldChar w:fldCharType="begin" w:fldLock="1"/>
      </w:r>
      <w:r w:rsidRPr="007528E0">
        <w:rPr>
          <w:rFonts w:eastAsia="Calibri" w:cs="Arial"/>
          <w:sz w:val="22"/>
          <w:szCs w:val="22"/>
          <w:lang w:val="es-CO" w:eastAsia="es-CO"/>
        </w:rPr>
        <w:instrText>ADDIN CSL_CITATION { "citationItems" : [ { "id" : "ITEM-1", "itemData" : { "author" : [ { "dropping-particle" : "", "family" : "ODCCP", "given" : "United Nations Office for Drug Control and Crime Prevention Guidelines.", "non-dropping-particle" : "", "parse-names" : false, "suffix" : "" } ], "id" : "ITEM-1", "issued" : { "date-parts" : [ [ "2000" ] ] }, "title" : "Studies on Drugs and Crime. A Glossary of terms. New York.", "type" : "report" }, "uris" : [ "http://www.mendeley.com/documents/?uuid=d251cd91-da88-4078-aeee-b99e5eaecf24" ] } ], "mendeley" : { "formattedCitation" : "(10)", "plainTextFormattedCitation" : "(10)", "previouslyFormattedCitation" : "(10)" }, "properties" : { "noteIndex" : 0 }, "schema" : "https://github.com/citation-style-language/schema/raw/master/csl-citation.json" }</w:instrText>
      </w:r>
      <w:r w:rsidRPr="007528E0">
        <w:rPr>
          <w:rFonts w:eastAsia="Calibri" w:cs="Arial"/>
          <w:sz w:val="22"/>
          <w:szCs w:val="22"/>
          <w:lang w:val="es-CO" w:eastAsia="es-CO"/>
        </w:rPr>
        <w:fldChar w:fldCharType="separate"/>
      </w:r>
      <w:r w:rsidRPr="007528E0">
        <w:rPr>
          <w:rFonts w:eastAsia="Calibri" w:cs="Arial"/>
          <w:noProof/>
          <w:sz w:val="22"/>
          <w:szCs w:val="22"/>
          <w:lang w:val="es-CO" w:eastAsia="es-CO"/>
        </w:rPr>
        <w:t>(10)</w:t>
      </w:r>
      <w:r w:rsidRPr="007528E0">
        <w:rPr>
          <w:rFonts w:eastAsia="Calibri" w:cs="Arial"/>
          <w:sz w:val="22"/>
          <w:szCs w:val="22"/>
          <w:lang w:val="es-CO" w:eastAsia="es-CO"/>
        </w:rPr>
        <w:fldChar w:fldCharType="end"/>
      </w:r>
      <w:r w:rsidRPr="007528E0">
        <w:rPr>
          <w:rFonts w:eastAsia="Calibri" w:cs="Arial"/>
          <w:sz w:val="22"/>
          <w:szCs w:val="22"/>
          <w:lang w:val="es-CO" w:eastAsia="es-CO"/>
        </w:rPr>
        <w:fldChar w:fldCharType="begin"/>
      </w:r>
      <w:r w:rsidRPr="007528E0">
        <w:rPr>
          <w:rFonts w:eastAsia="Calibri" w:cs="Arial"/>
          <w:sz w:val="22"/>
          <w:szCs w:val="22"/>
          <w:lang w:val="es-CO" w:eastAsia="es-CO"/>
        </w:rPr>
        <w:instrText xml:space="preserve"> ADDIN EN.CITE &lt;EndNote&gt;&lt;Cite&gt;&lt;Author&gt;United Nations Office for Drug Control and Crime Prevention&lt;/Author&gt;&lt;Year&gt;2000&lt;/Year&gt;&lt;RecNum&gt;40&lt;/RecNum&gt;&lt;record&gt;&lt;rec-number&gt;40&lt;/rec-number&gt;&lt;foreign-keys&gt;&lt;key app="EN" db-id="ddpe5f20rxpzfme5vd9vtzvts0derwa25asd"&gt;40&lt;/key&gt;&lt;/foreign-keys&gt;&lt;ref-type name="Report"&gt;27&lt;/ref-type&gt;&lt;contributors&gt;&lt;authors&gt;&lt;author&gt;United Nations Office for Drug Control and Crime Prevention, UNODCCP.&lt;/author&gt;&lt;/authors&gt;&lt;/contributors&gt;&lt;titles&gt;&lt;title&gt;Guidelines. ODCCP Studies on Drugs and Crime. A Glossary of terms&lt;/title&gt;&lt;/titles&gt;&lt;dates&gt;&lt;year&gt;2000&lt;/year&gt;&lt;/dates&gt;&lt;pub-location&gt;New York&lt;/pub-location&gt;&lt;urls&gt;&lt;related-urls&gt;&lt;url&gt;&lt;style face="underline" font="default" size="100%"&gt;&amp;lt;http://www.unodc.org/pdf/report_2000-11-30_1.pdf&amp;gt;&lt;/style&gt;&lt;style face="normal" font="default" size="100%"&gt;&lt;/style&gt;&lt;/url&gt;&lt;/related-urls&gt;&lt;/urls&gt;&lt;/record&gt;&lt;/Cite&gt;&lt;Cite&gt;&lt;Author&gt;Babor&lt;/Author&gt;&lt;Year&gt;1994&lt;/Year&gt;&lt;RecNum&gt;70&lt;/RecNum&gt;&lt;record&gt;&lt;rec-number&gt;70&lt;/rec-number&gt;&lt;foreign-keys&gt;&lt;key app="EN" db-id="ddpe5f20rxpzfme5vd9vtzvts0derwa25asd"&gt;70&lt;/key&gt;&lt;/foreign-keys&gt;&lt;ref-type name="Journal Article"&gt;17&lt;/ref-type&gt;&lt;contributors&gt;&lt;authors&gt;&lt;author&gt;Babor, T&lt;/author&gt;&lt;author&gt;Campbell, R&lt;/author&gt;&lt;author&gt;Room, R&lt;/author&gt;&lt;author&gt;Saunders, J&lt;/author&gt;&lt;/authors&gt;&lt;/contributors&gt;&lt;titles&gt;&lt;title&gt;Lexicon of alcohol and drug terms&lt;/title&gt;&lt;secondary-title&gt;World Health Organization, Geneva&lt;/secondary-title&gt;&lt;/titles&gt;&lt;periodical&gt;&lt;full-title&gt;World Health Organization, Geneva&lt;/full-title&gt;&lt;/periodical&gt;&lt;dates&gt;&lt;year&gt;1994&lt;/year&gt;&lt;/dates&gt;&lt;urls&gt;&lt;/urls&gt;&lt;/record&gt;&lt;/Cite&gt;&lt;/EndNote&gt;</w:instrText>
      </w:r>
      <w:r w:rsidRPr="007528E0">
        <w:rPr>
          <w:rFonts w:eastAsia="Calibri" w:cs="Arial"/>
          <w:sz w:val="22"/>
          <w:szCs w:val="22"/>
          <w:lang w:val="es-CO" w:eastAsia="es-CO"/>
        </w:rPr>
        <w:fldChar w:fldCharType="end"/>
      </w:r>
      <w:r w:rsidRPr="007528E0">
        <w:rPr>
          <w:rFonts w:eastAsia="Calibri" w:cs="Arial"/>
          <w:sz w:val="22"/>
          <w:szCs w:val="22"/>
          <w:lang w:val="es-CO" w:eastAsia="es-CO"/>
        </w:rPr>
        <w:t>.</w:t>
      </w:r>
    </w:p>
    <w:p w14:paraId="716B4581" w14:textId="77777777" w:rsidR="0037398A" w:rsidRPr="007528E0" w:rsidRDefault="0037398A" w:rsidP="0037398A">
      <w:pPr>
        <w:spacing w:before="100" w:beforeAutospacing="1" w:after="100" w:afterAutospacing="1"/>
        <w:rPr>
          <w:rFonts w:eastAsia="Calibri" w:cs="Arial"/>
          <w:sz w:val="22"/>
          <w:szCs w:val="22"/>
          <w:lang w:val="es-CO" w:eastAsia="es-CO"/>
        </w:rPr>
      </w:pPr>
      <w:r w:rsidRPr="007528E0">
        <w:rPr>
          <w:rFonts w:eastAsia="Calibri" w:cs="Arial"/>
          <w:b/>
          <w:sz w:val="22"/>
          <w:szCs w:val="22"/>
          <w:lang w:val="es-CO" w:eastAsia="es-CO"/>
        </w:rPr>
        <w:t>Droga de abuso:</w:t>
      </w:r>
      <w:r w:rsidRPr="007528E0">
        <w:rPr>
          <w:rFonts w:eastAsia="Calibri" w:cs="Arial"/>
          <w:sz w:val="22"/>
          <w:szCs w:val="22"/>
          <w:lang w:val="es-CO" w:eastAsia="es-CO"/>
        </w:rPr>
        <w:t xml:space="preserve"> En 1982 la OMS, intentó delimitar aquellas sustancias que producían dependencia y declaró como </w:t>
      </w:r>
      <w:r w:rsidRPr="007528E0">
        <w:rPr>
          <w:rFonts w:eastAsia="Calibri" w:cs="Arial"/>
          <w:b/>
          <w:sz w:val="22"/>
          <w:szCs w:val="22"/>
          <w:lang w:val="es-CO" w:eastAsia="es-CO"/>
        </w:rPr>
        <w:t>droga de abuso</w:t>
      </w:r>
      <w:r w:rsidRPr="007528E0">
        <w:rPr>
          <w:rFonts w:eastAsia="Calibri" w:cs="Arial"/>
          <w:sz w:val="22"/>
          <w:szCs w:val="22"/>
          <w:lang w:val="es-CO" w:eastAsia="es-CO"/>
        </w:rPr>
        <w:t xml:space="preserve"> “aquella de uso no médico con efectos psicoactivos (cambios en la percepción, estado de ánimo, la conciencia y el comportamiento) y susceptible de ser autoadministrada</w:t>
      </w:r>
      <w:r w:rsidRPr="007528E0">
        <w:rPr>
          <w:rFonts w:eastAsia="Calibri" w:cs="Arial"/>
          <w:sz w:val="22"/>
          <w:szCs w:val="22"/>
          <w:lang w:val="es-CO" w:eastAsia="es-CO"/>
        </w:rPr>
        <w:fldChar w:fldCharType="begin" w:fldLock="1"/>
      </w:r>
      <w:r w:rsidRPr="007528E0">
        <w:rPr>
          <w:rFonts w:eastAsia="Calibri" w:cs="Arial"/>
          <w:sz w:val="22"/>
          <w:szCs w:val="22"/>
          <w:lang w:val="es-CO" w:eastAsia="es-CO"/>
        </w:rPr>
        <w:instrText>ADDIN CSL_CITATION { "citationItems" : [ { "id" : "ITEM-1", "itemData" : { "author" : [ { "dropping-particle" : "", "family" : "Lorenzo Fern\u00e1ndez, P. et al.", "given" : "", "non-dropping-particle" : "", "parse-names" : false, "suffix" : "" } ], "container-title" : "Madrid, Espa\u00f1a: Panamericana.", "id" : "ITEM-1", "issued" : { "date-parts" : [ [ "2009" ] ] }, "title" : "Drogodependencias. 3th ed.", "type" : "article-journal" }, "uris" : [ "http://www.mendeley.com/documents/?uuid=de6b20fa-0ac3-4149-8839-58eceddf562a" ] } ], "mendeley" : { "formattedCitation" : "(6)", "plainTextFormattedCitation" : "(6)", "previouslyFormattedCitation" : "(6)" }, "properties" : { "noteIndex" : 0 }, "schema" : "https://github.com/citation-style-language/schema/raw/master/csl-citation.json" }</w:instrText>
      </w:r>
      <w:r w:rsidRPr="007528E0">
        <w:rPr>
          <w:rFonts w:eastAsia="Calibri" w:cs="Arial"/>
          <w:sz w:val="22"/>
          <w:szCs w:val="22"/>
          <w:lang w:val="es-CO" w:eastAsia="es-CO"/>
        </w:rPr>
        <w:fldChar w:fldCharType="separate"/>
      </w:r>
      <w:r w:rsidRPr="007528E0">
        <w:rPr>
          <w:rFonts w:eastAsia="Calibri" w:cs="Arial"/>
          <w:noProof/>
          <w:sz w:val="22"/>
          <w:szCs w:val="22"/>
          <w:lang w:val="es-CO" w:eastAsia="es-CO"/>
        </w:rPr>
        <w:t>(6)</w:t>
      </w:r>
      <w:r w:rsidRPr="007528E0">
        <w:rPr>
          <w:rFonts w:eastAsia="Calibri" w:cs="Arial"/>
          <w:sz w:val="22"/>
          <w:szCs w:val="22"/>
          <w:lang w:val="es-CO" w:eastAsia="es-CO"/>
        </w:rPr>
        <w:fldChar w:fldCharType="end"/>
      </w:r>
      <w:r w:rsidRPr="007528E0">
        <w:rPr>
          <w:rFonts w:eastAsia="Calibri" w:cs="Arial"/>
          <w:sz w:val="22"/>
          <w:szCs w:val="22"/>
          <w:lang w:val="es-CO" w:eastAsia="es-CO"/>
        </w:rPr>
        <w:t>. En el contexto internacional de control de drogas, una droga de abuso constituye cualquier sustancia bajo control internacional para fines distintos a los médicos, científicos, incluyendo uso sin prescripción, en niveles de dosis excesivos, o durante un periodo injustificado de tiempo</w:t>
      </w:r>
      <w:r w:rsidRPr="007528E0">
        <w:rPr>
          <w:rFonts w:eastAsia="Calibri" w:cs="Arial"/>
          <w:sz w:val="22"/>
          <w:szCs w:val="22"/>
          <w:lang w:val="es-CO" w:eastAsia="es-CO"/>
        </w:rPr>
        <w:fldChar w:fldCharType="begin" w:fldLock="1"/>
      </w:r>
      <w:r w:rsidRPr="007528E0">
        <w:rPr>
          <w:rFonts w:eastAsia="Calibri" w:cs="Arial"/>
          <w:sz w:val="22"/>
          <w:szCs w:val="22"/>
          <w:lang w:val="es-CO" w:eastAsia="es-CO"/>
        </w:rPr>
        <w:instrText>ADDIN CSL_CITATION { "citationItems" : [ { "id" : "ITEM-1", "itemData" : { "author" : [ { "dropping-particle" : "", "family" : "Babor, T.", "given" : "et al.", "non-dropping-particle" : "", "parse-names" : false, "suffix" : "" } ], "id" : "ITEM-1", "issued" : { "date-parts" : [ [ "1994" ] ] }, "title" : "Lexicon of alcohol and drug terms World Health Organization", "type" : "report" }, "uris" : [ "http://www.mendeley.com/documents/?uuid=c24305d3-5e13-4660-894b-92d3e548309e" ] } ], "mendeley" : { "formattedCitation" : "(7)", "plainTextFormattedCitation" : "(7)", "previouslyFormattedCitation" : "(7)" }, "properties" : { "noteIndex" : 0 }, "schema" : "https://github.com/citation-style-language/schema/raw/master/csl-citation.json" }</w:instrText>
      </w:r>
      <w:r w:rsidRPr="007528E0">
        <w:rPr>
          <w:rFonts w:eastAsia="Calibri" w:cs="Arial"/>
          <w:sz w:val="22"/>
          <w:szCs w:val="22"/>
          <w:lang w:val="es-CO" w:eastAsia="es-CO"/>
        </w:rPr>
        <w:fldChar w:fldCharType="separate"/>
      </w:r>
      <w:r w:rsidRPr="007528E0">
        <w:rPr>
          <w:rFonts w:eastAsia="Calibri" w:cs="Arial"/>
          <w:noProof/>
          <w:sz w:val="22"/>
          <w:szCs w:val="22"/>
          <w:lang w:val="es-CO" w:eastAsia="es-CO"/>
        </w:rPr>
        <w:t>(7)</w:t>
      </w:r>
      <w:r w:rsidRPr="007528E0">
        <w:rPr>
          <w:rFonts w:eastAsia="Calibri" w:cs="Arial"/>
          <w:sz w:val="22"/>
          <w:szCs w:val="22"/>
          <w:lang w:val="es-CO" w:eastAsia="es-CO"/>
        </w:rPr>
        <w:fldChar w:fldCharType="end"/>
      </w:r>
      <w:r w:rsidRPr="007528E0">
        <w:rPr>
          <w:rFonts w:eastAsia="Calibri" w:cs="Arial"/>
          <w:sz w:val="22"/>
          <w:szCs w:val="22"/>
          <w:lang w:val="es-CO" w:eastAsia="es-CO"/>
        </w:rPr>
        <w:t>.</w:t>
      </w:r>
    </w:p>
    <w:p w14:paraId="3B5661B8" w14:textId="77777777" w:rsidR="0037398A" w:rsidRPr="007528E0" w:rsidRDefault="0037398A" w:rsidP="0037398A">
      <w:pPr>
        <w:autoSpaceDE w:val="0"/>
        <w:autoSpaceDN w:val="0"/>
        <w:spacing w:before="100" w:beforeAutospacing="1" w:after="100" w:afterAutospacing="1"/>
        <w:rPr>
          <w:rFonts w:cs="Arial"/>
          <w:sz w:val="22"/>
          <w:szCs w:val="22"/>
          <w:lang w:eastAsia="ja-JP"/>
        </w:rPr>
      </w:pPr>
      <w:r w:rsidRPr="007528E0">
        <w:rPr>
          <w:rFonts w:eastAsia="Calibri" w:cs="Arial"/>
          <w:b/>
          <w:sz w:val="22"/>
          <w:szCs w:val="22"/>
        </w:rPr>
        <w:t>Evento adverso:</w:t>
      </w:r>
      <w:r w:rsidRPr="007528E0">
        <w:rPr>
          <w:rFonts w:eastAsia="Calibri" w:cs="Arial"/>
          <w:sz w:val="22"/>
          <w:szCs w:val="22"/>
        </w:rPr>
        <w:t xml:space="preserve"> Cualquier suceso o incidencia médica (signo, síntoma o enfermedad) desafortunada que se produce durante el tratamiento con un medicamento pero que no </w:t>
      </w:r>
      <w:r w:rsidRPr="007528E0">
        <w:rPr>
          <w:rFonts w:cs="Arial"/>
          <w:sz w:val="22"/>
          <w:szCs w:val="22"/>
          <w:lang w:eastAsia="ja-JP"/>
        </w:rPr>
        <w:t xml:space="preserve">tiene necesariamente una relación causal con dicho tratamiento. En este caso el punto básico es la coincidencia en el tiempo sin ninguna sospecha de una relación causal. Se catalogan como graves cuando: son mortales, amenazan la vida, causan o prolongan la hospitalización, causan incapacidad o discapacidad permanente, están relacionados con abuso o dependencia </w:t>
      </w:r>
      <w:r w:rsidRPr="007528E0">
        <w:rPr>
          <w:rFonts w:cs="Arial"/>
          <w:sz w:val="22"/>
          <w:szCs w:val="22"/>
          <w:lang w:eastAsia="ja-JP"/>
        </w:rPr>
        <w:fldChar w:fldCharType="begin" w:fldLock="1"/>
      </w:r>
      <w:r w:rsidRPr="007528E0">
        <w:rPr>
          <w:rFonts w:cs="Arial"/>
          <w:sz w:val="22"/>
          <w:szCs w:val="22"/>
          <w:lang w:eastAsia="ja-JP"/>
        </w:rPr>
        <w:instrText>ADDIN CSL_CITATION { "citationItems" : [ { "id" : "ITEM-1", "itemData" : { "author" : [ { "dropping-particle" : "", "family" : "Nebeker, J.R., P. Barach", "given" : "and M.H. Samore", "non-dropping-particle" : "", "parse-names" : false, "suffix" : "" } ], "container-title" : "Annals of internal medicine", "id" : "ITEM-1", "issue" : "140", "issued" : { "date-parts" : [ [ "2004" ] ] }, "page" : "795-801", "title" : "Clarifying adverse drug events: a clinician's guide to terminology, documentation, and reporting", "type" : "article-journal", "volume" : "10" }, "uris" : [ "http://www.mendeley.com/documents/?uuid=6427f31f-13f6-4e7d-8e31-c82de7fd49b1" ] } ], "mendeley" : { "formattedCitation" : "(11)", "plainTextFormattedCitation" : "(11)", "previouslyFormattedCitation" : "(11)" }, "properties" : { "noteIndex" : 0 }, "schema" : "https://github.com/citation-style-language/schema/raw/master/csl-citation.json" }</w:instrText>
      </w:r>
      <w:r w:rsidRPr="007528E0">
        <w:rPr>
          <w:rFonts w:cs="Arial"/>
          <w:sz w:val="22"/>
          <w:szCs w:val="22"/>
          <w:lang w:eastAsia="ja-JP"/>
        </w:rPr>
        <w:fldChar w:fldCharType="separate"/>
      </w:r>
      <w:r w:rsidRPr="007528E0">
        <w:rPr>
          <w:rFonts w:cs="Arial"/>
          <w:noProof/>
          <w:sz w:val="22"/>
          <w:szCs w:val="22"/>
          <w:lang w:eastAsia="ja-JP"/>
        </w:rPr>
        <w:t>(11)</w:t>
      </w:r>
      <w:r w:rsidRPr="007528E0">
        <w:rPr>
          <w:rFonts w:cs="Arial"/>
          <w:sz w:val="22"/>
          <w:szCs w:val="22"/>
          <w:lang w:eastAsia="ja-JP"/>
        </w:rPr>
        <w:fldChar w:fldCharType="end"/>
      </w:r>
      <w:r w:rsidRPr="007528E0">
        <w:rPr>
          <w:rFonts w:cs="Arial"/>
          <w:sz w:val="22"/>
          <w:szCs w:val="22"/>
          <w:lang w:eastAsia="ja-JP"/>
        </w:rPr>
        <w:fldChar w:fldCharType="begin" w:fldLock="1"/>
      </w:r>
      <w:r w:rsidRPr="007528E0">
        <w:rPr>
          <w:rFonts w:cs="Arial"/>
          <w:sz w:val="22"/>
          <w:szCs w:val="22"/>
          <w:lang w:eastAsia="ja-JP"/>
        </w:rPr>
        <w:instrText>ADDIN CSL_CITATION { "citationItems" : [ { "id" : "ITEM-1", "itemData" : { "author" : [ { "dropping-particle" : "", "family" : "International Conference on Harmonisation", "given" : "", "non-dropping-particle" : "", "parse-names" : false, "suffix" : "" } ], "id" : "ITEM-1", "issued" : { "date-parts" : [ [ "2003" ] ] }, "title" : "Post approval safety data management: Definitions and standars for expedited reporting E2D", "type" : "report" }, "uris" : [ "http://www.mendeley.com/documents/?uuid=603103cf-cae7-4dfd-8bda-ec3785dd214d" ] } ], "mendeley" : { "formattedCitation" : "(12)", "plainTextFormattedCitation" : "(12)", "previouslyFormattedCitation" : "(12)" }, "properties" : { "noteIndex" : 0 }, "schema" : "https://github.com/citation-style-language/schema/raw/master/csl-citation.json" }</w:instrText>
      </w:r>
      <w:r w:rsidRPr="007528E0">
        <w:rPr>
          <w:rFonts w:cs="Arial"/>
          <w:sz w:val="22"/>
          <w:szCs w:val="22"/>
          <w:lang w:eastAsia="ja-JP"/>
        </w:rPr>
        <w:fldChar w:fldCharType="separate"/>
      </w:r>
      <w:r w:rsidRPr="007528E0">
        <w:rPr>
          <w:rFonts w:cs="Arial"/>
          <w:noProof/>
          <w:sz w:val="22"/>
          <w:szCs w:val="22"/>
          <w:lang w:eastAsia="ja-JP"/>
        </w:rPr>
        <w:t>(12)</w:t>
      </w:r>
      <w:r w:rsidRPr="007528E0">
        <w:rPr>
          <w:rFonts w:cs="Arial"/>
          <w:sz w:val="22"/>
          <w:szCs w:val="22"/>
          <w:lang w:eastAsia="ja-JP"/>
        </w:rPr>
        <w:fldChar w:fldCharType="end"/>
      </w:r>
      <w:r w:rsidRPr="007528E0">
        <w:rPr>
          <w:rFonts w:cs="Arial"/>
          <w:sz w:val="22"/>
          <w:szCs w:val="22"/>
          <w:lang w:eastAsia="ja-JP"/>
        </w:rPr>
        <w:t>.</w:t>
      </w:r>
    </w:p>
    <w:p w14:paraId="7BEFB36C" w14:textId="77777777" w:rsidR="0037398A" w:rsidRPr="007528E0" w:rsidRDefault="0037398A" w:rsidP="0037398A">
      <w:pPr>
        <w:spacing w:before="100" w:beforeAutospacing="1" w:after="100" w:afterAutospacing="1"/>
        <w:rPr>
          <w:rFonts w:cs="Arial"/>
          <w:sz w:val="22"/>
          <w:szCs w:val="22"/>
        </w:rPr>
      </w:pPr>
      <w:r w:rsidRPr="007528E0">
        <w:rPr>
          <w:rFonts w:cs="Arial"/>
          <w:b/>
          <w:sz w:val="22"/>
          <w:szCs w:val="22"/>
        </w:rPr>
        <w:t>Exposición:</w:t>
      </w:r>
      <w:r w:rsidRPr="007528E0">
        <w:rPr>
          <w:rFonts w:cs="Arial"/>
          <w:sz w:val="22"/>
          <w:szCs w:val="22"/>
        </w:rPr>
        <w:t xml:space="preserve"> Situación en la cual una sustancia puede incidir, por cualquier vía, sobre una población, organismo, órgano, tejido o célula diana </w:t>
      </w:r>
      <w:r w:rsidRPr="007528E0">
        <w:rPr>
          <w:rFonts w:cs="Arial"/>
          <w:sz w:val="22"/>
          <w:szCs w:val="22"/>
        </w:rPr>
        <w:fldChar w:fldCharType="begin" w:fldLock="1"/>
      </w:r>
      <w:r w:rsidRPr="007528E0">
        <w:rPr>
          <w:rFonts w:cs="Arial"/>
          <w:sz w:val="22"/>
          <w:szCs w:val="22"/>
        </w:rPr>
        <w:instrText>ADDIN CSL_CITATION { "citationItems" : [ { "id" : "ITEM-1", "itemData" : { "ISBN" : "1569730873", "author" : [ { "dropping-particle" : "", "family" : "Repetto", "given" : "Robert", "non-dropping-particle" : "", "parse-names" : false, "suffix" : "" }, { "dropping-particle" : "", "family" : "Baliga", "given" : "Sanjay S", "non-dropping-particle" : "", "parse-names" : false, "suffix" : "" } ], "id" : "ITEM-1", "issued" : { "date-parts" : [ [ "1996" ] ] }, "number-of-pages" : "109", "title" : "Pesticides and the immune system: the public healt risks", "type" : "book" }, "uris" : [ "http://www.mendeley.com/documents/?uuid=577567b3-c38a-4289-a6d0-20f00ba2f498" ] } ], "mendeley" : { "formattedCitation" : "(2)", "plainTextFormattedCitation" : "(2)", "previouslyFormattedCitation" : "(2)" }, "properties" : { "noteIndex" : 0 }, "schema" : "https://github.com/citation-style-language/schema/raw/master/csl-citation.json" }</w:instrText>
      </w:r>
      <w:r w:rsidRPr="007528E0">
        <w:rPr>
          <w:rFonts w:cs="Arial"/>
          <w:sz w:val="22"/>
          <w:szCs w:val="22"/>
        </w:rPr>
        <w:fldChar w:fldCharType="separate"/>
      </w:r>
      <w:r w:rsidRPr="007528E0">
        <w:rPr>
          <w:rFonts w:cs="Arial"/>
          <w:noProof/>
          <w:sz w:val="22"/>
          <w:szCs w:val="22"/>
        </w:rPr>
        <w:t>(2)</w:t>
      </w:r>
      <w:r w:rsidRPr="007528E0">
        <w:rPr>
          <w:rFonts w:cs="Arial"/>
          <w:sz w:val="22"/>
          <w:szCs w:val="22"/>
        </w:rPr>
        <w:fldChar w:fldCharType="end"/>
      </w:r>
      <w:r w:rsidRPr="007528E0">
        <w:rPr>
          <w:rFonts w:cs="Arial"/>
          <w:sz w:val="22"/>
          <w:szCs w:val="22"/>
        </w:rPr>
        <w:fldChar w:fldCharType="begin"/>
      </w:r>
      <w:r w:rsidRPr="007528E0">
        <w:rPr>
          <w:rFonts w:cs="Arial"/>
          <w:sz w:val="22"/>
          <w:szCs w:val="22"/>
        </w:rPr>
        <w:instrText xml:space="preserve"> ADDIN EN.CITE &lt;EndNote&gt;&lt;Cite&gt;&lt;Author&gt;Repetto&lt;/Author&gt;&lt;Year&gt;1995&lt;/Year&gt;&lt;RecNum&gt;2471&lt;/RecNum&gt;&lt;DisplayText&gt;(8)&lt;/DisplayText&gt;&lt;record&gt;&lt;rec-number&gt;2471&lt;/rec-number&gt;&lt;foreign-keys&gt;&lt;key app="EN" db-id="009rpx2x4zssace5atw5zppkzpwrsdtvxpdr"&gt;2471&lt;/key&gt;&lt;/foreign-keys&gt;&lt;ref-type name="Manuscript"&gt;36&lt;/ref-type&gt;&lt;contributors&gt;&lt;authors&gt;&lt;author&gt;Repetto, M.&lt;/author&gt;&lt;author&gt;Sanz, P.&lt;/author&gt;&lt;/authors&gt;&lt;/contributors&gt;&lt;titles&gt;&lt;title&gt;Glosario de términos usados en toxicología. Recomendaciones de la IUPAC 1993. Versión española. AET&lt;/title&gt;&lt;/titles&gt;&lt;dates&gt;&lt;year&gt;1995&lt;/year&gt;&lt;/dates&gt;&lt;urls&gt;&lt;/urls&gt;&lt;/record&gt;&lt;/Cite&gt;&lt;/EndNote&gt;</w:instrText>
      </w:r>
      <w:r w:rsidRPr="007528E0">
        <w:rPr>
          <w:rFonts w:cs="Arial"/>
          <w:sz w:val="22"/>
          <w:szCs w:val="22"/>
        </w:rPr>
        <w:fldChar w:fldCharType="end"/>
      </w:r>
      <w:r w:rsidRPr="007528E0">
        <w:rPr>
          <w:rFonts w:cs="Arial"/>
          <w:sz w:val="22"/>
          <w:szCs w:val="22"/>
        </w:rPr>
        <w:t xml:space="preserve">. Otra definición de exposición es la </w:t>
      </w:r>
      <w:r w:rsidRPr="007528E0">
        <w:rPr>
          <w:rFonts w:cs="Arial"/>
          <w:sz w:val="22"/>
          <w:szCs w:val="22"/>
        </w:rPr>
        <w:lastRenderedPageBreak/>
        <w:t xml:space="preserve">concentración, cantidad o intensidad de un determinado agente físico, químico o biológico, que incide sobre una población, organismo, órgano o célula diana; usualmente se expresa en términos cuantitativos de concentración, duración y frecuencia (para agentes químicos y microbiológicos) o de intensidad (para agentes físicos) </w:t>
      </w:r>
      <w:r w:rsidRPr="007528E0">
        <w:rPr>
          <w:rFonts w:cs="Arial"/>
          <w:sz w:val="22"/>
          <w:szCs w:val="22"/>
        </w:rPr>
        <w:fldChar w:fldCharType="begin" w:fldLock="1"/>
      </w:r>
      <w:r w:rsidRPr="007528E0">
        <w:rPr>
          <w:rFonts w:cs="Arial"/>
          <w:sz w:val="22"/>
          <w:szCs w:val="22"/>
        </w:rPr>
        <w:instrText>ADDIN CSL_CITATION { "citationItems" : [ { "id" : "ITEM-1", "itemData" : { "ISBN" : "1569730873", "author" : [ { "dropping-particle" : "", "family" : "Repetto", "given" : "Robert", "non-dropping-particle" : "", "parse-names" : false, "suffix" : "" }, { "dropping-particle" : "", "family" : "Baliga", "given" : "Sanjay S", "non-dropping-particle" : "", "parse-names" : false, "suffix" : "" } ], "id" : "ITEM-1", "issued" : { "date-parts" : [ [ "1996" ] ] }, "number-of-pages" : "109", "title" : "Pesticides and the immune system: the public healt risks", "type" : "book" }, "uris" : [ "http://www.mendeley.com/documents/?uuid=577567b3-c38a-4289-a6d0-20f00ba2f498" ] } ], "mendeley" : { "formattedCitation" : "(2)", "plainTextFormattedCitation" : "(2)", "previouslyFormattedCitation" : "(2)" }, "properties" : { "noteIndex" : 0 }, "schema" : "https://github.com/citation-style-language/schema/raw/master/csl-citation.json" }</w:instrText>
      </w:r>
      <w:r w:rsidRPr="007528E0">
        <w:rPr>
          <w:rFonts w:cs="Arial"/>
          <w:sz w:val="22"/>
          <w:szCs w:val="22"/>
        </w:rPr>
        <w:fldChar w:fldCharType="separate"/>
      </w:r>
      <w:r w:rsidRPr="007528E0">
        <w:rPr>
          <w:rFonts w:cs="Arial"/>
          <w:noProof/>
          <w:sz w:val="22"/>
          <w:szCs w:val="22"/>
        </w:rPr>
        <w:t>(2)</w:t>
      </w:r>
      <w:r w:rsidRPr="007528E0">
        <w:rPr>
          <w:rFonts w:cs="Arial"/>
          <w:sz w:val="22"/>
          <w:szCs w:val="22"/>
        </w:rPr>
        <w:fldChar w:fldCharType="end"/>
      </w:r>
      <w:r w:rsidRPr="007528E0">
        <w:rPr>
          <w:rFonts w:cs="Arial"/>
          <w:sz w:val="22"/>
          <w:szCs w:val="22"/>
        </w:rPr>
        <w:t>.</w:t>
      </w:r>
    </w:p>
    <w:p w14:paraId="35C31F6F" w14:textId="77777777" w:rsidR="0037398A" w:rsidRPr="007528E0" w:rsidRDefault="0037398A" w:rsidP="0037398A">
      <w:pPr>
        <w:spacing w:before="100" w:beforeAutospacing="1" w:after="100" w:afterAutospacing="1"/>
        <w:ind w:left="-11"/>
        <w:rPr>
          <w:rFonts w:eastAsia="Calibri" w:cs="Arial"/>
          <w:sz w:val="22"/>
          <w:szCs w:val="22"/>
        </w:rPr>
      </w:pPr>
      <w:r w:rsidRPr="007528E0">
        <w:rPr>
          <w:rFonts w:eastAsia="Calibri" w:cs="Arial"/>
          <w:b/>
          <w:sz w:val="22"/>
          <w:szCs w:val="22"/>
        </w:rPr>
        <w:t>Fármaco</w:t>
      </w:r>
      <w:r w:rsidRPr="007528E0">
        <w:rPr>
          <w:rFonts w:eastAsia="Calibri" w:cs="Arial"/>
          <w:sz w:val="22"/>
          <w:szCs w:val="22"/>
        </w:rPr>
        <w:t>: Es el principio activo de un producto farmacéutico.</w:t>
      </w:r>
    </w:p>
    <w:p w14:paraId="1999C011" w14:textId="77777777" w:rsidR="0037398A" w:rsidRPr="007528E0" w:rsidRDefault="0037398A" w:rsidP="0037398A">
      <w:pPr>
        <w:spacing w:before="100" w:beforeAutospacing="1" w:after="100" w:afterAutospacing="1"/>
        <w:ind w:left="-11"/>
        <w:rPr>
          <w:rFonts w:cs="Arial"/>
          <w:sz w:val="22"/>
          <w:szCs w:val="22"/>
        </w:rPr>
      </w:pPr>
      <w:r w:rsidRPr="007528E0">
        <w:rPr>
          <w:rFonts w:cs="Arial"/>
          <w:b/>
          <w:bCs/>
          <w:sz w:val="22"/>
          <w:szCs w:val="22"/>
        </w:rPr>
        <w:t xml:space="preserve">Farmacovigilancia: </w:t>
      </w:r>
      <w:r w:rsidRPr="007528E0">
        <w:rPr>
          <w:rFonts w:cs="Arial"/>
          <w:bCs/>
          <w:sz w:val="22"/>
          <w:szCs w:val="22"/>
        </w:rPr>
        <w:t>Es la c</w:t>
      </w:r>
      <w:r w:rsidRPr="007528E0">
        <w:rPr>
          <w:rFonts w:cs="Arial"/>
          <w:sz w:val="22"/>
          <w:szCs w:val="22"/>
        </w:rPr>
        <w:t>iencia y actividades relativas con la detección, evaluación y prevención de los efectos adversos o cualquier otro problema relacionado con los medicamentos</w:t>
      </w:r>
      <w:r w:rsidRPr="007528E0">
        <w:rPr>
          <w:rFonts w:cs="Arial"/>
          <w:sz w:val="22"/>
          <w:szCs w:val="22"/>
        </w:rPr>
        <w:fldChar w:fldCharType="begin" w:fldLock="1"/>
      </w:r>
      <w:r w:rsidRPr="007528E0">
        <w:rPr>
          <w:rFonts w:cs="Arial"/>
          <w:sz w:val="22"/>
          <w:szCs w:val="22"/>
        </w:rPr>
        <w:instrText>ADDIN CSL_CITATION { "citationItems" : [ { "id" : "ITEM-1", "itemData" : { "author" : [ { "dropping-particle" : "", "family" : "Colombia.", "given" : "Ministerio de Salud.", "non-dropping-particle" : "", "parse-names" : false, "suffix" : "" } ], "id" : "ITEM-1", "issued" : { "date-parts" : [ [ "1995" ] ] }, "title" : "Decreto 677. Por el cual se reglamenta parcialmente el R\u00e9gimen de Registros y Licencias, el Control de Calidad, as\u00ed como el R\u00e9gimen de Vigilancia Sanitaria de Medicamentos, Cosm\u00e9ticos, Preparaciones Farmac\u00e9uticas a base de Recursos Naturales, Productos de", "type" : "report" }, "uris" : [ "http://www.mendeley.com/documents/?uuid=e5ec660f-0da9-41aa-a8c8-cf831ee67d7d" ] } ], "mendeley" : { "formattedCitation" : "(13)", "plainTextFormattedCitation" : "(13)", "previouslyFormattedCitation" : "(13)" }, "properties" : { "noteIndex" : 0 }, "schema" : "https://github.com/citation-style-language/schema/raw/master/csl-citation.json" }</w:instrText>
      </w:r>
      <w:r w:rsidRPr="007528E0">
        <w:rPr>
          <w:rFonts w:cs="Arial"/>
          <w:sz w:val="22"/>
          <w:szCs w:val="22"/>
        </w:rPr>
        <w:fldChar w:fldCharType="separate"/>
      </w:r>
      <w:r w:rsidRPr="007528E0">
        <w:rPr>
          <w:rFonts w:cs="Arial"/>
          <w:noProof/>
          <w:sz w:val="22"/>
          <w:szCs w:val="22"/>
        </w:rPr>
        <w:t>(13)</w:t>
      </w:r>
      <w:r w:rsidRPr="007528E0">
        <w:rPr>
          <w:rFonts w:cs="Arial"/>
          <w:sz w:val="22"/>
          <w:szCs w:val="22"/>
        </w:rPr>
        <w:fldChar w:fldCharType="end"/>
      </w:r>
      <w:r w:rsidRPr="007528E0">
        <w:rPr>
          <w:rFonts w:cs="Arial"/>
          <w:sz w:val="22"/>
          <w:szCs w:val="22"/>
        </w:rPr>
        <w:t>.</w:t>
      </w:r>
    </w:p>
    <w:p w14:paraId="3A69FE61" w14:textId="77777777" w:rsidR="0037398A" w:rsidRPr="007528E0" w:rsidRDefault="0037398A" w:rsidP="0037398A">
      <w:pPr>
        <w:spacing w:before="100" w:beforeAutospacing="1" w:after="100" w:afterAutospacing="1"/>
        <w:ind w:left="-11"/>
        <w:rPr>
          <w:rFonts w:cs="Arial"/>
          <w:sz w:val="22"/>
          <w:szCs w:val="22"/>
        </w:rPr>
      </w:pPr>
      <w:r w:rsidRPr="007528E0">
        <w:rPr>
          <w:rFonts w:cs="Arial"/>
          <w:b/>
          <w:sz w:val="22"/>
          <w:szCs w:val="22"/>
        </w:rPr>
        <w:t>Intoxicación:</w:t>
      </w:r>
      <w:r w:rsidRPr="007528E0">
        <w:rPr>
          <w:rFonts w:cs="Arial"/>
          <w:sz w:val="22"/>
          <w:szCs w:val="22"/>
        </w:rPr>
        <w:t xml:space="preserve"> Proceso patológico, con signos y síntomas clínicos, causado por una sustancia de origen exógeno o endógeno </w:t>
      </w:r>
      <w:r w:rsidRPr="007528E0">
        <w:rPr>
          <w:rFonts w:cs="Arial"/>
          <w:sz w:val="22"/>
          <w:szCs w:val="22"/>
        </w:rPr>
        <w:fldChar w:fldCharType="begin"/>
      </w:r>
      <w:r w:rsidRPr="007528E0">
        <w:rPr>
          <w:rFonts w:cs="Arial"/>
          <w:sz w:val="22"/>
          <w:szCs w:val="22"/>
        </w:rPr>
        <w:instrText xml:space="preserve"> ADDIN EN.CITE &lt;EndNote&gt;&lt;Cite&gt;&lt;Author&gt;Repetto&lt;/Author&gt;&lt;Year&gt;1995&lt;/Year&gt;&lt;RecNum&gt;2471&lt;/RecNum&gt;&lt;DisplayText&gt;(8)&lt;/DisplayText&gt;&lt;record&gt;&lt;rec-number&gt;2471&lt;/rec-number&gt;&lt;foreign-keys&gt;&lt;key app="EN" db-id="009rpx2x4zssace5atw5zppkzpwrsdtvxpdr"&gt;2471&lt;/key&gt;&lt;/foreign-keys&gt;&lt;ref-type name="Manuscript"&gt;36&lt;/ref-type&gt;&lt;contributors&gt;&lt;authors&gt;&lt;author&gt;Repetto, M.&lt;/author&gt;&lt;author&gt;Sanz, P.&lt;/author&gt;&lt;/authors&gt;&lt;/contributors&gt;&lt;titles&gt;&lt;title&gt;Glosario de términos usados en toxicología. Recomendaciones de la IUPAC 1993. Versión española. AET&lt;/title&gt;&lt;/titles&gt;&lt;dates&gt;&lt;year&gt;1995&lt;/year&gt;&lt;/dates&gt;&lt;urls&gt;&lt;/urls&gt;&lt;/record&gt;&lt;/Cite&gt;&lt;/EndNote&gt;</w:instrText>
      </w:r>
      <w:r w:rsidRPr="007528E0">
        <w:rPr>
          <w:rFonts w:cs="Arial"/>
          <w:sz w:val="22"/>
          <w:szCs w:val="22"/>
        </w:rPr>
        <w:fldChar w:fldCharType="separate"/>
      </w:r>
      <w:r w:rsidRPr="007528E0">
        <w:rPr>
          <w:rFonts w:cs="Arial"/>
          <w:sz w:val="22"/>
          <w:szCs w:val="22"/>
        </w:rPr>
        <w:t>[15]</w:t>
      </w:r>
      <w:r w:rsidRPr="007528E0">
        <w:rPr>
          <w:rFonts w:cs="Arial"/>
          <w:sz w:val="22"/>
          <w:szCs w:val="22"/>
        </w:rPr>
        <w:fldChar w:fldCharType="end"/>
      </w:r>
      <w:r w:rsidRPr="007528E0">
        <w:rPr>
          <w:rFonts w:cs="Arial"/>
          <w:sz w:val="22"/>
          <w:szCs w:val="22"/>
        </w:rPr>
        <w:t>.</w:t>
      </w:r>
    </w:p>
    <w:p w14:paraId="0F509D8B" w14:textId="77777777" w:rsidR="0037398A" w:rsidRPr="007528E0" w:rsidRDefault="0037398A" w:rsidP="0037398A">
      <w:pPr>
        <w:spacing w:before="100" w:beforeAutospacing="1" w:after="100" w:afterAutospacing="1"/>
        <w:ind w:left="-11"/>
        <w:rPr>
          <w:rFonts w:eastAsia="Calibri" w:cs="Arial"/>
          <w:sz w:val="22"/>
          <w:szCs w:val="22"/>
        </w:rPr>
      </w:pPr>
      <w:r w:rsidRPr="007528E0">
        <w:rPr>
          <w:rFonts w:eastAsia="Calibri" w:cs="Arial"/>
          <w:b/>
          <w:sz w:val="22"/>
          <w:szCs w:val="22"/>
        </w:rPr>
        <w:t xml:space="preserve">Intoxicación aguda: </w:t>
      </w:r>
      <w:r w:rsidRPr="007528E0">
        <w:rPr>
          <w:rFonts w:eastAsia="Calibri" w:cs="Arial"/>
          <w:sz w:val="22"/>
          <w:szCs w:val="22"/>
        </w:rPr>
        <w:t>Es aquella cuyas manifestaciones clínicas aparecen en las primeras 48 horas después del contacto con el tóxico</w:t>
      </w:r>
      <w:r w:rsidRPr="007528E0">
        <w:rPr>
          <w:rFonts w:eastAsia="Calibri" w:cs="Arial"/>
          <w:sz w:val="22"/>
          <w:szCs w:val="22"/>
        </w:rPr>
        <w:fldChar w:fldCharType="begin" w:fldLock="1"/>
      </w:r>
      <w:r w:rsidRPr="007528E0">
        <w:rPr>
          <w:rFonts w:eastAsia="Calibri" w:cs="Arial"/>
          <w:sz w:val="22"/>
          <w:szCs w:val="22"/>
        </w:rPr>
        <w:instrText>ADDIN CSL_CITATION { "citationItems" : [ { "id" : "ITEM-1", "itemData" : { "URL" : "https://www.minsalud.gov.co/sites/rid/Lists/BibliotecaDigital/RIDE/DE/GT/Guia-manejo-urgencias-toxicologicas.pdf", "accessed" : { "date-parts" : [ [ "2017", "6", "5" ] ] }, "author" : [ { "dropping-particle" : "", "family" : "Ministerio de Salud y Protecci\u00f3n Social, Universidad Nacional de Colombia", "given" : "Centro De Informaci\u00f3n y Asesor\u00eda Toxicol\u00f3gica", "non-dropping-particle" : "", "parse-names" : false, "suffix" : "" } ], "id" : "ITEM-1", "issued" : { "date-parts" : [ [ "2008" ] ] }, "title" : "Gu\u00edas para el manejo de Urgencias Toxicol\u00f3gicas", "type" : "webpage" }, "uris" : [ "http://www.mendeley.com/documents/?uuid=09dd0fe0-84fe-47ec-b68a-9d78ff833790" ] } ], "mendeley" : { "formattedCitation" : "(14)", "plainTextFormattedCitation" : "(14)", "previouslyFormattedCitation" : "(14)" }, "properties" : { "noteIndex" : 0 }, "schema" : "https://github.com/citation-style-language/schema/raw/master/csl-citation.json" }</w:instrText>
      </w:r>
      <w:r w:rsidRPr="007528E0">
        <w:rPr>
          <w:rFonts w:eastAsia="Calibri" w:cs="Arial"/>
          <w:sz w:val="22"/>
          <w:szCs w:val="22"/>
        </w:rPr>
        <w:fldChar w:fldCharType="separate"/>
      </w:r>
      <w:r w:rsidRPr="007528E0">
        <w:rPr>
          <w:rFonts w:eastAsia="Calibri" w:cs="Arial"/>
          <w:noProof/>
          <w:sz w:val="22"/>
          <w:szCs w:val="22"/>
        </w:rPr>
        <w:t>(14)</w:t>
      </w:r>
      <w:r w:rsidRPr="007528E0">
        <w:rPr>
          <w:rFonts w:eastAsia="Calibri" w:cs="Arial"/>
          <w:sz w:val="22"/>
          <w:szCs w:val="22"/>
        </w:rPr>
        <w:fldChar w:fldCharType="end"/>
      </w:r>
      <w:r w:rsidRPr="007528E0">
        <w:rPr>
          <w:rFonts w:eastAsia="Calibri" w:cs="Arial"/>
          <w:sz w:val="22"/>
          <w:szCs w:val="22"/>
        </w:rPr>
        <w:t>.</w:t>
      </w:r>
    </w:p>
    <w:p w14:paraId="22B889DB" w14:textId="77777777" w:rsidR="0037398A" w:rsidRPr="007528E0" w:rsidRDefault="0037398A" w:rsidP="0037398A">
      <w:pPr>
        <w:spacing w:before="100" w:beforeAutospacing="1" w:after="100" w:afterAutospacing="1"/>
        <w:ind w:left="-11"/>
        <w:rPr>
          <w:rFonts w:eastAsia="Calibri" w:cs="Arial"/>
          <w:sz w:val="22"/>
          <w:szCs w:val="22"/>
        </w:rPr>
      </w:pPr>
      <w:r w:rsidRPr="007528E0">
        <w:rPr>
          <w:rFonts w:eastAsia="Calibri" w:cs="Arial"/>
          <w:b/>
          <w:sz w:val="22"/>
          <w:szCs w:val="22"/>
        </w:rPr>
        <w:t xml:space="preserve">Intoxicación subaguda: </w:t>
      </w:r>
      <w:r w:rsidRPr="007528E0">
        <w:rPr>
          <w:rFonts w:eastAsia="Calibri" w:cs="Arial"/>
          <w:sz w:val="22"/>
          <w:szCs w:val="22"/>
        </w:rPr>
        <w:t xml:space="preserve">Es aquella cuyas manifestaciones clínicas se presentan dentro de un periodo de 30 a 120 días </w:t>
      </w:r>
      <w:r w:rsidRPr="007528E0">
        <w:rPr>
          <w:rFonts w:eastAsia="Calibri" w:cs="Arial"/>
          <w:sz w:val="22"/>
          <w:szCs w:val="22"/>
        </w:rPr>
        <w:fldChar w:fldCharType="begin" w:fldLock="1"/>
      </w:r>
      <w:r w:rsidRPr="007528E0">
        <w:rPr>
          <w:rFonts w:eastAsia="Calibri" w:cs="Arial"/>
          <w:sz w:val="22"/>
          <w:szCs w:val="22"/>
        </w:rPr>
        <w:instrText>ADDIN CSL_CITATION { "citationItems" : [ { "id" : "ITEM-1", "itemData" : { "URL" : "https://www.minsalud.gov.co/sites/rid/Lists/BibliotecaDigital/RIDE/DE/GT/Guia-manejo-urgencias-toxicologicas.pdf", "accessed" : { "date-parts" : [ [ "2017", "6", "5" ] ] }, "author" : [ { "dropping-particle" : "", "family" : "Ministerio de Salud y Protecci\u00f3n Social, Universidad Nacional de Colombia", "given" : "Centro De Informaci\u00f3n y Asesor\u00eda Toxicol\u00f3gica", "non-dropping-particle" : "", "parse-names" : false, "suffix" : "" } ], "id" : "ITEM-1", "issued" : { "date-parts" : [ [ "2008" ] ] }, "title" : "Gu\u00edas para el manejo de Urgencias Toxicol\u00f3gicas", "type" : "webpage" }, "uris" : [ "http://www.mendeley.com/documents/?uuid=09dd0fe0-84fe-47ec-b68a-9d78ff833790" ] } ], "mendeley" : { "formattedCitation" : "(14)", "plainTextFormattedCitation" : "(14)", "previouslyFormattedCitation" : "(14)" }, "properties" : { "noteIndex" : 0 }, "schema" : "https://github.com/citation-style-language/schema/raw/master/csl-citation.json" }</w:instrText>
      </w:r>
      <w:r w:rsidRPr="007528E0">
        <w:rPr>
          <w:rFonts w:eastAsia="Calibri" w:cs="Arial"/>
          <w:sz w:val="22"/>
          <w:szCs w:val="22"/>
        </w:rPr>
        <w:fldChar w:fldCharType="separate"/>
      </w:r>
      <w:r w:rsidRPr="007528E0">
        <w:rPr>
          <w:rFonts w:eastAsia="Calibri" w:cs="Arial"/>
          <w:noProof/>
          <w:sz w:val="22"/>
          <w:szCs w:val="22"/>
        </w:rPr>
        <w:t>(14)</w:t>
      </w:r>
      <w:r w:rsidRPr="007528E0">
        <w:rPr>
          <w:rFonts w:eastAsia="Calibri" w:cs="Arial"/>
          <w:sz w:val="22"/>
          <w:szCs w:val="22"/>
        </w:rPr>
        <w:fldChar w:fldCharType="end"/>
      </w:r>
      <w:r w:rsidRPr="007528E0">
        <w:rPr>
          <w:rFonts w:eastAsia="Calibri" w:cs="Arial"/>
          <w:sz w:val="22"/>
          <w:szCs w:val="22"/>
        </w:rPr>
        <w:t>.</w:t>
      </w:r>
    </w:p>
    <w:p w14:paraId="1C8D5E6B" w14:textId="77777777" w:rsidR="0037398A" w:rsidRPr="007528E0" w:rsidRDefault="0037398A" w:rsidP="0037398A">
      <w:pPr>
        <w:spacing w:before="100" w:beforeAutospacing="1" w:after="100" w:afterAutospacing="1"/>
        <w:ind w:left="-11"/>
        <w:rPr>
          <w:rFonts w:eastAsia="Calibri" w:cs="Arial"/>
          <w:sz w:val="22"/>
          <w:szCs w:val="22"/>
        </w:rPr>
      </w:pPr>
      <w:r w:rsidRPr="007528E0">
        <w:rPr>
          <w:rFonts w:eastAsia="Calibri" w:cs="Arial"/>
          <w:b/>
          <w:sz w:val="22"/>
          <w:szCs w:val="22"/>
        </w:rPr>
        <w:t xml:space="preserve">Intoxicación crónica: </w:t>
      </w:r>
      <w:r w:rsidRPr="007528E0">
        <w:rPr>
          <w:rFonts w:eastAsia="Calibri" w:cs="Arial"/>
          <w:sz w:val="22"/>
          <w:szCs w:val="22"/>
        </w:rPr>
        <w:t xml:space="preserve">Es aquella cuyas manifestaciones clínicas aparecen tardíamente, generalmente, después de 3 a 6 meses e incluso años, después del contacto con el tóxico </w:t>
      </w:r>
      <w:r w:rsidRPr="007528E0">
        <w:rPr>
          <w:rFonts w:eastAsia="Calibri" w:cs="Arial"/>
          <w:sz w:val="22"/>
          <w:szCs w:val="22"/>
        </w:rPr>
        <w:fldChar w:fldCharType="begin" w:fldLock="1"/>
      </w:r>
      <w:r w:rsidRPr="007528E0">
        <w:rPr>
          <w:rFonts w:eastAsia="Calibri" w:cs="Arial"/>
          <w:sz w:val="22"/>
          <w:szCs w:val="22"/>
        </w:rPr>
        <w:instrText>ADDIN CSL_CITATION { "citationItems" : [ { "id" : "ITEM-1", "itemData" : { "URL" : "https://www.minsalud.gov.co/sites/rid/Lists/BibliotecaDigital/RIDE/DE/GT/Guia-manejo-urgencias-toxicologicas.pdf", "accessed" : { "date-parts" : [ [ "2017", "6", "5" ] ] }, "author" : [ { "dropping-particle" : "", "family" : "Ministerio de Salud y Protecci\u00f3n Social, Universidad Nacional de Colombia", "given" : "Centro De Informaci\u00f3n y Asesor\u00eda Toxicol\u00f3gica", "non-dropping-particle" : "", "parse-names" : false, "suffix" : "" } ], "id" : "ITEM-1", "issued" : { "date-parts" : [ [ "2008" ] ] }, "title" : "Gu\u00edas para el manejo de Urgencias Toxicol\u00f3gicas", "type" : "webpage" }, "uris" : [ "http://www.mendeley.com/documents/?uuid=09dd0fe0-84fe-47ec-b68a-9d78ff833790" ] } ], "mendeley" : { "formattedCitation" : "(14)", "plainTextFormattedCitation" : "(14)", "previouslyFormattedCitation" : "(14)" }, "properties" : { "noteIndex" : 0 }, "schema" : "https://github.com/citation-style-language/schema/raw/master/csl-citation.json" }</w:instrText>
      </w:r>
      <w:r w:rsidRPr="007528E0">
        <w:rPr>
          <w:rFonts w:eastAsia="Calibri" w:cs="Arial"/>
          <w:sz w:val="22"/>
          <w:szCs w:val="22"/>
        </w:rPr>
        <w:fldChar w:fldCharType="separate"/>
      </w:r>
      <w:r w:rsidRPr="007528E0">
        <w:rPr>
          <w:rFonts w:eastAsia="Calibri" w:cs="Arial"/>
          <w:noProof/>
          <w:sz w:val="22"/>
          <w:szCs w:val="22"/>
        </w:rPr>
        <w:t>(14)</w:t>
      </w:r>
      <w:r w:rsidRPr="007528E0">
        <w:rPr>
          <w:rFonts w:eastAsia="Calibri" w:cs="Arial"/>
          <w:sz w:val="22"/>
          <w:szCs w:val="22"/>
        </w:rPr>
        <w:fldChar w:fldCharType="end"/>
      </w:r>
      <w:r w:rsidRPr="007528E0">
        <w:rPr>
          <w:rFonts w:eastAsia="Calibri" w:cs="Arial"/>
          <w:sz w:val="22"/>
          <w:szCs w:val="22"/>
        </w:rPr>
        <w:t>.</w:t>
      </w:r>
    </w:p>
    <w:p w14:paraId="766BE9C3" w14:textId="77777777" w:rsidR="0037398A" w:rsidRPr="007528E0" w:rsidRDefault="0037398A" w:rsidP="0037398A">
      <w:pPr>
        <w:spacing w:before="100" w:beforeAutospacing="1" w:after="100" w:afterAutospacing="1"/>
        <w:ind w:left="-11"/>
        <w:rPr>
          <w:rFonts w:eastAsia="Calibri" w:cs="Arial"/>
          <w:sz w:val="22"/>
          <w:szCs w:val="22"/>
        </w:rPr>
      </w:pPr>
      <w:r w:rsidRPr="007528E0">
        <w:rPr>
          <w:rFonts w:eastAsia="Calibri" w:cs="Arial"/>
          <w:b/>
          <w:sz w:val="22"/>
          <w:szCs w:val="22"/>
        </w:rPr>
        <w:t>Medicamento homeopático</w:t>
      </w:r>
      <w:r w:rsidRPr="007528E0">
        <w:rPr>
          <w:rFonts w:eastAsia="Calibri" w:cs="Arial"/>
          <w:sz w:val="22"/>
          <w:szCs w:val="22"/>
        </w:rPr>
        <w:t xml:space="preserve">: Es el preparado farmacéutico obtenido por técnicas homeopáticas, conforme a las reglas descritas en las farmacopeas oficiales aceptadas en el país, con el objeto de prevenir la enfermedad, aliviar, curar, tratar y/o rehabilitar un paciente. Los envases, rótulos, etiquetas y empaques hacen parte integral del medicamento, por cuanto estos garantizan su calidad, estabilidad y uso adecuado </w:t>
      </w:r>
      <w:r w:rsidRPr="007528E0">
        <w:rPr>
          <w:rFonts w:eastAsia="Calibri" w:cs="Arial"/>
          <w:sz w:val="22"/>
          <w:szCs w:val="22"/>
        </w:rPr>
        <w:fldChar w:fldCharType="begin" w:fldLock="1"/>
      </w:r>
      <w:r w:rsidRPr="007528E0">
        <w:rPr>
          <w:rFonts w:eastAsia="Calibri" w:cs="Arial"/>
          <w:sz w:val="22"/>
          <w:szCs w:val="22"/>
        </w:rPr>
        <w:instrText>ADDIN CSL_CITATION { "citationItems" : [ { "id" : "ITEM-1", "itemData" : { "author" : [ { "dropping-particle" : "", "family" : "Ministerio de la Protecci\u00f3n Social", "given" : "", "non-dropping-particle" : "", "parse-names" : false, "suffix" : "" } ], "id" : "ITEM-1", "issued" : { "date-parts" : [ [ "20043" ] ] }, "title" : "Decreto 3554 de 2004. \"Regula el r\u00e9gimen de registro sanitario, vigilancia y control sanitario de los medicamentos homeop\u00e1ticos para uso humano y se dictan otras disposiciones\". .", "type" : "report" }, "uris" : [ "http://www.mendeley.com/documents/?uuid=db61780b-481a-4e07-b16e-ac7196893477" ] } ], "mendeley" : { "formattedCitation" : "(15)", "plainTextFormattedCitation" : "(15)", "previouslyFormattedCitation" : "(15)" }, "properties" : { "noteIndex" : 0 }, "schema" : "https://github.com/citation-style-language/schema/raw/master/csl-citation.json" }</w:instrText>
      </w:r>
      <w:r w:rsidRPr="007528E0">
        <w:rPr>
          <w:rFonts w:eastAsia="Calibri" w:cs="Arial"/>
          <w:sz w:val="22"/>
          <w:szCs w:val="22"/>
        </w:rPr>
        <w:fldChar w:fldCharType="separate"/>
      </w:r>
      <w:r w:rsidRPr="007528E0">
        <w:rPr>
          <w:rFonts w:eastAsia="Calibri" w:cs="Arial"/>
          <w:noProof/>
          <w:sz w:val="22"/>
          <w:szCs w:val="22"/>
        </w:rPr>
        <w:t>(15)</w:t>
      </w:r>
      <w:r w:rsidRPr="007528E0">
        <w:rPr>
          <w:rFonts w:eastAsia="Calibri" w:cs="Arial"/>
          <w:sz w:val="22"/>
          <w:szCs w:val="22"/>
        </w:rPr>
        <w:fldChar w:fldCharType="end"/>
      </w:r>
      <w:r w:rsidRPr="007528E0">
        <w:rPr>
          <w:rFonts w:eastAsia="Calibri" w:cs="Arial"/>
          <w:sz w:val="22"/>
          <w:szCs w:val="22"/>
        </w:rPr>
        <w:t>.</w:t>
      </w:r>
    </w:p>
    <w:p w14:paraId="24F3D534" w14:textId="77777777" w:rsidR="0037398A" w:rsidRPr="007528E0" w:rsidRDefault="0037398A" w:rsidP="0037398A">
      <w:pPr>
        <w:autoSpaceDE w:val="0"/>
        <w:autoSpaceDN w:val="0"/>
        <w:spacing w:before="100" w:beforeAutospacing="1" w:after="100" w:afterAutospacing="1"/>
        <w:rPr>
          <w:rFonts w:eastAsia="Calibri" w:cs="Arial"/>
          <w:sz w:val="22"/>
          <w:szCs w:val="22"/>
        </w:rPr>
      </w:pPr>
      <w:r w:rsidRPr="007528E0">
        <w:rPr>
          <w:rFonts w:eastAsia="Calibri" w:cs="Arial"/>
          <w:b/>
          <w:sz w:val="22"/>
          <w:szCs w:val="22"/>
        </w:rPr>
        <w:t>Medicamentos oficinales</w:t>
      </w:r>
      <w:r w:rsidRPr="007528E0">
        <w:rPr>
          <w:rFonts w:eastAsia="Calibri" w:cs="Arial"/>
          <w:sz w:val="22"/>
          <w:szCs w:val="22"/>
        </w:rPr>
        <w:t xml:space="preserve">: Son aquellos productos preparados según las farmacopeas oficiales tales como: Alcohol Yodado, Yodo, Solución Tópica de Yodo, Solución Fuerte de Yodo, Tintura de </w:t>
      </w:r>
      <w:proofErr w:type="spellStart"/>
      <w:r w:rsidRPr="007528E0">
        <w:rPr>
          <w:rFonts w:eastAsia="Calibri" w:cs="Arial"/>
          <w:sz w:val="22"/>
          <w:szCs w:val="22"/>
        </w:rPr>
        <w:t>Thimerosal</w:t>
      </w:r>
      <w:proofErr w:type="spellEnd"/>
      <w:r w:rsidRPr="007528E0">
        <w:rPr>
          <w:rFonts w:eastAsia="Calibri" w:cs="Arial"/>
          <w:sz w:val="22"/>
          <w:szCs w:val="22"/>
        </w:rPr>
        <w:t xml:space="preserve">, </w:t>
      </w:r>
      <w:proofErr w:type="spellStart"/>
      <w:r w:rsidRPr="007528E0">
        <w:rPr>
          <w:rFonts w:eastAsia="Calibri" w:cs="Arial"/>
          <w:sz w:val="22"/>
          <w:szCs w:val="22"/>
        </w:rPr>
        <w:t>Thimerosal</w:t>
      </w:r>
      <w:proofErr w:type="spellEnd"/>
      <w:r w:rsidRPr="007528E0">
        <w:rPr>
          <w:rFonts w:eastAsia="Calibri" w:cs="Arial"/>
          <w:sz w:val="22"/>
          <w:szCs w:val="22"/>
        </w:rPr>
        <w:t xml:space="preserve"> Solución Tópica, Tintura de Benjuí, Glicerina Carbonatada y Aceite de Ricino. Debido a sus uso, comercialización y formulación esto productos se expenden, en algunos casos, en forma farmacéutica dosificadas y con indicaciones terapéuticas </w:t>
      </w:r>
      <w:r w:rsidRPr="007528E0">
        <w:rPr>
          <w:rFonts w:eastAsia="Calibri" w:cs="Arial"/>
          <w:sz w:val="22"/>
          <w:szCs w:val="22"/>
        </w:rPr>
        <w:fldChar w:fldCharType="begin" w:fldLock="1"/>
      </w:r>
      <w:r w:rsidRPr="007528E0">
        <w:rPr>
          <w:rFonts w:eastAsia="Calibri" w:cs="Arial"/>
          <w:sz w:val="22"/>
          <w:szCs w:val="22"/>
        </w:rPr>
        <w:instrText>ADDIN CSL_CITATION { "citationItems" : [ { "id" : "ITEM-1", "itemData" : { "author" : [ { "dropping-particle" : "", "family" : "Ministerio de la Protecci\u00f3n Social. Colombia", "given" : "", "non-dropping-particle" : "", "parse-names" : false, "suffix" : "" } ], "id" : "ITEM-1", "issued" : { "date-parts" : [ [ "2006" ] ] }, "title" : "Decreto 1861. Por el cual se modifica y adiciona el Decreto 3554 de 2004", "type" : "report" }, "uris" : [ "http://www.mendeley.com/documents/?uuid=25267ff8-bab0-48b5-8ff1-69c67f950e4c" ] } ], "mendeley" : { "formattedCitation" : "(16)", "plainTextFormattedCitation" : "(16)", "previouslyFormattedCitation" : "(16)" }, "properties" : { "noteIndex" : 0 }, "schema" : "https://github.com/citation-style-language/schema/raw/master/csl-citation.json" }</w:instrText>
      </w:r>
      <w:r w:rsidRPr="007528E0">
        <w:rPr>
          <w:rFonts w:eastAsia="Calibri" w:cs="Arial"/>
          <w:sz w:val="22"/>
          <w:szCs w:val="22"/>
        </w:rPr>
        <w:fldChar w:fldCharType="separate"/>
      </w:r>
      <w:r w:rsidRPr="007528E0">
        <w:rPr>
          <w:rFonts w:eastAsia="Calibri" w:cs="Arial"/>
          <w:noProof/>
          <w:sz w:val="22"/>
          <w:szCs w:val="22"/>
        </w:rPr>
        <w:t>(16)</w:t>
      </w:r>
      <w:r w:rsidRPr="007528E0">
        <w:rPr>
          <w:rFonts w:eastAsia="Calibri" w:cs="Arial"/>
          <w:sz w:val="22"/>
          <w:szCs w:val="22"/>
        </w:rPr>
        <w:fldChar w:fldCharType="end"/>
      </w:r>
      <w:r w:rsidRPr="007528E0">
        <w:rPr>
          <w:rFonts w:eastAsia="Calibri" w:cs="Arial"/>
          <w:sz w:val="22"/>
          <w:szCs w:val="22"/>
        </w:rPr>
        <w:t>.</w:t>
      </w:r>
    </w:p>
    <w:p w14:paraId="3946ED01" w14:textId="77777777" w:rsidR="0037398A" w:rsidRPr="007528E0" w:rsidRDefault="0037398A" w:rsidP="0037398A">
      <w:pPr>
        <w:spacing w:before="100" w:beforeAutospacing="1" w:after="100" w:afterAutospacing="1"/>
        <w:ind w:left="-11"/>
        <w:rPr>
          <w:rFonts w:eastAsia="Calibri" w:cs="Arial"/>
          <w:sz w:val="22"/>
          <w:szCs w:val="22"/>
        </w:rPr>
      </w:pPr>
      <w:r w:rsidRPr="007528E0">
        <w:rPr>
          <w:rFonts w:eastAsia="Calibri" w:cs="Arial"/>
          <w:b/>
          <w:sz w:val="22"/>
          <w:szCs w:val="22"/>
        </w:rPr>
        <w:t>Medicamentos veterinarios:</w:t>
      </w:r>
      <w:r w:rsidRPr="007528E0">
        <w:rPr>
          <w:rFonts w:eastAsia="Calibri" w:cs="Arial"/>
          <w:sz w:val="22"/>
          <w:szCs w:val="22"/>
        </w:rPr>
        <w:t xml:space="preserve"> Cualquier sustancia aplicada o administrada a cualquier animal doméstico, tanto si se emplea con fines terapéuticos, profilácticos o de diagnóstico, o para modificar las funciones fisiológicas o de comportamiento</w:t>
      </w:r>
      <w:r w:rsidRPr="007528E0">
        <w:rPr>
          <w:rFonts w:eastAsia="Calibri" w:cs="Arial"/>
          <w:sz w:val="22"/>
          <w:szCs w:val="22"/>
        </w:rPr>
        <w:fldChar w:fldCharType="begin" w:fldLock="1"/>
      </w:r>
      <w:r w:rsidRPr="007528E0">
        <w:rPr>
          <w:rFonts w:eastAsia="Calibri" w:cs="Arial"/>
          <w:sz w:val="22"/>
          <w:szCs w:val="22"/>
        </w:rPr>
        <w:instrText>ADDIN CSL_CITATION { "citationItems" : [ { "id" : "ITEM-1", "itemData" : { "author" : [ { "dropping-particle" : "", "family" : "Rural.", "given" : "Ministerio de Agricultura y Desarrollo", "non-dropping-particle" : "", "parse-names" : false, "suffix" : "" } ], "id" : "ITEM-1", "issued" : { "date-parts" : [ [ "2002" ] ] }, "title" : "Resoluci\u00f3n 00074. Establece el reglamento para la producci\u00f3n primaria, procesamiento, empacado, etiquetado, almacenamiento, certificaci\u00f3n, importaci\u00f3n y comercializaci\u00f3n de productos agropecuarios", "type" : "report" }, "uris" : [ "http://www.mendeley.com/documents/?uuid=51b27a94-f205-479d-a42a-868eead2767d" ] } ], "mendeley" : { "formattedCitation" : "(17)", "plainTextFormattedCitation" : "(17)", "previouslyFormattedCitation" : "(17)" }, "properties" : { "noteIndex" : 0 }, "schema" : "https://github.com/citation-style-language/schema/raw/master/csl-citation.json" }</w:instrText>
      </w:r>
      <w:r w:rsidRPr="007528E0">
        <w:rPr>
          <w:rFonts w:eastAsia="Calibri" w:cs="Arial"/>
          <w:sz w:val="22"/>
          <w:szCs w:val="22"/>
        </w:rPr>
        <w:fldChar w:fldCharType="separate"/>
      </w:r>
      <w:r w:rsidRPr="007528E0">
        <w:rPr>
          <w:rFonts w:eastAsia="Calibri" w:cs="Arial"/>
          <w:noProof/>
          <w:sz w:val="22"/>
          <w:szCs w:val="22"/>
        </w:rPr>
        <w:t>(17)</w:t>
      </w:r>
      <w:r w:rsidRPr="007528E0">
        <w:rPr>
          <w:rFonts w:eastAsia="Calibri" w:cs="Arial"/>
          <w:sz w:val="22"/>
          <w:szCs w:val="22"/>
        </w:rPr>
        <w:fldChar w:fldCharType="end"/>
      </w:r>
      <w:r w:rsidRPr="007528E0">
        <w:rPr>
          <w:rFonts w:eastAsia="Calibri" w:cs="Arial"/>
          <w:sz w:val="22"/>
          <w:szCs w:val="22"/>
        </w:rPr>
        <w:t>. Para los efectos de la notificación del evento esta denominación no incluye los plaguicidas como medicamentos veterinarios, y cuando sea el caso se reportaran como intoxicación por plaguicidas.</w:t>
      </w:r>
    </w:p>
    <w:p w14:paraId="70FF1348" w14:textId="77777777" w:rsidR="0037398A" w:rsidRPr="007528E0" w:rsidRDefault="0037398A" w:rsidP="0037398A">
      <w:pPr>
        <w:spacing w:before="100" w:beforeAutospacing="1" w:after="100" w:afterAutospacing="1"/>
        <w:ind w:left="-11"/>
        <w:rPr>
          <w:rFonts w:eastAsia="Calibri" w:cs="Arial"/>
          <w:sz w:val="22"/>
          <w:szCs w:val="22"/>
          <w:lang w:eastAsia="es-CO"/>
        </w:rPr>
      </w:pPr>
      <w:r w:rsidRPr="007528E0">
        <w:rPr>
          <w:rFonts w:eastAsia="Calibri" w:cs="Arial"/>
          <w:b/>
          <w:sz w:val="22"/>
          <w:szCs w:val="22"/>
          <w:lang w:eastAsia="es-CO"/>
        </w:rPr>
        <w:lastRenderedPageBreak/>
        <w:t xml:space="preserve">Producto </w:t>
      </w:r>
      <w:proofErr w:type="spellStart"/>
      <w:r w:rsidRPr="007528E0">
        <w:rPr>
          <w:rFonts w:eastAsia="Calibri" w:cs="Arial"/>
          <w:b/>
          <w:sz w:val="22"/>
          <w:szCs w:val="22"/>
          <w:lang w:eastAsia="es-CO"/>
        </w:rPr>
        <w:t>fitoterapéutico</w:t>
      </w:r>
      <w:proofErr w:type="spellEnd"/>
      <w:r w:rsidRPr="007528E0">
        <w:rPr>
          <w:rFonts w:eastAsia="Calibri" w:cs="Arial"/>
          <w:b/>
          <w:sz w:val="22"/>
          <w:szCs w:val="22"/>
          <w:lang w:eastAsia="es-CO"/>
        </w:rPr>
        <w:t>:</w:t>
      </w:r>
      <w:r w:rsidRPr="007528E0">
        <w:rPr>
          <w:rFonts w:eastAsia="Calibri" w:cs="Arial"/>
          <w:sz w:val="22"/>
          <w:szCs w:val="22"/>
          <w:lang w:eastAsia="es-CO"/>
        </w:rPr>
        <w:t xml:space="preserve"> Producto medicinal empacado y etiquetado, cuyas sustancias activas provienen del material de una planta medicinal o sus asociaciones, presentado en estado bruto o en forma farmacéutica, y que se utiliza con fines terapéuticos. También puede provenir de extractos, tinturas o aceites. No podrá contener en su formulación principios activos aislados y químicamente definidos. Los productos obtenidos del material de la planta medicinal, que hayan sido procesados y obtenidos en forma pura, no serán clasificados como productos </w:t>
      </w:r>
      <w:proofErr w:type="spellStart"/>
      <w:r w:rsidRPr="007528E0">
        <w:rPr>
          <w:rFonts w:eastAsia="Calibri" w:cs="Arial"/>
          <w:sz w:val="22"/>
          <w:szCs w:val="22"/>
          <w:lang w:eastAsia="es-CO"/>
        </w:rPr>
        <w:t>fitoterapéuticos</w:t>
      </w:r>
      <w:proofErr w:type="spellEnd"/>
      <w:r w:rsidRPr="007528E0">
        <w:rPr>
          <w:rFonts w:eastAsia="Calibri" w:cs="Arial"/>
          <w:sz w:val="22"/>
          <w:szCs w:val="22"/>
          <w:lang w:eastAsia="es-CO"/>
        </w:rPr>
        <w:t xml:space="preserve"> </w:t>
      </w:r>
      <w:r w:rsidRPr="007528E0">
        <w:rPr>
          <w:rFonts w:eastAsia="Calibri" w:cs="Arial"/>
          <w:sz w:val="22"/>
          <w:szCs w:val="22"/>
          <w:lang w:eastAsia="es-CO"/>
        </w:rPr>
        <w:fldChar w:fldCharType="begin" w:fldLock="1"/>
      </w:r>
      <w:r w:rsidRPr="007528E0">
        <w:rPr>
          <w:rFonts w:eastAsia="Calibri" w:cs="Arial"/>
          <w:sz w:val="22"/>
          <w:szCs w:val="22"/>
          <w:lang w:eastAsia="es-CO"/>
        </w:rPr>
        <w:instrText>ADDIN CSL_CITATION { "citationItems" : [ { "id" : "ITEM-1", "itemData" : { "author" : [ { "dropping-particle" : "", "family" : "Guevara, H.A., P.E. Luengas", "given" : "and G. Garavito", "non-dropping-particle" : "", "parse-names" : false, "suffix" : "" } ], "container-title" : "Colombia M\u00e9dica,", "id" : "ITEM-1", "issue" : "41", "issued" : { "date-parts" : [ [ "2010" ] ] }, "page" : "129-140", "title" : "Revisi\u00f3n documental de los productos naturales legalmente autorizados para su mercadeo en Colombia", "type" : "article-journal", "volume" : "2" }, "uris" : [ "http://www.mendeley.com/documents/?uuid=050bc709-8720-4d24-a65b-927ed566c949" ] } ], "mendeley" : { "formattedCitation" : "(18)", "plainTextFormattedCitation" : "(18)", "previouslyFormattedCitation" : "(18)" }, "properties" : { "noteIndex" : 0 }, "schema" : "https://github.com/citation-style-language/schema/raw/master/csl-citation.json" }</w:instrText>
      </w:r>
      <w:r w:rsidRPr="007528E0">
        <w:rPr>
          <w:rFonts w:eastAsia="Calibri" w:cs="Arial"/>
          <w:sz w:val="22"/>
          <w:szCs w:val="22"/>
          <w:lang w:eastAsia="es-CO"/>
        </w:rPr>
        <w:fldChar w:fldCharType="separate"/>
      </w:r>
      <w:r w:rsidRPr="007528E0">
        <w:rPr>
          <w:rFonts w:eastAsia="Calibri" w:cs="Arial"/>
          <w:noProof/>
          <w:sz w:val="22"/>
          <w:szCs w:val="22"/>
          <w:lang w:eastAsia="es-CO"/>
        </w:rPr>
        <w:t>(18)</w:t>
      </w:r>
      <w:r w:rsidRPr="007528E0">
        <w:rPr>
          <w:rFonts w:eastAsia="Calibri" w:cs="Arial"/>
          <w:sz w:val="22"/>
          <w:szCs w:val="22"/>
          <w:lang w:eastAsia="es-CO"/>
        </w:rPr>
        <w:fldChar w:fldCharType="end"/>
      </w:r>
      <w:r w:rsidRPr="007528E0">
        <w:rPr>
          <w:rFonts w:eastAsia="Calibri" w:cs="Arial"/>
          <w:sz w:val="22"/>
          <w:szCs w:val="22"/>
          <w:lang w:eastAsia="es-CO"/>
        </w:rPr>
        <w:fldChar w:fldCharType="begin" w:fldLock="1"/>
      </w:r>
      <w:r w:rsidRPr="007528E0">
        <w:rPr>
          <w:rFonts w:eastAsia="Calibri" w:cs="Arial"/>
          <w:sz w:val="22"/>
          <w:szCs w:val="22"/>
          <w:lang w:eastAsia="es-CO"/>
        </w:rPr>
        <w:instrText>ADDIN CSL_CITATION { "citationItems" : [ { "id" : "ITEM-1", "itemData" : { "author" : [ { "dropping-particle" : "", "family" : "Ministerio de la Protecci\u00f3n Social", "given" : "", "non-dropping-particle" : "", "parse-names" : false, "suffix" : "" } ], "id" : "ITEM-1", "issued" : { "date-parts" : [ [ "2004" ] ] }, "title" : "Decreto 2266 de 2004. Reglamentaci\u00f3n del r\u00e9gimen de registros sanitarios y de vigilancia y control sanitario y publicidad de productos fitoterap\u00e9uticos.", "type" : "report" }, "uris" : [ "http://www.mendeley.com/documents/?uuid=3e0b69f2-fc8f-4887-97b7-745cb3159122" ] } ], "mendeley" : { "formattedCitation" : "(19)", "plainTextFormattedCitation" : "(19)", "previouslyFormattedCitation" : "(19)" }, "properties" : { "noteIndex" : 0 }, "schema" : "https://github.com/citation-style-language/schema/raw/master/csl-citation.json" }</w:instrText>
      </w:r>
      <w:r w:rsidRPr="007528E0">
        <w:rPr>
          <w:rFonts w:eastAsia="Calibri" w:cs="Arial"/>
          <w:sz w:val="22"/>
          <w:szCs w:val="22"/>
          <w:lang w:eastAsia="es-CO"/>
        </w:rPr>
        <w:fldChar w:fldCharType="separate"/>
      </w:r>
      <w:r w:rsidRPr="007528E0">
        <w:rPr>
          <w:rFonts w:eastAsia="Calibri" w:cs="Arial"/>
          <w:noProof/>
          <w:sz w:val="22"/>
          <w:szCs w:val="22"/>
          <w:lang w:eastAsia="es-CO"/>
        </w:rPr>
        <w:t>(19)</w:t>
      </w:r>
      <w:r w:rsidRPr="007528E0">
        <w:rPr>
          <w:rFonts w:eastAsia="Calibri" w:cs="Arial"/>
          <w:sz w:val="22"/>
          <w:szCs w:val="22"/>
          <w:lang w:eastAsia="es-CO"/>
        </w:rPr>
        <w:fldChar w:fldCharType="end"/>
      </w:r>
      <w:r w:rsidRPr="007528E0">
        <w:rPr>
          <w:rFonts w:eastAsia="Calibri" w:cs="Arial"/>
          <w:sz w:val="22"/>
          <w:szCs w:val="22"/>
          <w:lang w:eastAsia="es-CO"/>
        </w:rPr>
        <w:t>.</w:t>
      </w:r>
    </w:p>
    <w:p w14:paraId="04939BC8" w14:textId="77777777" w:rsidR="0037398A" w:rsidRPr="007528E0" w:rsidRDefault="0037398A" w:rsidP="0037398A">
      <w:pPr>
        <w:spacing w:before="100" w:beforeAutospacing="1" w:after="100" w:afterAutospacing="1"/>
        <w:ind w:left="-11"/>
        <w:rPr>
          <w:rFonts w:eastAsia="Calibri" w:cs="Arial"/>
          <w:sz w:val="22"/>
          <w:szCs w:val="22"/>
        </w:rPr>
      </w:pPr>
      <w:r w:rsidRPr="007528E0">
        <w:rPr>
          <w:rFonts w:eastAsia="Calibri" w:cs="Arial"/>
          <w:b/>
          <w:sz w:val="22"/>
          <w:szCs w:val="22"/>
        </w:rPr>
        <w:t>Plantas medicinales aceptadas con fines terapéuticos</w:t>
      </w:r>
      <w:r w:rsidRPr="007528E0">
        <w:rPr>
          <w:rFonts w:eastAsia="Calibri" w:cs="Arial"/>
          <w:sz w:val="22"/>
          <w:szCs w:val="22"/>
        </w:rPr>
        <w:t xml:space="preserve">: Es el listado de plantas medicinales aceptadas con fines terapéuticos, que se encuentran incluidas en normas farmacológicas colombianas vigentes atendiendo a criterios de seguridad y eficacia </w:t>
      </w:r>
      <w:r w:rsidRPr="007528E0">
        <w:rPr>
          <w:rFonts w:eastAsia="Calibri" w:cs="Arial"/>
          <w:sz w:val="22"/>
          <w:szCs w:val="22"/>
        </w:rPr>
        <w:fldChar w:fldCharType="begin" w:fldLock="1"/>
      </w:r>
      <w:r w:rsidRPr="007528E0">
        <w:rPr>
          <w:rFonts w:eastAsia="Calibri" w:cs="Arial"/>
          <w:sz w:val="22"/>
          <w:szCs w:val="22"/>
        </w:rPr>
        <w:instrText>ADDIN CSL_CITATION { "citationItems" : [ { "id" : "ITEM-1", "itemData" : { "author" : [ { "dropping-particle" : "", "family" : "Guevara, H.A., P.E. Luengas", "given" : "and G. Garavito", "non-dropping-particle" : "", "parse-names" : false, "suffix" : "" } ], "container-title" : "Colombia M\u00e9dica,", "id" : "ITEM-1", "issue" : "41", "issued" : { "date-parts" : [ [ "2010" ] ] }, "page" : "129-140", "title" : "Revisi\u00f3n documental de los productos naturales legalmente autorizados para su mercadeo en Colombia", "type" : "article-journal", "volume" : "2" }, "uris" : [ "http://www.mendeley.com/documents/?uuid=050bc709-8720-4d24-a65b-927ed566c949" ] } ], "mendeley" : { "formattedCitation" : "(18)", "plainTextFormattedCitation" : "(18)", "previouslyFormattedCitation" : "(18)" }, "properties" : { "noteIndex" : 0 }, "schema" : "https://github.com/citation-style-language/schema/raw/master/csl-citation.json" }</w:instrText>
      </w:r>
      <w:r w:rsidRPr="007528E0">
        <w:rPr>
          <w:rFonts w:eastAsia="Calibri" w:cs="Arial"/>
          <w:sz w:val="22"/>
          <w:szCs w:val="22"/>
        </w:rPr>
        <w:fldChar w:fldCharType="separate"/>
      </w:r>
      <w:r w:rsidRPr="007528E0">
        <w:rPr>
          <w:rFonts w:eastAsia="Calibri" w:cs="Arial"/>
          <w:noProof/>
          <w:sz w:val="22"/>
          <w:szCs w:val="22"/>
        </w:rPr>
        <w:t>(18)</w:t>
      </w:r>
      <w:r w:rsidRPr="007528E0">
        <w:rPr>
          <w:rFonts w:eastAsia="Calibri" w:cs="Arial"/>
          <w:sz w:val="22"/>
          <w:szCs w:val="22"/>
        </w:rPr>
        <w:fldChar w:fldCharType="end"/>
      </w:r>
      <w:r w:rsidRPr="007528E0">
        <w:rPr>
          <w:rFonts w:eastAsia="Calibri" w:cs="Arial"/>
          <w:sz w:val="22"/>
          <w:szCs w:val="22"/>
        </w:rPr>
        <w:t>.</w:t>
      </w:r>
    </w:p>
    <w:p w14:paraId="2DCC0D6A" w14:textId="77777777" w:rsidR="0037398A" w:rsidRPr="007528E0" w:rsidRDefault="0037398A" w:rsidP="0037398A">
      <w:pPr>
        <w:spacing w:before="100" w:beforeAutospacing="1" w:after="100" w:afterAutospacing="1"/>
        <w:ind w:left="-11"/>
        <w:rPr>
          <w:rFonts w:cs="Arial"/>
          <w:sz w:val="22"/>
          <w:szCs w:val="22"/>
        </w:rPr>
      </w:pPr>
      <w:r w:rsidRPr="007528E0">
        <w:rPr>
          <w:rFonts w:eastAsia="Calibri" w:cs="Arial"/>
          <w:b/>
          <w:sz w:val="22"/>
          <w:szCs w:val="22"/>
        </w:rPr>
        <w:t xml:space="preserve">Reacción adversa producidas por medicamentos - RAM (adverse </w:t>
      </w:r>
      <w:proofErr w:type="spellStart"/>
      <w:r w:rsidRPr="007528E0">
        <w:rPr>
          <w:rFonts w:eastAsia="Calibri" w:cs="Arial"/>
          <w:b/>
          <w:sz w:val="22"/>
          <w:szCs w:val="22"/>
        </w:rPr>
        <w:t>drug</w:t>
      </w:r>
      <w:proofErr w:type="spellEnd"/>
      <w:r w:rsidRPr="007528E0">
        <w:rPr>
          <w:rFonts w:eastAsia="Calibri" w:cs="Arial"/>
          <w:b/>
          <w:sz w:val="22"/>
          <w:szCs w:val="22"/>
        </w:rPr>
        <w:t xml:space="preserve"> </w:t>
      </w:r>
      <w:proofErr w:type="spellStart"/>
      <w:r w:rsidRPr="007528E0">
        <w:rPr>
          <w:rFonts w:eastAsia="Calibri" w:cs="Arial"/>
          <w:b/>
          <w:sz w:val="22"/>
          <w:szCs w:val="22"/>
        </w:rPr>
        <w:t>reaction</w:t>
      </w:r>
      <w:proofErr w:type="spellEnd"/>
      <w:r w:rsidRPr="007528E0">
        <w:rPr>
          <w:rFonts w:eastAsia="Calibri" w:cs="Arial"/>
          <w:b/>
          <w:sz w:val="22"/>
          <w:szCs w:val="22"/>
        </w:rPr>
        <w:t>):</w:t>
      </w:r>
      <w:r w:rsidRPr="007528E0">
        <w:rPr>
          <w:rFonts w:eastAsia="Calibri" w:cs="Arial"/>
          <w:sz w:val="22"/>
          <w:szCs w:val="22"/>
        </w:rPr>
        <w:t xml:space="preserve"> Es una respuesta nociva y no intencionada a un medicamento que se produce con las dosis utilizadas normalmente para obtener una actividad terapéutica, profilaxis o diagnóstico. Por tanto, las RAM son efectos no deseados ni intencionados de un medicamento, incluidos los efectos idiosincrásicos, que se producen durante su uso adecuado. Difieren de la dosificación excesiva accidental o intencionada o de la mala administración de un medicamento </w:t>
      </w:r>
      <w:r w:rsidRPr="007528E0">
        <w:rPr>
          <w:rFonts w:eastAsia="Calibri" w:cs="Arial"/>
          <w:sz w:val="22"/>
          <w:szCs w:val="22"/>
        </w:rPr>
        <w:fldChar w:fldCharType="begin" w:fldLock="1"/>
      </w:r>
      <w:r w:rsidRPr="007528E0">
        <w:rPr>
          <w:rFonts w:eastAsia="Calibri" w:cs="Arial"/>
          <w:sz w:val="22"/>
          <w:szCs w:val="22"/>
        </w:rPr>
        <w:instrText>ADDIN CSL_CITATION { "citationItems" : [ { "id" : "ITEM-1", "itemData" : { "author" : [ { "dropping-particle" : "", "family" : "Wirtz, V., A. Dreser", "given" : "and R. Leyva", "non-dropping-particle" : "", "parse-names" : false, "suffix" : "" } ], "container-title" : "Salud P\u00fablica M\u00e9x.", "id" : "ITEM-1", "issue" : "51", "issued" : { "date-parts" : [ [ "2009" ] ] }, "page" : "79 - 180", "title" : "El debate sobre la automedicaci\u00f3n", "type" : "article-journal", "volume" : "3" }, "uris" : [ "http://www.mendeley.com/documents/?uuid=11201aff-b813-4847-93fe-9d989af225c0" ] } ], "mendeley" : { "formattedCitation" : "(3)", "plainTextFormattedCitation" : "(3)", "previouslyFormattedCitation" : "(3)" }, "properties" : { "noteIndex" : 0 }, "schema" : "https://github.com/citation-style-language/schema/raw/master/csl-citation.json" }</w:instrText>
      </w:r>
      <w:r w:rsidRPr="007528E0">
        <w:rPr>
          <w:rFonts w:eastAsia="Calibri" w:cs="Arial"/>
          <w:sz w:val="22"/>
          <w:szCs w:val="22"/>
        </w:rPr>
        <w:fldChar w:fldCharType="separate"/>
      </w:r>
      <w:r w:rsidRPr="007528E0">
        <w:rPr>
          <w:rFonts w:eastAsia="Calibri" w:cs="Arial"/>
          <w:noProof/>
          <w:sz w:val="22"/>
          <w:szCs w:val="22"/>
        </w:rPr>
        <w:t>(3)</w:t>
      </w:r>
      <w:r w:rsidRPr="007528E0">
        <w:rPr>
          <w:rFonts w:eastAsia="Calibri" w:cs="Arial"/>
          <w:sz w:val="22"/>
          <w:szCs w:val="22"/>
        </w:rPr>
        <w:fldChar w:fldCharType="end"/>
      </w:r>
      <w:r w:rsidRPr="007528E0">
        <w:rPr>
          <w:rFonts w:eastAsia="Calibri" w:cs="Arial"/>
          <w:sz w:val="22"/>
          <w:szCs w:val="22"/>
        </w:rPr>
        <w:fldChar w:fldCharType="begin" w:fldLock="1"/>
      </w:r>
      <w:r w:rsidRPr="007528E0">
        <w:rPr>
          <w:rFonts w:eastAsia="Calibri" w:cs="Arial"/>
          <w:sz w:val="22"/>
          <w:szCs w:val="22"/>
        </w:rPr>
        <w:instrText>ADDIN CSL_CITATION { "citationItems" : [ { "id" : "ITEM-1", "itemData" : { "author" : [ { "dropping-particle" : "", "family" : "Ministerio de la Protecci\u00f3n Social. Colombia", "given" : "", "non-dropping-particle" : "", "parse-names" : false, "suffix" : "" } ], "id" : "ITEM-1", "issued" : { "date-parts" : [ [ "2006" ] ] }, "title" : "Decreto 3249. Reglamenta la fabricaci\u00f3n, comercializaci\u00f3n, envase, rotulado o etiquetado, r\u00e9gimen de registro sanitario, de control de calidad, de vigilancia sanitaria y control sanitario de los suplementos dietarios.", "type" : "report" }, "uris" : [ "http://www.mendeley.com/documents/?uuid=bffd406b-ae85-4aa2-9fe1-450bb0fadf01" ] } ], "mendeley" : { "formattedCitation" : "(20)", "plainTextFormattedCitation" : "(20)", "previouslyFormattedCitation" : "(20)" }, "properties" : { "noteIndex" : 0 }, "schema" : "https://github.com/citation-style-language/schema/raw/master/csl-citation.json" }</w:instrText>
      </w:r>
      <w:r w:rsidRPr="007528E0">
        <w:rPr>
          <w:rFonts w:eastAsia="Calibri" w:cs="Arial"/>
          <w:sz w:val="22"/>
          <w:szCs w:val="22"/>
        </w:rPr>
        <w:fldChar w:fldCharType="separate"/>
      </w:r>
      <w:r w:rsidRPr="007528E0">
        <w:rPr>
          <w:rFonts w:eastAsia="Calibri" w:cs="Arial"/>
          <w:noProof/>
          <w:sz w:val="22"/>
          <w:szCs w:val="22"/>
        </w:rPr>
        <w:t>(20)</w:t>
      </w:r>
      <w:r w:rsidRPr="007528E0">
        <w:rPr>
          <w:rFonts w:eastAsia="Calibri" w:cs="Arial"/>
          <w:sz w:val="22"/>
          <w:szCs w:val="22"/>
        </w:rPr>
        <w:fldChar w:fldCharType="end"/>
      </w:r>
      <w:r w:rsidRPr="007528E0">
        <w:rPr>
          <w:rFonts w:eastAsia="Calibri" w:cs="Arial"/>
          <w:sz w:val="22"/>
          <w:szCs w:val="22"/>
        </w:rPr>
        <w:t>.</w:t>
      </w:r>
    </w:p>
    <w:p w14:paraId="082B7979" w14:textId="77777777" w:rsidR="0037398A" w:rsidRPr="007528E0" w:rsidRDefault="0037398A" w:rsidP="0037398A">
      <w:pPr>
        <w:spacing w:before="100" w:beforeAutospacing="1" w:after="100" w:afterAutospacing="1"/>
        <w:ind w:left="-11"/>
        <w:rPr>
          <w:rFonts w:eastAsia="Calibri" w:cs="Arial"/>
          <w:sz w:val="22"/>
          <w:szCs w:val="22"/>
        </w:rPr>
      </w:pPr>
      <w:r w:rsidRPr="007528E0">
        <w:rPr>
          <w:rFonts w:eastAsia="Calibri" w:cs="Arial"/>
          <w:b/>
          <w:sz w:val="22"/>
          <w:szCs w:val="22"/>
        </w:rPr>
        <w:t>Suplemento dietario:</w:t>
      </w:r>
      <w:r w:rsidRPr="007528E0">
        <w:rPr>
          <w:rFonts w:eastAsia="Calibri" w:cs="Arial"/>
          <w:sz w:val="22"/>
          <w:szCs w:val="22"/>
        </w:rPr>
        <w:t xml:space="preserve"> Es aquel producto cuyo propósito es adicionar la dieta normal y que es fuente concentrada de nutrientes y otras sustancias con efecto fisiológico o nutricional que puede contener vitaminas, minerales, proteínas, aminoácidos, otros nutrientes y derivados de nutrientes, plantas, concentrados y extractos de plantas solas o en combinación </w:t>
      </w:r>
      <w:r w:rsidRPr="007528E0">
        <w:rPr>
          <w:rFonts w:eastAsia="Calibri" w:cs="Arial"/>
          <w:sz w:val="22"/>
          <w:szCs w:val="22"/>
        </w:rPr>
        <w:fldChar w:fldCharType="begin" w:fldLock="1"/>
      </w:r>
      <w:r w:rsidRPr="007528E0">
        <w:rPr>
          <w:rFonts w:eastAsia="Calibri" w:cs="Arial"/>
          <w:sz w:val="22"/>
          <w:szCs w:val="22"/>
        </w:rPr>
        <w:instrText>ADDIN CSL_CITATION { "citationItems" : [ { "id" : "ITEM-1", "itemData" : { "author" : [ { "dropping-particle" : "", "family" : "Ministerio de la Protecci\u00f3n Social. Colombia", "given" : "", "non-dropping-particle" : "", "parse-names" : false, "suffix" : "" } ], "id" : "ITEM-1", "issued" : { "date-parts" : [ [ "2006" ] ] }, "title" : "Decreto 3249. Reglamenta la fabricaci\u00f3n, comercializaci\u00f3n, envase, rotulado o etiquetado, r\u00e9gimen de registro sanitario, de control de calidad, de vigilancia sanitaria y control sanitario de los suplementos dietarios.", "type" : "report" }, "uris" : [ "http://www.mendeley.com/documents/?uuid=bffd406b-ae85-4aa2-9fe1-450bb0fadf01" ] } ], "mendeley" : { "formattedCitation" : "(20)", "plainTextFormattedCitation" : "(20)", "previouslyFormattedCitation" : "(20)" }, "properties" : { "noteIndex" : 0 }, "schema" : "https://github.com/citation-style-language/schema/raw/master/csl-citation.json" }</w:instrText>
      </w:r>
      <w:r w:rsidRPr="007528E0">
        <w:rPr>
          <w:rFonts w:eastAsia="Calibri" w:cs="Arial"/>
          <w:sz w:val="22"/>
          <w:szCs w:val="22"/>
        </w:rPr>
        <w:fldChar w:fldCharType="separate"/>
      </w:r>
      <w:r w:rsidRPr="007528E0">
        <w:rPr>
          <w:rFonts w:eastAsia="Calibri" w:cs="Arial"/>
          <w:noProof/>
          <w:sz w:val="22"/>
          <w:szCs w:val="22"/>
        </w:rPr>
        <w:t>(20)</w:t>
      </w:r>
      <w:r w:rsidRPr="007528E0">
        <w:rPr>
          <w:rFonts w:eastAsia="Calibri" w:cs="Arial"/>
          <w:sz w:val="22"/>
          <w:szCs w:val="22"/>
        </w:rPr>
        <w:fldChar w:fldCharType="end"/>
      </w:r>
      <w:r w:rsidRPr="007528E0">
        <w:rPr>
          <w:rFonts w:eastAsia="Calibri" w:cs="Arial"/>
          <w:sz w:val="22"/>
          <w:szCs w:val="22"/>
        </w:rPr>
        <w:t>. La denominación suplemento dietario está contemplada en el  Decreto 3249/2006 y reemplazó la denominació</w:t>
      </w:r>
      <w:bookmarkStart w:id="5" w:name="_Ref213771202"/>
      <w:r w:rsidRPr="007528E0">
        <w:rPr>
          <w:rFonts w:eastAsia="Calibri" w:cs="Arial"/>
          <w:sz w:val="22"/>
          <w:szCs w:val="22"/>
        </w:rPr>
        <w:t>n “producto de uso específico”</w:t>
      </w:r>
      <w:bookmarkEnd w:id="5"/>
      <w:r w:rsidRPr="007528E0">
        <w:rPr>
          <w:rFonts w:eastAsia="Calibri" w:cs="Arial"/>
          <w:sz w:val="22"/>
          <w:szCs w:val="22"/>
        </w:rPr>
        <w:t xml:space="preserve"> que estaba contemplada en el Decreto 3636/2005 el cual fue derogado.</w:t>
      </w:r>
    </w:p>
    <w:p w14:paraId="06DFC1E5" w14:textId="77777777" w:rsidR="0037398A" w:rsidRPr="007528E0" w:rsidRDefault="0037398A" w:rsidP="0037398A">
      <w:pPr>
        <w:spacing w:before="100" w:beforeAutospacing="1" w:after="100" w:afterAutospacing="1"/>
        <w:rPr>
          <w:rFonts w:eastAsia="Calibri" w:cs="Arial"/>
          <w:sz w:val="22"/>
          <w:szCs w:val="22"/>
          <w:vertAlign w:val="superscript"/>
          <w:lang w:val="es-CO" w:eastAsia="es-CO"/>
        </w:rPr>
      </w:pPr>
      <w:r w:rsidRPr="007528E0">
        <w:rPr>
          <w:rFonts w:eastAsia="Calibri" w:cs="Arial"/>
          <w:b/>
          <w:bCs/>
          <w:sz w:val="22"/>
          <w:szCs w:val="22"/>
          <w:lang w:val="es-CO" w:eastAsia="es-CO"/>
        </w:rPr>
        <w:t xml:space="preserve">Sustancia o droga psicoactiva: </w:t>
      </w:r>
      <w:r w:rsidRPr="007528E0">
        <w:rPr>
          <w:rFonts w:eastAsia="Calibri" w:cs="Arial"/>
          <w:sz w:val="22"/>
          <w:szCs w:val="22"/>
          <w:lang w:val="es-CO" w:eastAsia="es-CO"/>
        </w:rPr>
        <w:t>Es el término más neutral y descriptivo que se usa para referirse a todas aquellas sustancias, tanto legales como ilegales que afectan los procesos mentales (cognición, emociones, etc.). Este término es equivalente a droga o sustancia psicotrópica y no implica necesariamente que produzca dependencia. En el lenguaje común el término queda implícito cuando se usan  expresiones como “uso de drogas” o “abuso de sustancias”</w:t>
      </w:r>
      <w:r w:rsidRPr="007528E0">
        <w:rPr>
          <w:rFonts w:eastAsia="Calibri" w:cs="Arial"/>
          <w:sz w:val="22"/>
          <w:szCs w:val="22"/>
          <w:lang w:val="es-CO" w:eastAsia="es-CO"/>
        </w:rPr>
        <w:fldChar w:fldCharType="begin" w:fldLock="1"/>
      </w:r>
      <w:r w:rsidRPr="007528E0">
        <w:rPr>
          <w:rFonts w:eastAsia="Calibri" w:cs="Arial"/>
          <w:sz w:val="22"/>
          <w:szCs w:val="22"/>
          <w:lang w:val="es-CO" w:eastAsia="es-CO"/>
        </w:rPr>
        <w:instrText>ADDIN CSL_CITATION { "citationItems" : [ { "id" : "ITEM-1", "itemData" : { "author" : [ { "dropping-particle" : "", "family" : "Babor, T.", "given" : "et al.", "non-dropping-particle" : "", "parse-names" : false, "suffix" : "" } ], "id" : "ITEM-1", "issued" : { "date-parts" : [ [ "1994" ] ] }, "title" : "Lexicon of alcohol and drug terms World Health Organization", "type" : "report" }, "uris" : [ "http://www.mendeley.com/documents/?uuid=c24305d3-5e13-4660-894b-92d3e548309e" ] } ], "mendeley" : { "formattedCitation" : "(7)", "plainTextFormattedCitation" : "(7)", "previouslyFormattedCitation" : "(7)" }, "properties" : { "noteIndex" : 0 }, "schema" : "https://github.com/citation-style-language/schema/raw/master/csl-citation.json" }</w:instrText>
      </w:r>
      <w:r w:rsidRPr="007528E0">
        <w:rPr>
          <w:rFonts w:eastAsia="Calibri" w:cs="Arial"/>
          <w:sz w:val="22"/>
          <w:szCs w:val="22"/>
          <w:lang w:val="es-CO" w:eastAsia="es-CO"/>
        </w:rPr>
        <w:fldChar w:fldCharType="separate"/>
      </w:r>
      <w:r w:rsidRPr="007528E0">
        <w:rPr>
          <w:rFonts w:eastAsia="Calibri" w:cs="Arial"/>
          <w:noProof/>
          <w:sz w:val="22"/>
          <w:szCs w:val="22"/>
          <w:lang w:val="es-CO" w:eastAsia="es-CO"/>
        </w:rPr>
        <w:t>(7)</w:t>
      </w:r>
      <w:r w:rsidRPr="007528E0">
        <w:rPr>
          <w:rFonts w:eastAsia="Calibri" w:cs="Arial"/>
          <w:sz w:val="22"/>
          <w:szCs w:val="22"/>
          <w:lang w:val="es-CO" w:eastAsia="es-CO"/>
        </w:rPr>
        <w:fldChar w:fldCharType="end"/>
      </w:r>
      <w:r w:rsidRPr="007528E0">
        <w:rPr>
          <w:rFonts w:eastAsia="Calibri" w:cs="Arial"/>
          <w:sz w:val="22"/>
          <w:szCs w:val="22"/>
          <w:lang w:val="es-CO" w:eastAsia="es-CO"/>
        </w:rPr>
        <w:fldChar w:fldCharType="begin" w:fldLock="1"/>
      </w:r>
      <w:r w:rsidRPr="007528E0">
        <w:rPr>
          <w:rFonts w:eastAsia="Calibri" w:cs="Arial"/>
          <w:sz w:val="22"/>
          <w:szCs w:val="22"/>
          <w:lang w:val="es-CO" w:eastAsia="es-CO"/>
        </w:rPr>
        <w:instrText>ADDIN CSL_CITATION { "citationItems" : [ { "id" : "ITEM-1", "itemData" : { "author" : [ { "dropping-particle" : "", "family" : "ODCCP", "given" : "United Nations Office for Drug Control and Crime Prevention Guidelines.", "non-dropping-particle" : "", "parse-names" : false, "suffix" : "" } ], "id" : "ITEM-1", "issued" : { "date-parts" : [ [ "2000" ] ] }, "title" : "Studies on Drugs and Crime. A Glossary of terms. New York.", "type" : "report" }, "uris" : [ "http://www.mendeley.com/documents/?uuid=d251cd91-da88-4078-aeee-b99e5eaecf24" ] } ], "mendeley" : { "formattedCitation" : "(10)", "plainTextFormattedCitation" : "(10)", "previouslyFormattedCitation" : "(10)" }, "properties" : { "noteIndex" : 0 }, "schema" : "https://github.com/citation-style-language/schema/raw/master/csl-citation.json" }</w:instrText>
      </w:r>
      <w:r w:rsidRPr="007528E0">
        <w:rPr>
          <w:rFonts w:eastAsia="Calibri" w:cs="Arial"/>
          <w:sz w:val="22"/>
          <w:szCs w:val="22"/>
          <w:lang w:val="es-CO" w:eastAsia="es-CO"/>
        </w:rPr>
        <w:fldChar w:fldCharType="separate"/>
      </w:r>
      <w:r w:rsidRPr="007528E0">
        <w:rPr>
          <w:rFonts w:eastAsia="Calibri" w:cs="Arial"/>
          <w:noProof/>
          <w:sz w:val="22"/>
          <w:szCs w:val="22"/>
          <w:lang w:val="es-CO" w:eastAsia="es-CO"/>
        </w:rPr>
        <w:t>(10)</w:t>
      </w:r>
      <w:r w:rsidRPr="007528E0">
        <w:rPr>
          <w:rFonts w:eastAsia="Calibri" w:cs="Arial"/>
          <w:sz w:val="22"/>
          <w:szCs w:val="22"/>
          <w:lang w:val="es-CO" w:eastAsia="es-CO"/>
        </w:rPr>
        <w:fldChar w:fldCharType="end"/>
      </w:r>
      <w:r w:rsidRPr="007528E0">
        <w:rPr>
          <w:rFonts w:eastAsia="Calibri" w:cs="Arial"/>
          <w:sz w:val="22"/>
          <w:szCs w:val="22"/>
          <w:lang w:val="es-CO" w:eastAsia="es-CO"/>
        </w:rPr>
        <w:t xml:space="preserve">. </w:t>
      </w:r>
    </w:p>
    <w:p w14:paraId="511E24BD" w14:textId="77777777" w:rsidR="0037398A" w:rsidRPr="007528E0" w:rsidRDefault="0037398A" w:rsidP="0037398A">
      <w:pPr>
        <w:autoSpaceDE w:val="0"/>
        <w:autoSpaceDN w:val="0"/>
        <w:spacing w:before="100" w:beforeAutospacing="1" w:after="100" w:afterAutospacing="1"/>
        <w:rPr>
          <w:rFonts w:eastAsia="Calibri" w:cs="Arial"/>
          <w:bCs/>
          <w:sz w:val="22"/>
          <w:szCs w:val="22"/>
          <w:lang w:val="es-CO" w:eastAsia="es-CO"/>
        </w:rPr>
      </w:pPr>
      <w:r w:rsidRPr="007528E0">
        <w:rPr>
          <w:rFonts w:eastAsia="Calibri" w:cs="Arial"/>
          <w:b/>
          <w:bCs/>
          <w:sz w:val="22"/>
          <w:szCs w:val="22"/>
          <w:lang w:val="es-CO" w:eastAsia="es-CO"/>
        </w:rPr>
        <w:t>Toxicidad:</w:t>
      </w:r>
      <w:r w:rsidRPr="007528E0">
        <w:rPr>
          <w:rFonts w:eastAsia="Calibri" w:cs="Arial"/>
          <w:bCs/>
          <w:sz w:val="22"/>
          <w:szCs w:val="22"/>
          <w:lang w:val="es-CO" w:eastAsia="es-CO"/>
        </w:rPr>
        <w:t xml:space="preserve"> Capacidad para producir daño a un organismo vivo, en relación con la cantidad o dosis de sustancia administrada o absorbida, la vía de administración y su distribución en el tiempo (dosis única o repetidas), tipo y severidad del daño, tiempo necesario para producir éste, la naturaleza del organismo afectado y otras condiciones intervinientes </w:t>
      </w:r>
      <w:r w:rsidRPr="007528E0">
        <w:rPr>
          <w:rFonts w:eastAsia="Calibri" w:cs="Arial"/>
          <w:bCs/>
          <w:sz w:val="22"/>
          <w:szCs w:val="22"/>
          <w:lang w:val="es-CO" w:eastAsia="es-CO"/>
        </w:rPr>
        <w:fldChar w:fldCharType="begin" w:fldLock="1"/>
      </w:r>
      <w:r w:rsidRPr="007528E0">
        <w:rPr>
          <w:rFonts w:eastAsia="Calibri" w:cs="Arial"/>
          <w:bCs/>
          <w:sz w:val="22"/>
          <w:szCs w:val="22"/>
          <w:lang w:val="es-CO" w:eastAsia="es-CO"/>
        </w:rPr>
        <w:instrText>ADDIN CSL_CITATION { "citationItems" : [ { "id" : "ITEM-1", "itemData" : { "ISBN" : "1569730873", "author" : [ { "dropping-particle" : "", "family" : "Repetto", "given" : "Robert", "non-dropping-particle" : "", "parse-names" : false, "suffix" : "" }, { "dropping-particle" : "", "family" : "Baliga", "given" : "Sanjay S", "non-dropping-particle" : "", "parse-names" : false, "suffix" : "" } ], "id" : "ITEM-1", "issued" : { "date-parts" : [ [ "1996" ] ] }, "number-of-pages" : "109", "title" : "Pesticides and the immune system: the public healt risks", "type" : "book" }, "uris" : [ "http://www.mendeley.com/documents/?uuid=577567b3-c38a-4289-a6d0-20f00ba2f498" ] } ], "mendeley" : { "formattedCitation" : "(2)", "plainTextFormattedCitation" : "(2)", "previouslyFormattedCitation" : "(2)" }, "properties" : { "noteIndex" : 0 }, "schema" : "https://github.com/citation-style-language/schema/raw/master/csl-citation.json" }</w:instrText>
      </w:r>
      <w:r w:rsidRPr="007528E0">
        <w:rPr>
          <w:rFonts w:eastAsia="Calibri" w:cs="Arial"/>
          <w:bCs/>
          <w:sz w:val="22"/>
          <w:szCs w:val="22"/>
          <w:lang w:val="es-CO" w:eastAsia="es-CO"/>
        </w:rPr>
        <w:fldChar w:fldCharType="separate"/>
      </w:r>
      <w:r w:rsidRPr="007528E0">
        <w:rPr>
          <w:rFonts w:eastAsia="Calibri" w:cs="Arial"/>
          <w:bCs/>
          <w:noProof/>
          <w:sz w:val="22"/>
          <w:szCs w:val="22"/>
          <w:lang w:val="es-CO" w:eastAsia="es-CO"/>
        </w:rPr>
        <w:t>(2)</w:t>
      </w:r>
      <w:r w:rsidRPr="007528E0">
        <w:rPr>
          <w:rFonts w:eastAsia="Calibri" w:cs="Arial"/>
          <w:bCs/>
          <w:sz w:val="22"/>
          <w:szCs w:val="22"/>
          <w:lang w:val="es-CO" w:eastAsia="es-CO"/>
        </w:rPr>
        <w:fldChar w:fldCharType="end"/>
      </w:r>
      <w:r w:rsidRPr="007528E0">
        <w:rPr>
          <w:rFonts w:eastAsia="Calibri" w:cs="Arial"/>
          <w:bCs/>
          <w:sz w:val="22"/>
          <w:szCs w:val="22"/>
          <w:lang w:val="es-CO" w:eastAsia="es-CO"/>
        </w:rPr>
        <w:t>.</w:t>
      </w:r>
    </w:p>
    <w:p w14:paraId="0C74497E" w14:textId="77777777" w:rsidR="0037398A" w:rsidRPr="007528E0" w:rsidRDefault="0037398A" w:rsidP="0037398A">
      <w:pPr>
        <w:autoSpaceDE w:val="0"/>
        <w:autoSpaceDN w:val="0"/>
        <w:spacing w:before="100" w:beforeAutospacing="1" w:after="100" w:afterAutospacing="1"/>
        <w:rPr>
          <w:rFonts w:eastAsia="Calibri" w:cs="Arial"/>
          <w:bCs/>
          <w:sz w:val="22"/>
          <w:szCs w:val="22"/>
          <w:lang w:val="es-CO" w:eastAsia="es-CO"/>
        </w:rPr>
      </w:pPr>
      <w:r w:rsidRPr="007528E0">
        <w:rPr>
          <w:rFonts w:eastAsia="Calibri" w:cs="Arial"/>
          <w:b/>
          <w:bCs/>
          <w:sz w:val="22"/>
          <w:szCs w:val="22"/>
          <w:lang w:val="es-CO" w:eastAsia="es-CO"/>
        </w:rPr>
        <w:lastRenderedPageBreak/>
        <w:t>Tóxico:</w:t>
      </w:r>
      <w:r w:rsidRPr="007528E0">
        <w:rPr>
          <w:rFonts w:eastAsia="Calibri" w:cs="Arial"/>
          <w:bCs/>
          <w:sz w:val="22"/>
          <w:szCs w:val="22"/>
          <w:lang w:val="es-CO" w:eastAsia="es-CO"/>
        </w:rPr>
        <w:t xml:space="preserve"> Cualquier agente químico o físico capaz de producir un efecto adverso para la salud. Todos los agentes físicos y químicos son tóxicos potenciales, ya que su acción depende de la dosis y de las circunstancias individuales y ambientales </w:t>
      </w:r>
      <w:r w:rsidRPr="007528E0">
        <w:rPr>
          <w:rFonts w:eastAsia="Calibri" w:cs="Arial"/>
          <w:bCs/>
          <w:sz w:val="22"/>
          <w:szCs w:val="22"/>
          <w:lang w:val="es-CO" w:eastAsia="es-CO"/>
        </w:rPr>
        <w:fldChar w:fldCharType="begin" w:fldLock="1"/>
      </w:r>
      <w:r w:rsidRPr="007528E0">
        <w:rPr>
          <w:rFonts w:eastAsia="Calibri" w:cs="Arial"/>
          <w:bCs/>
          <w:sz w:val="22"/>
          <w:szCs w:val="22"/>
          <w:lang w:val="es-CO" w:eastAsia="es-CO"/>
        </w:rPr>
        <w:instrText>ADDIN CSL_CITATION { "citationItems" : [ { "id" : "ITEM-1", "itemData" : { "ISBN" : "1569730873", "author" : [ { "dropping-particle" : "", "family" : "Repetto", "given" : "Robert", "non-dropping-particle" : "", "parse-names" : false, "suffix" : "" }, { "dropping-particle" : "", "family" : "Baliga", "given" : "Sanjay S", "non-dropping-particle" : "", "parse-names" : false, "suffix" : "" } ], "id" : "ITEM-1", "issued" : { "date-parts" : [ [ "1996" ] ] }, "number-of-pages" : "109", "title" : "Pesticides and the immune system: the public healt risks", "type" : "book" }, "uris" : [ "http://www.mendeley.com/documents/?uuid=577567b3-c38a-4289-a6d0-20f00ba2f498" ] } ], "mendeley" : { "formattedCitation" : "(2)", "plainTextFormattedCitation" : "(2)", "previouslyFormattedCitation" : "(2)" }, "properties" : { "noteIndex" : 0 }, "schema" : "https://github.com/citation-style-language/schema/raw/master/csl-citation.json" }</w:instrText>
      </w:r>
      <w:r w:rsidRPr="007528E0">
        <w:rPr>
          <w:rFonts w:eastAsia="Calibri" w:cs="Arial"/>
          <w:bCs/>
          <w:sz w:val="22"/>
          <w:szCs w:val="22"/>
          <w:lang w:val="es-CO" w:eastAsia="es-CO"/>
        </w:rPr>
        <w:fldChar w:fldCharType="separate"/>
      </w:r>
      <w:r w:rsidRPr="007528E0">
        <w:rPr>
          <w:rFonts w:eastAsia="Calibri" w:cs="Arial"/>
          <w:bCs/>
          <w:noProof/>
          <w:sz w:val="22"/>
          <w:szCs w:val="22"/>
          <w:lang w:val="es-CO" w:eastAsia="es-CO"/>
        </w:rPr>
        <w:t>(2)</w:t>
      </w:r>
      <w:r w:rsidRPr="007528E0">
        <w:rPr>
          <w:rFonts w:eastAsia="Calibri" w:cs="Arial"/>
          <w:bCs/>
          <w:sz w:val="22"/>
          <w:szCs w:val="22"/>
          <w:lang w:val="es-CO" w:eastAsia="es-CO"/>
        </w:rPr>
        <w:fldChar w:fldCharType="end"/>
      </w:r>
      <w:r w:rsidRPr="007528E0">
        <w:rPr>
          <w:rFonts w:eastAsia="Calibri" w:cs="Arial"/>
          <w:bCs/>
          <w:sz w:val="22"/>
          <w:szCs w:val="22"/>
          <w:lang w:val="es-CO" w:eastAsia="es-CO"/>
        </w:rPr>
        <w:t>.</w:t>
      </w:r>
    </w:p>
    <w:p w14:paraId="643430A7" w14:textId="77777777" w:rsidR="0037398A" w:rsidRPr="007528E0" w:rsidRDefault="0037398A" w:rsidP="0037398A">
      <w:pPr>
        <w:autoSpaceDE w:val="0"/>
        <w:autoSpaceDN w:val="0"/>
        <w:spacing w:before="100" w:beforeAutospacing="1" w:after="100" w:afterAutospacing="1"/>
        <w:rPr>
          <w:rFonts w:eastAsia="Calibri" w:cs="Arial"/>
          <w:bCs/>
          <w:sz w:val="22"/>
          <w:szCs w:val="22"/>
          <w:lang w:val="es-CO" w:eastAsia="es-CO"/>
        </w:rPr>
      </w:pPr>
      <w:proofErr w:type="spellStart"/>
      <w:r w:rsidRPr="007528E0">
        <w:rPr>
          <w:rFonts w:eastAsia="Calibri" w:cs="Arial"/>
          <w:b/>
          <w:bCs/>
          <w:sz w:val="22"/>
          <w:szCs w:val="22"/>
          <w:lang w:val="es-CO" w:eastAsia="es-CO"/>
        </w:rPr>
        <w:t>Toxidrome</w:t>
      </w:r>
      <w:proofErr w:type="spellEnd"/>
      <w:r w:rsidRPr="007528E0">
        <w:rPr>
          <w:rFonts w:eastAsia="Calibri" w:cs="Arial"/>
          <w:bCs/>
          <w:sz w:val="22"/>
          <w:szCs w:val="22"/>
          <w:lang w:val="es-CO" w:eastAsia="es-CO"/>
        </w:rPr>
        <w:t xml:space="preserve">: Conjunto o grupo de síntomas y signos clínicos propios de ciertos tóxicos que comparten un mecanismo de acción igual o similar, en combinación con el comportamiento de los signos vitales </w:t>
      </w:r>
      <w:r w:rsidRPr="007528E0">
        <w:rPr>
          <w:rFonts w:eastAsia="Calibri" w:cs="Arial"/>
          <w:bCs/>
          <w:sz w:val="22"/>
          <w:szCs w:val="22"/>
          <w:lang w:val="es-CO" w:eastAsia="es-CO"/>
        </w:rPr>
        <w:fldChar w:fldCharType="begin" w:fldLock="1"/>
      </w:r>
      <w:r w:rsidRPr="007528E0">
        <w:rPr>
          <w:rFonts w:eastAsia="Calibri" w:cs="Arial"/>
          <w:bCs/>
          <w:sz w:val="22"/>
          <w:szCs w:val="22"/>
          <w:lang w:val="es-CO" w:eastAsia="es-CO"/>
        </w:rPr>
        <w:instrText>ADDIN CSL_CITATION { "citationItems" : [ { "id" : "ITEM-1", "itemData" : { "author" : [ { "dropping-particle" : "", "family" : "Mofenson, H.C., J. Greensher", "given" : "and T.R. Caraccio", "non-dropping-particle" : "", "parse-names" : false, "suffix" : "" } ], "container-title" : "Emerg Med Clin North Am", "id" : "ITEM-1", "issue" : "1", "issued" : { "date-parts" : [ [ "1984" ] ] }, "page" : "159-174", "title" : "Ingestions considered nontoxic", "type" : "article-journal", "volume" : "2" }, "uris" : [ "http://www.mendeley.com/documents/?uuid=67f4f992-231b-4207-a370-d5667e633ca1" ] } ], "mendeley" : { "formattedCitation" : "(21)", "plainTextFormattedCitation" : "(21)", "previouslyFormattedCitation" : "(21)" }, "properties" : { "noteIndex" : 0 }, "schema" : "https://github.com/citation-style-language/schema/raw/master/csl-citation.json" }</w:instrText>
      </w:r>
      <w:r w:rsidRPr="007528E0">
        <w:rPr>
          <w:rFonts w:eastAsia="Calibri" w:cs="Arial"/>
          <w:bCs/>
          <w:sz w:val="22"/>
          <w:szCs w:val="22"/>
          <w:lang w:val="es-CO" w:eastAsia="es-CO"/>
        </w:rPr>
        <w:fldChar w:fldCharType="separate"/>
      </w:r>
      <w:r w:rsidRPr="007528E0">
        <w:rPr>
          <w:rFonts w:eastAsia="Calibri" w:cs="Arial"/>
          <w:bCs/>
          <w:noProof/>
          <w:sz w:val="22"/>
          <w:szCs w:val="22"/>
          <w:lang w:val="es-CO" w:eastAsia="es-CO"/>
        </w:rPr>
        <w:t>(21)</w:t>
      </w:r>
      <w:r w:rsidRPr="007528E0">
        <w:rPr>
          <w:rFonts w:eastAsia="Calibri" w:cs="Arial"/>
          <w:bCs/>
          <w:sz w:val="22"/>
          <w:szCs w:val="22"/>
          <w:lang w:val="es-CO" w:eastAsia="es-CO"/>
        </w:rPr>
        <w:fldChar w:fldCharType="end"/>
      </w:r>
      <w:r w:rsidRPr="007528E0">
        <w:rPr>
          <w:rFonts w:eastAsia="Calibri" w:cs="Arial"/>
          <w:bCs/>
          <w:sz w:val="22"/>
          <w:szCs w:val="22"/>
          <w:lang w:val="es-CO" w:eastAsia="es-CO"/>
        </w:rPr>
        <w:t>.</w:t>
      </w:r>
    </w:p>
    <w:p w14:paraId="413B5441" w14:textId="77777777" w:rsidR="0037398A" w:rsidRPr="007528E0" w:rsidRDefault="0037398A" w:rsidP="0037398A">
      <w:pPr>
        <w:autoSpaceDE w:val="0"/>
        <w:autoSpaceDN w:val="0"/>
        <w:spacing w:before="100" w:beforeAutospacing="1" w:after="100" w:afterAutospacing="1"/>
        <w:rPr>
          <w:rFonts w:eastAsia="Calibri" w:cs="Arial"/>
          <w:sz w:val="22"/>
          <w:szCs w:val="22"/>
          <w:lang w:val="es-CO" w:eastAsia="es-CO"/>
        </w:rPr>
      </w:pPr>
      <w:r w:rsidRPr="007528E0">
        <w:rPr>
          <w:rFonts w:eastAsia="Calibri" w:cs="Arial"/>
          <w:b/>
          <w:bCs/>
          <w:sz w:val="22"/>
          <w:szCs w:val="22"/>
          <w:lang w:val="es-CO" w:eastAsia="es-CO"/>
        </w:rPr>
        <w:t xml:space="preserve">Uso de drogas: </w:t>
      </w:r>
      <w:r w:rsidRPr="007528E0">
        <w:rPr>
          <w:rFonts w:eastAsia="Calibri" w:cs="Arial"/>
          <w:bCs/>
          <w:sz w:val="22"/>
          <w:szCs w:val="22"/>
          <w:lang w:val="es-CO" w:eastAsia="es-CO"/>
        </w:rPr>
        <w:t xml:space="preserve">El </w:t>
      </w:r>
      <w:r w:rsidRPr="007528E0">
        <w:rPr>
          <w:rFonts w:eastAsia="Calibri" w:cs="Arial"/>
          <w:sz w:val="22"/>
          <w:szCs w:val="22"/>
          <w:lang w:val="es-CO" w:eastAsia="es-CO"/>
        </w:rPr>
        <w:t>término uso de drogas como tal no tiene ninguna significación clínica, ni social. Indica consumo, utilización, gasto, sin considerar la cantidad, frecuencia, efectos médicos, sociales ni familiares. En ausencia de otras especificaciones debe entenderse como el consumo aislado, ocasional, episódico, sin tolerancia, ni dependencia</w:t>
      </w:r>
      <w:r w:rsidRPr="007528E0">
        <w:rPr>
          <w:rFonts w:eastAsia="Calibri" w:cs="Arial"/>
          <w:sz w:val="22"/>
          <w:szCs w:val="22"/>
          <w:lang w:val="es-CO" w:eastAsia="es-CO"/>
        </w:rPr>
        <w:fldChar w:fldCharType="begin" w:fldLock="1"/>
      </w:r>
      <w:r w:rsidRPr="007528E0">
        <w:rPr>
          <w:rFonts w:eastAsia="Calibri" w:cs="Arial"/>
          <w:sz w:val="22"/>
          <w:szCs w:val="22"/>
          <w:lang w:val="es-CO" w:eastAsia="es-CO"/>
        </w:rPr>
        <w:instrText>ADDIN CSL_CITATION { "citationItems" : [ { "id" : "ITEM-1", "itemData" : { "author" : [ { "dropping-particle" : "", "family" : "Lorenzo Fern\u00e1ndez, P. et al.", "given" : "", "non-dropping-particle" : "", "parse-names" : false, "suffix" : "" } ], "container-title" : "Madrid, Espa\u00f1a: Panamericana.", "id" : "ITEM-1", "issued" : { "date-parts" : [ [ "2009" ] ] }, "title" : "Drogodependencias. 3th ed.", "type" : "article-journal" }, "uris" : [ "http://www.mendeley.com/documents/?uuid=de6b20fa-0ac3-4149-8839-58eceddf562a" ] } ], "mendeley" : { "formattedCitation" : "(6)", "plainTextFormattedCitation" : "(6)", "previouslyFormattedCitation" : "(6)" }, "properties" : { "noteIndex" : 0 }, "schema" : "https://github.com/citation-style-language/schema/raw/master/csl-citation.json" }</w:instrText>
      </w:r>
      <w:r w:rsidRPr="007528E0">
        <w:rPr>
          <w:rFonts w:eastAsia="Calibri" w:cs="Arial"/>
          <w:sz w:val="22"/>
          <w:szCs w:val="22"/>
          <w:lang w:val="es-CO" w:eastAsia="es-CO"/>
        </w:rPr>
        <w:fldChar w:fldCharType="separate"/>
      </w:r>
      <w:r w:rsidRPr="007528E0">
        <w:rPr>
          <w:rFonts w:eastAsia="Calibri" w:cs="Arial"/>
          <w:noProof/>
          <w:sz w:val="22"/>
          <w:szCs w:val="22"/>
          <w:lang w:val="es-CO" w:eastAsia="es-CO"/>
        </w:rPr>
        <w:t>(6)</w:t>
      </w:r>
      <w:r w:rsidRPr="007528E0">
        <w:rPr>
          <w:rFonts w:eastAsia="Calibri" w:cs="Arial"/>
          <w:sz w:val="22"/>
          <w:szCs w:val="22"/>
          <w:lang w:val="es-CO" w:eastAsia="es-CO"/>
        </w:rPr>
        <w:fldChar w:fldCharType="end"/>
      </w:r>
      <w:r w:rsidRPr="007528E0">
        <w:rPr>
          <w:rFonts w:eastAsia="Calibri" w:cs="Arial"/>
          <w:sz w:val="22"/>
          <w:szCs w:val="22"/>
          <w:lang w:val="es-CO" w:eastAsia="es-CO"/>
        </w:rPr>
        <w:t>.</w:t>
      </w:r>
    </w:p>
    <w:p w14:paraId="1C1C166F" w14:textId="77777777" w:rsidR="0037398A" w:rsidRPr="007528E0" w:rsidRDefault="0037398A" w:rsidP="0037398A">
      <w:pPr>
        <w:spacing w:before="100" w:beforeAutospacing="1" w:after="100" w:afterAutospacing="1"/>
        <w:ind w:left="-11"/>
        <w:rPr>
          <w:rFonts w:cs="Arial"/>
          <w:sz w:val="22"/>
          <w:szCs w:val="22"/>
        </w:rPr>
      </w:pPr>
      <w:r w:rsidRPr="007528E0">
        <w:rPr>
          <w:rFonts w:cs="Arial"/>
          <w:b/>
          <w:sz w:val="22"/>
          <w:szCs w:val="22"/>
        </w:rPr>
        <w:t>Xenobiótico:</w:t>
      </w:r>
      <w:r w:rsidRPr="007528E0">
        <w:rPr>
          <w:rFonts w:cs="Arial"/>
          <w:sz w:val="22"/>
          <w:szCs w:val="22"/>
        </w:rPr>
        <w:t xml:space="preserve"> En sentido estricto, cualquier sustancia que interactúa con un organismo y que no es uno de sus componentes naturales </w:t>
      </w:r>
      <w:r w:rsidRPr="007528E0">
        <w:rPr>
          <w:rFonts w:cs="Arial"/>
          <w:sz w:val="22"/>
          <w:szCs w:val="22"/>
        </w:rPr>
        <w:fldChar w:fldCharType="begin" w:fldLock="1"/>
      </w:r>
      <w:r w:rsidRPr="007528E0">
        <w:rPr>
          <w:rFonts w:cs="Arial"/>
          <w:sz w:val="22"/>
          <w:szCs w:val="22"/>
        </w:rPr>
        <w:instrText>ADDIN CSL_CITATION { "citationItems" : [ { "id" : "ITEM-1", "itemData" : { "ISBN" : "1569730873", "author" : [ { "dropping-particle" : "", "family" : "Repetto", "given" : "Robert", "non-dropping-particle" : "", "parse-names" : false, "suffix" : "" }, { "dropping-particle" : "", "family" : "Baliga", "given" : "Sanjay S", "non-dropping-particle" : "", "parse-names" : false, "suffix" : "" } ], "id" : "ITEM-1", "issued" : { "date-parts" : [ [ "1996" ] ] }, "number-of-pages" : "109", "title" : "Pesticides and the immune system: the public healt risks", "type" : "book" }, "uris" : [ "http://www.mendeley.com/documents/?uuid=577567b3-c38a-4289-a6d0-20f00ba2f498" ] } ], "mendeley" : { "formattedCitation" : "(2)", "plainTextFormattedCitation" : "(2)", "previouslyFormattedCitation" : "(2)" }, "properties" : { "noteIndex" : 0 }, "schema" : "https://github.com/citation-style-language/schema/raw/master/csl-citation.json" }</w:instrText>
      </w:r>
      <w:r w:rsidRPr="007528E0">
        <w:rPr>
          <w:rFonts w:cs="Arial"/>
          <w:sz w:val="22"/>
          <w:szCs w:val="22"/>
        </w:rPr>
        <w:fldChar w:fldCharType="separate"/>
      </w:r>
      <w:r w:rsidRPr="007528E0">
        <w:rPr>
          <w:rFonts w:cs="Arial"/>
          <w:noProof/>
          <w:sz w:val="22"/>
          <w:szCs w:val="22"/>
        </w:rPr>
        <w:t>(2)</w:t>
      </w:r>
      <w:r w:rsidRPr="007528E0">
        <w:rPr>
          <w:rFonts w:cs="Arial"/>
          <w:sz w:val="22"/>
          <w:szCs w:val="22"/>
        </w:rPr>
        <w:fldChar w:fldCharType="end"/>
      </w:r>
      <w:r w:rsidRPr="007528E0">
        <w:rPr>
          <w:rFonts w:cs="Arial"/>
          <w:sz w:val="22"/>
          <w:szCs w:val="22"/>
        </w:rPr>
        <w:t>.</w:t>
      </w:r>
    </w:p>
    <w:p w14:paraId="7C956B79" w14:textId="77777777" w:rsidR="0037398A" w:rsidRPr="007528E0" w:rsidRDefault="0037398A" w:rsidP="0037398A">
      <w:pPr>
        <w:pStyle w:val="Ttulo2"/>
        <w:numPr>
          <w:ilvl w:val="0"/>
          <w:numId w:val="25"/>
        </w:numPr>
        <w:spacing w:before="100" w:beforeAutospacing="1" w:after="100" w:afterAutospacing="1"/>
        <w:jc w:val="left"/>
        <w:rPr>
          <w:sz w:val="22"/>
          <w:szCs w:val="22"/>
        </w:rPr>
      </w:pPr>
      <w:bookmarkStart w:id="6" w:name="_Toc464122678"/>
      <w:bookmarkStart w:id="7" w:name="_Toc505456655"/>
      <w:r w:rsidRPr="007528E0">
        <w:rPr>
          <w:sz w:val="22"/>
          <w:szCs w:val="22"/>
        </w:rPr>
        <w:t>Intoxicación por medicamentos</w:t>
      </w:r>
      <w:bookmarkEnd w:id="6"/>
      <w:r w:rsidRPr="007528E0">
        <w:rPr>
          <w:sz w:val="22"/>
          <w:szCs w:val="22"/>
        </w:rPr>
        <w:t xml:space="preserve"> (Grupo de Sustancia 1)</w:t>
      </w:r>
      <w:bookmarkEnd w:id="7"/>
    </w:p>
    <w:p w14:paraId="0B490848" w14:textId="77777777" w:rsidR="0037398A" w:rsidRPr="007528E0" w:rsidRDefault="0037398A" w:rsidP="0037398A">
      <w:pPr>
        <w:spacing w:before="100" w:beforeAutospacing="1" w:after="100" w:afterAutospacing="1"/>
        <w:rPr>
          <w:rFonts w:eastAsia="Calibri" w:cs="Arial"/>
          <w:sz w:val="22"/>
          <w:szCs w:val="22"/>
          <w:lang w:val="es-CO"/>
        </w:rPr>
      </w:pPr>
      <w:r w:rsidRPr="007528E0">
        <w:rPr>
          <w:rFonts w:eastAsia="Calibri" w:cs="Arial"/>
          <w:sz w:val="22"/>
          <w:szCs w:val="22"/>
          <w:lang w:val="es-CO"/>
        </w:rPr>
        <w:t>Medicamento es el preparado farmacéutico obtenido a partir de principios activos y presentado bajo una forma farmacéutica que se utiliza para la prevención, alivio, diagnóstico, tratamiento curación o rehabilitación de una  enfermeda</w:t>
      </w:r>
      <w:bookmarkStart w:id="8" w:name="_Ref212392678"/>
      <w:bookmarkStart w:id="9" w:name="_Ref212396768"/>
      <w:r w:rsidRPr="007528E0">
        <w:rPr>
          <w:rFonts w:eastAsia="Calibri" w:cs="Arial"/>
          <w:sz w:val="22"/>
          <w:szCs w:val="22"/>
          <w:lang w:val="es-CO"/>
        </w:rPr>
        <w:t>d</w:t>
      </w:r>
      <w:bookmarkEnd w:id="8"/>
      <w:bookmarkEnd w:id="9"/>
      <w:r w:rsidRPr="007528E0">
        <w:rPr>
          <w:rFonts w:eastAsia="Calibri" w:cs="Arial"/>
          <w:sz w:val="22"/>
          <w:szCs w:val="22"/>
          <w:lang w:val="es-CO"/>
        </w:rPr>
        <w:fldChar w:fldCharType="begin" w:fldLock="1"/>
      </w:r>
      <w:r w:rsidRPr="007528E0">
        <w:rPr>
          <w:rFonts w:eastAsia="Calibri" w:cs="Arial"/>
          <w:sz w:val="22"/>
          <w:szCs w:val="22"/>
          <w:lang w:val="es-CO"/>
        </w:rPr>
        <w:instrText>ADDIN CSL_CITATION { "citationItems" : [ { "id" : "ITEM-1", "itemData" : { "author" : [ { "dropping-particle" : "", "family" : "Colombia.", "given" : "Ministerio de Salud.", "non-dropping-particle" : "", "parse-names" : false, "suffix" : "" } ], "id" : "ITEM-1", "issued" : { "date-parts" : [ [ "1995" ] ] }, "title" : "Decreto 677. Por el cual se reglamenta parcialmente el R\u00e9gimen de Registros y Licencias, el Control de Calidad, as\u00ed como el R\u00e9gimen de Vigilancia Sanitaria de Medicamentos, Cosm\u00e9ticos, Preparaciones Farmac\u00e9uticas a base de Recursos Naturales, Productos de", "type" : "report" }, "uris" : [ "http://www.mendeley.com/documents/?uuid=e5ec660f-0da9-41aa-a8c8-cf831ee67d7d" ] } ], "mendeley" : { "formattedCitation" : "(13)", "plainTextFormattedCitation" : "(13)", "previouslyFormattedCitation" : "(13)" }, "properties" : { "noteIndex" : 0 }, "schema" : "https://github.com/citation-style-language/schema/raw/master/csl-citation.json" }</w:instrText>
      </w:r>
      <w:r w:rsidRPr="007528E0">
        <w:rPr>
          <w:rFonts w:eastAsia="Calibri" w:cs="Arial"/>
          <w:sz w:val="22"/>
          <w:szCs w:val="22"/>
          <w:lang w:val="es-CO"/>
        </w:rPr>
        <w:fldChar w:fldCharType="separate"/>
      </w:r>
      <w:r w:rsidRPr="007528E0">
        <w:rPr>
          <w:rFonts w:eastAsia="Calibri" w:cs="Arial"/>
          <w:noProof/>
          <w:sz w:val="22"/>
          <w:szCs w:val="22"/>
          <w:lang w:val="es-CO"/>
        </w:rPr>
        <w:t>(13)</w:t>
      </w:r>
      <w:r w:rsidRPr="007528E0">
        <w:rPr>
          <w:rFonts w:eastAsia="Calibri" w:cs="Arial"/>
          <w:sz w:val="22"/>
          <w:szCs w:val="22"/>
          <w:lang w:val="es-CO"/>
        </w:rPr>
        <w:fldChar w:fldCharType="end"/>
      </w:r>
      <w:r w:rsidRPr="007528E0">
        <w:rPr>
          <w:rFonts w:eastAsia="Calibri" w:cs="Arial"/>
          <w:sz w:val="22"/>
          <w:szCs w:val="22"/>
          <w:lang w:val="es-CO"/>
        </w:rPr>
        <w:t xml:space="preserve">. </w:t>
      </w:r>
    </w:p>
    <w:p w14:paraId="0BCF676F" w14:textId="77777777" w:rsidR="0037398A" w:rsidRPr="007528E0" w:rsidRDefault="0037398A" w:rsidP="0037398A">
      <w:pPr>
        <w:autoSpaceDE w:val="0"/>
        <w:autoSpaceDN w:val="0"/>
        <w:spacing w:before="100" w:beforeAutospacing="1" w:after="100" w:afterAutospacing="1"/>
        <w:rPr>
          <w:rFonts w:eastAsia="Calibri" w:cs="Arial"/>
          <w:sz w:val="22"/>
          <w:szCs w:val="22"/>
          <w:lang w:val="es-CO" w:eastAsia="es-CO"/>
        </w:rPr>
      </w:pPr>
      <w:r w:rsidRPr="007528E0">
        <w:rPr>
          <w:rFonts w:eastAsia="Calibri" w:cs="Arial"/>
          <w:sz w:val="22"/>
          <w:szCs w:val="22"/>
          <w:lang w:val="es-CO"/>
        </w:rPr>
        <w:t xml:space="preserve">Dentro de este grupo de sustancias se incluye la vigilancia de las intoxicaciones por: </w:t>
      </w:r>
      <w:r w:rsidRPr="007528E0">
        <w:rPr>
          <w:rFonts w:eastAsia="Calibri" w:cs="Arial"/>
          <w:sz w:val="22"/>
          <w:szCs w:val="22"/>
          <w:lang w:val="es-CO" w:eastAsia="es-CO"/>
        </w:rPr>
        <w:t xml:space="preserve">medicamentos, preparaciones farmacéuticas a base de recursos naturales, productos </w:t>
      </w:r>
      <w:proofErr w:type="spellStart"/>
      <w:r w:rsidRPr="007528E0">
        <w:rPr>
          <w:rFonts w:eastAsia="Calibri" w:cs="Arial"/>
          <w:sz w:val="22"/>
          <w:szCs w:val="22"/>
          <w:lang w:val="es-CO" w:eastAsia="es-CO"/>
        </w:rPr>
        <w:t>fitoterapéuticos</w:t>
      </w:r>
      <w:proofErr w:type="spellEnd"/>
      <w:r w:rsidRPr="007528E0">
        <w:rPr>
          <w:rFonts w:eastAsia="Calibri" w:cs="Arial"/>
          <w:sz w:val="22"/>
          <w:szCs w:val="22"/>
          <w:lang w:val="es-CO" w:eastAsia="es-CO"/>
        </w:rPr>
        <w:t xml:space="preserve">, suplementos dietarios, productos homeopáticos, drogas blancas, productos oficinales y medicamentos veterinarios. </w:t>
      </w:r>
    </w:p>
    <w:p w14:paraId="2EBFC66C" w14:textId="77777777" w:rsidR="0037398A" w:rsidRPr="007528E0" w:rsidRDefault="0037398A" w:rsidP="0037398A">
      <w:pPr>
        <w:autoSpaceDE w:val="0"/>
        <w:autoSpaceDN w:val="0"/>
        <w:spacing w:before="100" w:beforeAutospacing="1" w:after="100" w:afterAutospacing="1"/>
        <w:rPr>
          <w:rFonts w:eastAsia="Calibri" w:cs="Arial"/>
          <w:sz w:val="22"/>
          <w:szCs w:val="22"/>
          <w:lang w:val="es-CO" w:eastAsia="es-CO"/>
        </w:rPr>
      </w:pPr>
      <w:r w:rsidRPr="007528E0">
        <w:rPr>
          <w:rFonts w:eastAsia="Calibri" w:cs="Arial"/>
          <w:sz w:val="22"/>
          <w:szCs w:val="22"/>
          <w:lang w:val="es-CO" w:eastAsia="es-CO"/>
        </w:rPr>
        <w:t>La mayoría de los pacientes que sufren intoxicaciones por medicamentos pertenecen a una población predominantemente joven, incluyendo de manera importante niños menores de 5 años y adolescentes, en los primeros la intoxicación se produce de manera accidental, en los segundos predomina la intención psicoactiva.  Se ha descrito que en algunos casos de este tipo de intoxicación, los pacientes pueden tener antecedentes para considerarlos como un grupo de alto riesgo y se asocian a trastornos depresivos de distinta intensidad</w:t>
      </w:r>
      <w:r w:rsidRPr="007528E0">
        <w:rPr>
          <w:rFonts w:eastAsia="Calibri" w:cs="Arial"/>
          <w:sz w:val="22"/>
          <w:szCs w:val="22"/>
          <w:lang w:val="es-CO" w:eastAsia="es-CO"/>
        </w:rPr>
        <w:fldChar w:fldCharType="begin" w:fldLock="1"/>
      </w:r>
      <w:r w:rsidRPr="007528E0">
        <w:rPr>
          <w:rFonts w:eastAsia="Calibri" w:cs="Arial"/>
          <w:sz w:val="22"/>
          <w:szCs w:val="22"/>
          <w:lang w:val="es-CO" w:eastAsia="es-CO"/>
        </w:rPr>
        <w:instrText>ADDIN CSL_CITATION { "citationItems" : [ { "id" : "ITEM-1", "itemData" : { "author" : [ { "dropping-particle" : "", "family" : "Adriana Zamora Suarez", "given" : "MD", "non-dropping-particle" : "", "parse-names" : false, "suffix" : "" } ], "editor" : [ { "dropping-particle" : "", "family" : "Distribuna", "given" : "Editorial", "non-dropping-particle" : "", "parse-names" : false, "suffix" : "" } ], "id" : "ITEM-1", "issued" : { "date-parts" : [ [ "2014" ] ] }, "number-of-pages" : "3-5", "title" : "Intoxicaciones en la practica clinica", "type" : "book" }, "uris" : [ "http://www.mendeley.com/documents/?uuid=dab63e2e-2c1a-41eb-8bca-65988c1d6830" ] } ], "mendeley" : { "formattedCitation" : "(22)", "plainTextFormattedCitation" : "(22)", "previouslyFormattedCitation" : "(22)" }, "properties" : { "noteIndex" : 0 }, "schema" : "https://github.com/citation-style-language/schema/raw/master/csl-citation.json" }</w:instrText>
      </w:r>
      <w:r w:rsidRPr="007528E0">
        <w:rPr>
          <w:rFonts w:eastAsia="Calibri" w:cs="Arial"/>
          <w:sz w:val="22"/>
          <w:szCs w:val="22"/>
          <w:lang w:val="es-CO" w:eastAsia="es-CO"/>
        </w:rPr>
        <w:fldChar w:fldCharType="separate"/>
      </w:r>
      <w:r w:rsidRPr="007528E0">
        <w:rPr>
          <w:rFonts w:eastAsia="Calibri" w:cs="Arial"/>
          <w:noProof/>
          <w:sz w:val="22"/>
          <w:szCs w:val="22"/>
          <w:lang w:val="es-CO" w:eastAsia="es-CO"/>
        </w:rPr>
        <w:t>(22)</w:t>
      </w:r>
      <w:r w:rsidRPr="007528E0">
        <w:rPr>
          <w:rFonts w:eastAsia="Calibri" w:cs="Arial"/>
          <w:sz w:val="22"/>
          <w:szCs w:val="22"/>
          <w:lang w:val="es-CO" w:eastAsia="es-CO"/>
        </w:rPr>
        <w:fldChar w:fldCharType="end"/>
      </w:r>
      <w:r w:rsidRPr="007528E0">
        <w:rPr>
          <w:rFonts w:eastAsia="Calibri" w:cs="Arial"/>
          <w:sz w:val="22"/>
          <w:szCs w:val="22"/>
          <w:lang w:val="es-CO" w:eastAsia="es-CO"/>
        </w:rPr>
        <w:t>. La mayoría de estas intoxicaciones se asocian a tipo de exposición intencional suicida, lo que hasta 2017 se venía notificando en este evento (365), de acuerdo a los nuevos lineamientos, los intentos de suicidio en los que el mecanismo sea una intoxicación por sustancia química (incluyendo medicamentos) se notificarán solamente por el evento intento de suicidio (356) y no por intoxicaciones (365),  por lo cual se espera que la notificación de intoxicaciones por medicamentos en este tipo de población disminuya.</w:t>
      </w:r>
    </w:p>
    <w:p w14:paraId="0E2BE073" w14:textId="77777777" w:rsidR="0037398A" w:rsidRPr="007528E0" w:rsidRDefault="0037398A" w:rsidP="0037398A">
      <w:pPr>
        <w:autoSpaceDE w:val="0"/>
        <w:autoSpaceDN w:val="0"/>
        <w:spacing w:before="100" w:beforeAutospacing="1" w:after="100" w:afterAutospacing="1"/>
        <w:rPr>
          <w:rFonts w:cs="Arial"/>
          <w:sz w:val="22"/>
          <w:szCs w:val="22"/>
          <w:lang w:val="es-CO"/>
        </w:rPr>
      </w:pPr>
      <w:r w:rsidRPr="007528E0">
        <w:rPr>
          <w:rFonts w:eastAsia="Calibri" w:cs="Arial"/>
          <w:sz w:val="22"/>
          <w:szCs w:val="22"/>
          <w:lang w:val="es-CO" w:eastAsia="es-CO"/>
        </w:rPr>
        <w:t xml:space="preserve">Cuando el medicamento se usa bajo las condiciones de prescripción a dosis terapéuticas y se presenta un efecto no deseado, se considera que se trata de una reacción adversa y </w:t>
      </w:r>
      <w:r w:rsidRPr="007528E0">
        <w:rPr>
          <w:rFonts w:eastAsia="Calibri" w:cs="Arial"/>
          <w:sz w:val="22"/>
          <w:szCs w:val="22"/>
          <w:lang w:val="es-CO" w:eastAsia="es-CO"/>
        </w:rPr>
        <w:lastRenderedPageBreak/>
        <w:t>no de una intoxicación. Por lo tanto, se debe proceder a diligenciar el formato para el reporte de reacciones adversas a medicamentos (FORAM) del Instituto Nacional de Vigilancia de Medicamentos y Alimentos Invima, entidad encargada de realizar el análisis de este tipo de casos (</w:t>
      </w:r>
      <w:hyperlink r:id="rId11" w:history="1">
        <w:r w:rsidRPr="007528E0">
          <w:rPr>
            <w:rStyle w:val="Hipervnculo"/>
            <w:rFonts w:cs="Arial"/>
            <w:color w:val="auto"/>
            <w:sz w:val="22"/>
            <w:szCs w:val="22"/>
            <w:bdr w:val="none" w:sz="0" w:space="0" w:color="auto" w:frame="1"/>
            <w:shd w:val="clear" w:color="auto" w:fill="FFFFFF"/>
          </w:rPr>
          <w:t>http://www.invima.gov.co/images/pdf/farmacovigilancia_alertas/reportereacciones/FORAM_WORD_1.doc</w:t>
        </w:r>
      </w:hyperlink>
      <w:r w:rsidRPr="007528E0">
        <w:rPr>
          <w:rFonts w:cs="Arial"/>
          <w:sz w:val="22"/>
          <w:szCs w:val="22"/>
          <w:lang w:val="es-CO"/>
        </w:rPr>
        <w:t xml:space="preserve">). El formato debe ser enviado por correo postal a la Dirección de medicamentos y productos biológicos, Grupo de programas especiales – farmacovigilancia, Carrera 68D 17-11/21, Bogotá D.C., o por correo electrónico a </w:t>
      </w:r>
      <w:hyperlink r:id="rId12" w:history="1">
        <w:r w:rsidRPr="007528E0">
          <w:rPr>
            <w:rStyle w:val="Hipervnculo"/>
            <w:rFonts w:cs="Arial"/>
            <w:color w:val="auto"/>
            <w:sz w:val="22"/>
            <w:szCs w:val="22"/>
          </w:rPr>
          <w:t>invimafv@invima.gov.co</w:t>
        </w:r>
      </w:hyperlink>
      <w:r w:rsidRPr="007528E0">
        <w:rPr>
          <w:rFonts w:cs="Arial"/>
          <w:sz w:val="22"/>
          <w:szCs w:val="22"/>
          <w:lang w:val="es-CO"/>
        </w:rPr>
        <w:fldChar w:fldCharType="begin"/>
      </w:r>
      <w:r w:rsidRPr="007528E0">
        <w:rPr>
          <w:rFonts w:cs="Arial"/>
          <w:sz w:val="22"/>
          <w:szCs w:val="22"/>
          <w:lang w:val="es-CO"/>
        </w:rPr>
        <w:instrText xml:space="preserve"> ADDIN EN.CITE &lt;EndNote&gt;&lt;Cite&gt;&lt;Author&gt;Instituto Nacional para la Vigilancia de Medicamentos y Alimentos&lt;/Author&gt;&lt;Year&gt;2012&lt;/Year&gt;&lt;RecNum&gt;75&lt;/RecNum&gt;&lt;record&gt;&lt;rec-number&gt;75&lt;/rec-number&gt;&lt;foreign-keys&gt;&lt;key app="EN" db-id="ddpe5f20rxpzfme5vd9vtzvts0derwa25asd"&gt;75&lt;/key&gt;&lt;/foreign-keys&gt;&lt;ref-type name="Statute"&gt;31&lt;/ref-type&gt;&lt;contributors&gt;&lt;authors&gt;&lt;author&gt;Instituto Nacional para la Vigilancia de Medicamentos y Alimentos,&lt;/author&gt;&lt;author&gt;INVIMA&lt;/author&gt;&lt;/authors&gt;&lt;/contributors&gt;&lt;titles&gt;&lt;title&gt;Formato para Reporte de Reacciones Adversas a Medicamentos FORAM&lt;/title&gt;&lt;/titles&gt;&lt;dates&gt;&lt;year&gt;2012&lt;/year&gt;&lt;/dates&gt;&lt;urls&gt;&lt;related-urls&gt;&lt;url&gt;&lt;style face="underline" font="default" size="100%"&gt;&amp;lt;http://www.invima.gov.co/images/pdf/farmacovigilancia_alertas/reportereacciones/FORAM_WORD_1.doc&amp;gt;&lt;/style&gt;&lt;/url&gt;&lt;/related-urls&gt;&lt;/urls&gt;&lt;/record&gt;&lt;/Cite&gt;&lt;/EndNote&gt;</w:instrText>
      </w:r>
      <w:r w:rsidRPr="007528E0">
        <w:rPr>
          <w:rFonts w:cs="Arial"/>
          <w:sz w:val="22"/>
          <w:szCs w:val="22"/>
          <w:lang w:val="es-CO"/>
        </w:rPr>
        <w:fldChar w:fldCharType="separate"/>
      </w:r>
      <w:r w:rsidRPr="007528E0">
        <w:rPr>
          <w:rFonts w:cs="Arial"/>
          <w:sz w:val="22"/>
          <w:szCs w:val="22"/>
          <w:lang w:val="es-CO"/>
        </w:rPr>
        <w:t>[55]</w:t>
      </w:r>
      <w:r w:rsidRPr="007528E0">
        <w:rPr>
          <w:rFonts w:cs="Arial"/>
          <w:sz w:val="22"/>
          <w:szCs w:val="22"/>
          <w:lang w:val="es-CO"/>
        </w:rPr>
        <w:fldChar w:fldCharType="end"/>
      </w:r>
      <w:r w:rsidRPr="007528E0">
        <w:rPr>
          <w:rFonts w:cs="Arial"/>
          <w:sz w:val="22"/>
          <w:szCs w:val="22"/>
          <w:lang w:val="es-CO"/>
        </w:rPr>
        <w:t>.</w:t>
      </w:r>
    </w:p>
    <w:p w14:paraId="444E4CA1" w14:textId="77777777" w:rsidR="0037398A" w:rsidRPr="007528E0" w:rsidRDefault="0037398A" w:rsidP="0037398A">
      <w:pPr>
        <w:pStyle w:val="Prrafodelista"/>
        <w:spacing w:before="100" w:beforeAutospacing="1" w:after="100" w:afterAutospacing="1" w:line="240" w:lineRule="auto"/>
        <w:ind w:left="0"/>
        <w:rPr>
          <w:rFonts w:cs="Arial"/>
          <w:noProof/>
          <w:szCs w:val="22"/>
        </w:rPr>
      </w:pPr>
      <w:r w:rsidRPr="007528E0">
        <w:rPr>
          <w:rFonts w:cs="Arial"/>
          <w:noProof/>
          <w:szCs w:val="22"/>
        </w:rPr>
        <w:t>De las enfermedades que sufre el hombre, quizas el dolor es el sintoma mas frecuente, por lo que los analgesicos son los medicamentos mas utilizados, y causa comun de intoxicación, tanto en la tentativas de suicidio, como en forma accidental o iatrogenica.</w:t>
      </w:r>
    </w:p>
    <w:p w14:paraId="0ADEA6D1" w14:textId="77777777" w:rsidR="0037398A" w:rsidRPr="007528E0" w:rsidRDefault="0037398A" w:rsidP="0037398A">
      <w:pPr>
        <w:pStyle w:val="Prrafodelista"/>
        <w:spacing w:before="100" w:beforeAutospacing="1" w:after="100" w:afterAutospacing="1" w:line="240" w:lineRule="auto"/>
        <w:ind w:left="0"/>
        <w:rPr>
          <w:rFonts w:cs="Arial"/>
          <w:noProof/>
          <w:szCs w:val="22"/>
        </w:rPr>
      </w:pPr>
      <w:r w:rsidRPr="007528E0">
        <w:rPr>
          <w:rFonts w:cs="Arial"/>
          <w:noProof/>
          <w:szCs w:val="22"/>
        </w:rPr>
        <w:t>Algunos factores que contribuyen a la intoxicación por estas sustancias son:</w:t>
      </w:r>
    </w:p>
    <w:p w14:paraId="1AB249BD" w14:textId="77777777" w:rsidR="0037398A" w:rsidRPr="007528E0" w:rsidRDefault="0037398A" w:rsidP="0037398A">
      <w:pPr>
        <w:pStyle w:val="Prrafodelista"/>
        <w:spacing w:before="100" w:beforeAutospacing="1" w:after="100" w:afterAutospacing="1" w:line="240" w:lineRule="auto"/>
        <w:ind w:left="0"/>
        <w:rPr>
          <w:rFonts w:cs="Arial"/>
          <w:noProof/>
          <w:szCs w:val="22"/>
        </w:rPr>
      </w:pPr>
    </w:p>
    <w:p w14:paraId="44C398C6" w14:textId="77777777" w:rsidR="0037398A" w:rsidRPr="007528E0" w:rsidRDefault="0037398A" w:rsidP="0037398A">
      <w:pPr>
        <w:pStyle w:val="Prrafodelista"/>
        <w:numPr>
          <w:ilvl w:val="0"/>
          <w:numId w:val="13"/>
        </w:numPr>
        <w:spacing w:before="100" w:beforeAutospacing="1" w:after="100" w:afterAutospacing="1" w:line="240" w:lineRule="auto"/>
        <w:rPr>
          <w:rFonts w:cs="Arial"/>
          <w:noProof/>
          <w:szCs w:val="22"/>
        </w:rPr>
      </w:pPr>
      <w:r w:rsidRPr="007528E0">
        <w:rPr>
          <w:rFonts w:cs="Arial"/>
          <w:noProof/>
          <w:szCs w:val="22"/>
        </w:rPr>
        <w:t>Falta de conocimiento por parte del personal medico y paramedico de sus efectos toxicos los que lleva a la iatrrogenia.</w:t>
      </w:r>
    </w:p>
    <w:p w14:paraId="1EC8B7DA" w14:textId="77777777" w:rsidR="0037398A" w:rsidRPr="007528E0" w:rsidRDefault="0037398A" w:rsidP="0037398A">
      <w:pPr>
        <w:pStyle w:val="Prrafodelista"/>
        <w:numPr>
          <w:ilvl w:val="0"/>
          <w:numId w:val="13"/>
        </w:numPr>
        <w:spacing w:before="100" w:beforeAutospacing="1" w:after="100" w:afterAutospacing="1" w:line="240" w:lineRule="auto"/>
        <w:rPr>
          <w:rFonts w:cs="Arial"/>
          <w:noProof/>
          <w:szCs w:val="22"/>
        </w:rPr>
      </w:pPr>
      <w:r w:rsidRPr="007528E0">
        <w:rPr>
          <w:rFonts w:cs="Arial"/>
          <w:noProof/>
          <w:szCs w:val="22"/>
        </w:rPr>
        <w:t>El abuso de su consumo</w:t>
      </w:r>
    </w:p>
    <w:p w14:paraId="1541EA75" w14:textId="77777777" w:rsidR="0037398A" w:rsidRPr="007528E0" w:rsidRDefault="0037398A" w:rsidP="0037398A">
      <w:pPr>
        <w:pStyle w:val="Prrafodelista"/>
        <w:numPr>
          <w:ilvl w:val="0"/>
          <w:numId w:val="13"/>
        </w:numPr>
        <w:spacing w:before="100" w:beforeAutospacing="1" w:after="100" w:afterAutospacing="1" w:line="240" w:lineRule="auto"/>
        <w:rPr>
          <w:rFonts w:cs="Arial"/>
          <w:noProof/>
          <w:szCs w:val="22"/>
        </w:rPr>
      </w:pPr>
      <w:r w:rsidRPr="007528E0">
        <w:rPr>
          <w:rFonts w:cs="Arial"/>
          <w:noProof/>
          <w:szCs w:val="22"/>
        </w:rPr>
        <w:t>La facil consecución (venta libre)</w:t>
      </w:r>
    </w:p>
    <w:p w14:paraId="1CCC5031" w14:textId="77777777" w:rsidR="0037398A" w:rsidRPr="007528E0" w:rsidRDefault="0037398A" w:rsidP="0037398A">
      <w:pPr>
        <w:pStyle w:val="Prrafodelista"/>
        <w:numPr>
          <w:ilvl w:val="0"/>
          <w:numId w:val="13"/>
        </w:numPr>
        <w:spacing w:before="100" w:beforeAutospacing="1" w:after="100" w:afterAutospacing="1" w:line="240" w:lineRule="auto"/>
        <w:rPr>
          <w:rFonts w:cs="Arial"/>
          <w:noProof/>
          <w:szCs w:val="22"/>
        </w:rPr>
      </w:pPr>
      <w:r w:rsidRPr="007528E0">
        <w:rPr>
          <w:rFonts w:cs="Arial"/>
          <w:noProof/>
          <w:szCs w:val="22"/>
        </w:rPr>
        <w:t>El recubrimieto con sabores y colores agradables y atractivos para los niños</w:t>
      </w:r>
    </w:p>
    <w:p w14:paraId="652D186D" w14:textId="77777777" w:rsidR="0037398A" w:rsidRPr="007528E0" w:rsidRDefault="0037398A" w:rsidP="0037398A">
      <w:pPr>
        <w:pStyle w:val="Prrafodelista"/>
        <w:numPr>
          <w:ilvl w:val="0"/>
          <w:numId w:val="13"/>
        </w:numPr>
        <w:spacing w:before="100" w:beforeAutospacing="1" w:after="100" w:afterAutospacing="1" w:line="240" w:lineRule="auto"/>
        <w:rPr>
          <w:rFonts w:cs="Arial"/>
          <w:noProof/>
          <w:szCs w:val="22"/>
        </w:rPr>
      </w:pPr>
      <w:r w:rsidRPr="007528E0">
        <w:rPr>
          <w:rFonts w:cs="Arial"/>
          <w:noProof/>
          <w:szCs w:val="22"/>
        </w:rPr>
        <w:t xml:space="preserve">La automedicación </w:t>
      </w:r>
    </w:p>
    <w:p w14:paraId="0E0F0962" w14:textId="77777777" w:rsidR="0037398A" w:rsidRPr="007528E0" w:rsidRDefault="0037398A" w:rsidP="0037398A">
      <w:pPr>
        <w:pStyle w:val="Prrafodelista"/>
        <w:numPr>
          <w:ilvl w:val="0"/>
          <w:numId w:val="13"/>
        </w:numPr>
        <w:spacing w:before="100" w:beforeAutospacing="1" w:after="100" w:afterAutospacing="1" w:line="240" w:lineRule="auto"/>
        <w:rPr>
          <w:rFonts w:cs="Arial"/>
          <w:noProof/>
          <w:szCs w:val="22"/>
        </w:rPr>
      </w:pPr>
      <w:r w:rsidRPr="007528E0">
        <w:rPr>
          <w:rFonts w:cs="Arial"/>
          <w:noProof/>
          <w:szCs w:val="22"/>
        </w:rPr>
        <w:t xml:space="preserve">La exagerada propaganda sin la debida advertencia de los posibles accidentes. </w:t>
      </w:r>
      <w:r w:rsidRPr="007528E0">
        <w:rPr>
          <w:rFonts w:cs="Arial"/>
          <w:noProof/>
          <w:szCs w:val="22"/>
        </w:rPr>
        <w:fldChar w:fldCharType="begin" w:fldLock="1"/>
      </w:r>
      <w:r w:rsidRPr="007528E0">
        <w:rPr>
          <w:rFonts w:cs="Arial"/>
          <w:noProof/>
          <w:szCs w:val="22"/>
        </w:rPr>
        <w:instrText>ADDIN CSL_CITATION { "citationItems" : [ { "id" : "ITEM-1", "itemData" : { "author" : [ { "dropping-particle" : "", "family" : "Adriana Zamora Suarez", "given" : "MD", "non-dropping-particle" : "", "parse-names" : false, "suffix" : "" } ], "editor" : [ { "dropping-particle" : "", "family" : "Distribuna", "given" : "Editorial", "non-dropping-particle" : "", "parse-names" : false, "suffix" : "" } ], "id" : "ITEM-1", "issued" : { "date-parts" : [ [ "2014" ] ] }, "number-of-pages" : "3-5", "title" : "Intoxicaciones en la practica clinica", "type" : "book" }, "uris" : [ "http://www.mendeley.com/documents/?uuid=dab63e2e-2c1a-41eb-8bca-65988c1d6830" ] } ], "mendeley" : { "formattedCitation" : "(22)", "plainTextFormattedCitation" : "(22)", "previouslyFormattedCitation" : "(22)" }, "properties" : { "noteIndex" : 0 }, "schema" : "https://github.com/citation-style-language/schema/raw/master/csl-citation.json" }</w:instrText>
      </w:r>
      <w:r w:rsidRPr="007528E0">
        <w:rPr>
          <w:rFonts w:cs="Arial"/>
          <w:noProof/>
          <w:szCs w:val="22"/>
        </w:rPr>
        <w:fldChar w:fldCharType="separate"/>
      </w:r>
      <w:r w:rsidRPr="007528E0">
        <w:rPr>
          <w:rFonts w:cs="Arial"/>
          <w:noProof/>
          <w:szCs w:val="22"/>
        </w:rPr>
        <w:t>(22)</w:t>
      </w:r>
      <w:r w:rsidRPr="007528E0">
        <w:rPr>
          <w:rFonts w:cs="Arial"/>
          <w:noProof/>
          <w:szCs w:val="22"/>
        </w:rPr>
        <w:fldChar w:fldCharType="end"/>
      </w:r>
    </w:p>
    <w:p w14:paraId="71E7AAC6" w14:textId="77777777" w:rsidR="0037398A" w:rsidRPr="007528E0" w:rsidRDefault="0037398A" w:rsidP="0037398A">
      <w:pPr>
        <w:pStyle w:val="Prrafodelista"/>
        <w:spacing w:before="100" w:beforeAutospacing="1" w:after="100" w:afterAutospacing="1" w:line="240" w:lineRule="auto"/>
        <w:ind w:left="0"/>
        <w:rPr>
          <w:rFonts w:cs="Arial"/>
          <w:noProof/>
          <w:szCs w:val="22"/>
        </w:rPr>
      </w:pPr>
    </w:p>
    <w:p w14:paraId="5F8F5448" w14:textId="77777777" w:rsidR="0037398A" w:rsidRPr="007528E0" w:rsidRDefault="0037398A" w:rsidP="0037398A">
      <w:pPr>
        <w:pStyle w:val="Prrafodelista"/>
        <w:spacing w:before="100" w:beforeAutospacing="1" w:after="100" w:afterAutospacing="1" w:line="240" w:lineRule="auto"/>
        <w:ind w:left="0"/>
        <w:rPr>
          <w:rFonts w:cs="Arial"/>
          <w:noProof/>
          <w:szCs w:val="22"/>
        </w:rPr>
      </w:pPr>
      <w:r w:rsidRPr="007528E0">
        <w:rPr>
          <w:rFonts w:cs="Arial"/>
          <w:noProof/>
          <w:szCs w:val="22"/>
        </w:rPr>
        <w:t xml:space="preserve">El Acetaminofen (paracetamol) es un derivado de la anilina que se dio a conocer tiempo despues de que un farmaceuta, en 1886, por accidente incluyó erroneamente su precursor acetanilida en una mezcla que debia contener naftaleno. El paciente que recibio este medicamento, ademas de la infeccion intestinal, tenia fiebre y la acetanilida causo una intensa caida de la temperatura. Cahn y Hepp observaron estos efectos y la introdujeron con el nombre de antifebrina, para uso analgesico y antipiretico. Sin embargo, este farmaco resulto ser muy toxico, se descontinuo y se estudiaron otros derivados menos toxicos como la fenacetina en 1887, que fue implicada en nefropatia y su metabolito final el paracetamol, que fue empleado por primera vez en 1893 y su uso se masifico en 1950, despues de que la FDA (Food and Drug Administration) lo aprovara. El primer caso de lesion hepatica asociado a la ingesta de acetaminofen fue descrito por Davidson el gan Bretaña en 1966 </w:t>
      </w:r>
      <w:r w:rsidRPr="007528E0">
        <w:rPr>
          <w:rFonts w:cs="Arial"/>
          <w:noProof/>
          <w:szCs w:val="22"/>
        </w:rPr>
        <w:fldChar w:fldCharType="begin" w:fldLock="1"/>
      </w:r>
      <w:r w:rsidRPr="007528E0">
        <w:rPr>
          <w:rFonts w:cs="Arial"/>
          <w:noProof/>
          <w:szCs w:val="22"/>
        </w:rPr>
        <w:instrText>ADDIN CSL_CITATION { "citationItems" : [ { "id" : "ITEM-1", "itemData" : { "author" : [ { "dropping-particle" : "", "family" : "Adriana Zamora Suarez", "given" : "MD", "non-dropping-particle" : "", "parse-names" : false, "suffix" : "" } ], "editor" : [ { "dropping-particle" : "", "family" : "Distribuna", "given" : "Editorial", "non-dropping-particle" : "", "parse-names" : false, "suffix" : "" } ], "id" : "ITEM-1", "issued" : { "date-parts" : [ [ "2014" ] ] }, "number-of-pages" : "3-5", "title" : "Intoxicaciones en la practica clinica", "type" : "book" }, "uris" : [ "http://www.mendeley.com/documents/?uuid=dab63e2e-2c1a-41eb-8bca-65988c1d6830" ] } ], "mendeley" : { "formattedCitation" : "(22)", "plainTextFormattedCitation" : "(22)", "previouslyFormattedCitation" : "(22)" }, "properties" : { "noteIndex" : 0 }, "schema" : "https://github.com/citation-style-language/schema/raw/master/csl-citation.json" }</w:instrText>
      </w:r>
      <w:r w:rsidRPr="007528E0">
        <w:rPr>
          <w:rFonts w:cs="Arial"/>
          <w:noProof/>
          <w:szCs w:val="22"/>
        </w:rPr>
        <w:fldChar w:fldCharType="separate"/>
      </w:r>
      <w:r w:rsidRPr="007528E0">
        <w:rPr>
          <w:rFonts w:cs="Arial"/>
          <w:noProof/>
          <w:szCs w:val="22"/>
        </w:rPr>
        <w:t>(22)</w:t>
      </w:r>
      <w:r w:rsidRPr="007528E0">
        <w:rPr>
          <w:rFonts w:cs="Arial"/>
          <w:noProof/>
          <w:szCs w:val="22"/>
        </w:rPr>
        <w:fldChar w:fldCharType="end"/>
      </w:r>
      <w:r w:rsidRPr="007528E0">
        <w:rPr>
          <w:rFonts w:cs="Arial"/>
          <w:noProof/>
          <w:szCs w:val="22"/>
        </w:rPr>
        <w:t>.</w:t>
      </w:r>
    </w:p>
    <w:p w14:paraId="18A12CCB" w14:textId="77777777" w:rsidR="0037398A" w:rsidRPr="007528E0" w:rsidRDefault="0037398A" w:rsidP="0037398A">
      <w:pPr>
        <w:pStyle w:val="Prrafodelista"/>
        <w:spacing w:before="100" w:beforeAutospacing="1" w:after="100" w:afterAutospacing="1" w:line="240" w:lineRule="auto"/>
        <w:ind w:left="0"/>
        <w:rPr>
          <w:rFonts w:eastAsia="Calibri" w:cs="Arial"/>
          <w:szCs w:val="22"/>
        </w:rPr>
      </w:pPr>
    </w:p>
    <w:p w14:paraId="7A402B07" w14:textId="77777777" w:rsidR="0037398A" w:rsidRPr="007528E0" w:rsidRDefault="0037398A" w:rsidP="0037398A">
      <w:pPr>
        <w:pStyle w:val="Prrafodelista"/>
        <w:spacing w:before="100" w:beforeAutospacing="1" w:after="100" w:afterAutospacing="1" w:line="240" w:lineRule="auto"/>
        <w:ind w:left="0"/>
        <w:rPr>
          <w:rFonts w:cs="Arial"/>
          <w:noProof/>
          <w:szCs w:val="22"/>
        </w:rPr>
      </w:pPr>
      <w:r w:rsidRPr="007528E0">
        <w:rPr>
          <w:rFonts w:eastAsia="Calibri" w:cs="Arial"/>
          <w:szCs w:val="22"/>
        </w:rPr>
        <w:t xml:space="preserve">En el mundo occidental, especialmente en Inglaterra y en Estados Unidos, el Acetaminofén es el agente más común en intoxicaciones medicamentosas, en el Reino Unido, se producen alrededor de 150 muertes anuales (43 %) por insuficiencia hepática y es además la primera causa de falla hepática aguda; en Estados unidos, aproximadamente el 10% de todos los suicidios son debidos a intoxicación por acetaminofén, la mayoría en adolescentes </w:t>
      </w:r>
      <w:r w:rsidRPr="007528E0">
        <w:rPr>
          <w:rFonts w:eastAsia="Calibri" w:cs="Arial"/>
          <w:szCs w:val="22"/>
        </w:rPr>
        <w:fldChar w:fldCharType="begin" w:fldLock="1"/>
      </w:r>
      <w:r w:rsidRPr="007528E0">
        <w:rPr>
          <w:rFonts w:eastAsia="Calibri" w:cs="Arial"/>
          <w:szCs w:val="22"/>
        </w:rPr>
        <w:instrText>ADDIN CSL_CITATION { "citationItems" : [ { "id" : "ITEM-1", "itemData" : { "author" : [ { "dropping-particle" : "", "family" : "Adriana Zamora Suarez", "given" : "MD", "non-dropping-particle" : "", "parse-names" : false, "suffix" : "" } ], "editor" : [ { "dropping-particle" : "", "family" : "Distribuna", "given" : "Editorial", "non-dropping-particle" : "", "parse-names" : false, "suffix" : "" } ], "id" : "ITEM-1", "issued" : { "date-parts" : [ [ "2014" ] ] }, "number-of-pages" : "3-5", "title" : "Intoxicaciones en la practica clinica", "type" : "book" }, "uris" : [ "http://www.mendeley.com/documents/?uuid=dab63e2e-2c1a-41eb-8bca-65988c1d6830" ] } ], "mendeley" : { "formattedCitation" : "(22)", "plainTextFormattedCitation" : "(22)", "previouslyFormattedCitation" : "(22)" }, "properties" : { "noteIndex" : 0 }, "schema" : "https://github.com/citation-style-language/schema/raw/master/csl-citation.json" }</w:instrText>
      </w:r>
      <w:r w:rsidRPr="007528E0">
        <w:rPr>
          <w:rFonts w:eastAsia="Calibri" w:cs="Arial"/>
          <w:szCs w:val="22"/>
        </w:rPr>
        <w:fldChar w:fldCharType="separate"/>
      </w:r>
      <w:r w:rsidRPr="007528E0">
        <w:rPr>
          <w:rFonts w:eastAsia="Calibri" w:cs="Arial"/>
          <w:noProof/>
          <w:szCs w:val="22"/>
        </w:rPr>
        <w:t>(22)</w:t>
      </w:r>
      <w:r w:rsidRPr="007528E0">
        <w:rPr>
          <w:rFonts w:eastAsia="Calibri" w:cs="Arial"/>
          <w:szCs w:val="22"/>
        </w:rPr>
        <w:fldChar w:fldCharType="end"/>
      </w:r>
      <w:r w:rsidRPr="007528E0">
        <w:rPr>
          <w:rFonts w:eastAsia="Calibri" w:cs="Arial"/>
          <w:szCs w:val="22"/>
        </w:rPr>
        <w:t xml:space="preserve">. </w:t>
      </w:r>
    </w:p>
    <w:p w14:paraId="0ABFB018" w14:textId="77777777" w:rsidR="0037398A" w:rsidRPr="007528E0" w:rsidRDefault="0037398A" w:rsidP="0037398A">
      <w:pPr>
        <w:pStyle w:val="Prrafodelista"/>
        <w:spacing w:before="100" w:beforeAutospacing="1" w:after="100" w:afterAutospacing="1" w:line="240" w:lineRule="auto"/>
        <w:ind w:left="0"/>
        <w:rPr>
          <w:rFonts w:cs="Arial"/>
          <w:noProof/>
          <w:szCs w:val="22"/>
        </w:rPr>
      </w:pPr>
    </w:p>
    <w:p w14:paraId="76D348A1" w14:textId="77777777" w:rsidR="0037398A" w:rsidRPr="007528E0" w:rsidRDefault="0037398A" w:rsidP="0037398A">
      <w:pPr>
        <w:pStyle w:val="Prrafodelista"/>
        <w:spacing w:before="100" w:beforeAutospacing="1" w:after="100" w:afterAutospacing="1" w:line="240" w:lineRule="auto"/>
        <w:ind w:left="0"/>
        <w:rPr>
          <w:rFonts w:eastAsia="Calibri" w:cs="Arial"/>
          <w:szCs w:val="22"/>
        </w:rPr>
      </w:pPr>
      <w:r w:rsidRPr="007528E0">
        <w:rPr>
          <w:rFonts w:eastAsia="Calibri" w:cs="Arial"/>
          <w:szCs w:val="22"/>
        </w:rPr>
        <w:t xml:space="preserve">Las Benzodiacepinas se utilizan principalmente como sedantes e hipnóticos, descubiertas fortuitamente por Lowell Randall en 1957, producto de un proyecto abandonado por el químico Leo </w:t>
      </w:r>
      <w:proofErr w:type="spellStart"/>
      <w:r w:rsidRPr="007528E0">
        <w:rPr>
          <w:rFonts w:eastAsia="Calibri" w:cs="Arial"/>
          <w:szCs w:val="22"/>
        </w:rPr>
        <w:t>Stenbarch</w:t>
      </w:r>
      <w:proofErr w:type="spellEnd"/>
      <w:r w:rsidRPr="007528E0">
        <w:rPr>
          <w:rFonts w:eastAsia="Calibri" w:cs="Arial"/>
          <w:szCs w:val="22"/>
        </w:rPr>
        <w:t xml:space="preserve">, Randall comprobó que era un compuesto con propiedades miorrelajantes, sedantes y anticonvulsivo; fue comercializado en 1960 bajo el nombre de Valium que se introdujo en el uso clínico en 1963. Se utiliza en forma muy amplia por eso las organizaciones de salud hacen grandes esfuerzos por racionalizar su uso, ya que pueden inducir dependencia y son el principal agente involucrado en las intoxicaciones delincuenciales </w:t>
      </w:r>
      <w:r w:rsidRPr="007528E0">
        <w:rPr>
          <w:rFonts w:eastAsia="Calibri" w:cs="Arial"/>
          <w:szCs w:val="22"/>
        </w:rPr>
        <w:fldChar w:fldCharType="begin" w:fldLock="1"/>
      </w:r>
      <w:r w:rsidRPr="007528E0">
        <w:rPr>
          <w:rFonts w:eastAsia="Calibri" w:cs="Arial"/>
          <w:szCs w:val="22"/>
        </w:rPr>
        <w:instrText>ADDIN CSL_CITATION { "citationItems" : [ { "id" : "ITEM-1", "itemData" : { "author" : [ { "dropping-particle" : "", "family" : "Adriana Zamora Suarez", "given" : "MD", "non-dropping-particle" : "", "parse-names" : false, "suffix" : "" } ], "editor" : [ { "dropping-particle" : "", "family" : "Distribuna", "given" : "Editorial", "non-dropping-particle" : "", "parse-names" : false, "suffix" : "" } ], "id" : "ITEM-1", "issued" : { "date-parts" : [ [ "2014" ] ] }, "number-of-pages" : "3-5", "title" : "Intoxicaciones en la practica clinica", "type" : "book" }, "uris" : [ "http://www.mendeley.com/documents/?uuid=dab63e2e-2c1a-41eb-8bca-65988c1d6830" ] } ], "mendeley" : { "formattedCitation" : "(22)", "plainTextFormattedCitation" : "(22)", "previouslyFormattedCitation" : "(22)" }, "properties" : { "noteIndex" : 0 }, "schema" : "https://github.com/citation-style-language/schema/raw/master/csl-citation.json" }</w:instrText>
      </w:r>
      <w:r w:rsidRPr="007528E0">
        <w:rPr>
          <w:rFonts w:eastAsia="Calibri" w:cs="Arial"/>
          <w:szCs w:val="22"/>
        </w:rPr>
        <w:fldChar w:fldCharType="separate"/>
      </w:r>
      <w:r w:rsidRPr="007528E0">
        <w:rPr>
          <w:rFonts w:eastAsia="Calibri" w:cs="Arial"/>
          <w:noProof/>
          <w:szCs w:val="22"/>
        </w:rPr>
        <w:t>(22)</w:t>
      </w:r>
      <w:r w:rsidRPr="007528E0">
        <w:rPr>
          <w:rFonts w:eastAsia="Calibri" w:cs="Arial"/>
          <w:szCs w:val="22"/>
        </w:rPr>
        <w:fldChar w:fldCharType="end"/>
      </w:r>
      <w:r w:rsidRPr="007528E0">
        <w:rPr>
          <w:rFonts w:eastAsia="Calibri" w:cs="Arial"/>
          <w:szCs w:val="22"/>
        </w:rPr>
        <w:t xml:space="preserve">. </w:t>
      </w:r>
    </w:p>
    <w:p w14:paraId="2296465F" w14:textId="77777777" w:rsidR="0037398A" w:rsidRPr="007528E0" w:rsidRDefault="0037398A" w:rsidP="0037398A">
      <w:pPr>
        <w:pStyle w:val="Prrafodelista"/>
        <w:spacing w:before="100" w:beforeAutospacing="1" w:after="100" w:afterAutospacing="1" w:line="240" w:lineRule="auto"/>
        <w:ind w:left="0"/>
        <w:rPr>
          <w:rFonts w:eastAsia="Calibri" w:cs="Arial"/>
          <w:szCs w:val="22"/>
        </w:rPr>
      </w:pPr>
    </w:p>
    <w:p w14:paraId="7A1663FA" w14:textId="77777777" w:rsidR="0037398A" w:rsidRPr="007528E0" w:rsidRDefault="0037398A" w:rsidP="0037398A">
      <w:pPr>
        <w:pStyle w:val="Prrafodelista"/>
        <w:spacing w:before="100" w:beforeAutospacing="1" w:after="100" w:afterAutospacing="1" w:line="240" w:lineRule="auto"/>
        <w:ind w:left="0"/>
        <w:rPr>
          <w:rFonts w:eastAsia="Calibri" w:cs="Arial"/>
          <w:szCs w:val="22"/>
        </w:rPr>
      </w:pPr>
      <w:r w:rsidRPr="007528E0">
        <w:rPr>
          <w:rFonts w:cs="Arial"/>
          <w:noProof/>
          <w:szCs w:val="22"/>
        </w:rPr>
        <w:t xml:space="preserve">En relación a los medicamentos Antidepresivos, Haflinger y Zinder en los años 40 sintetizaron una serie de compuestos para fines antihistaminicos, sedantes, analgesicos y antiparkinsonianos. Uno de estos fue la imipramida, un compuesto debenzozepínico similar a las fenotiazinas. En 1958, Kuhn encontro fortuitamente que la imipramina era inefectiva como antipsicotico, pero que tenia propiedades antidepresivas. De esta manera nacen los antidepresivos triciclicos farmacos que son capaces de disminuir la recaptación de aminas endogenas aumentando asi su concentración en el espacio sináptico; años después, se establecio como grupo farmacológico al sintetizar una variedad de estos medicamentos y a la fecha se han descubierto muchos mas que guardan cierta relacion con antecesores </w:t>
      </w:r>
      <w:r w:rsidRPr="007528E0">
        <w:rPr>
          <w:rFonts w:cs="Arial"/>
          <w:noProof/>
          <w:szCs w:val="22"/>
        </w:rPr>
        <w:fldChar w:fldCharType="begin" w:fldLock="1"/>
      </w:r>
      <w:r w:rsidRPr="007528E0">
        <w:rPr>
          <w:rFonts w:cs="Arial"/>
          <w:noProof/>
          <w:szCs w:val="22"/>
        </w:rPr>
        <w:instrText>ADDIN CSL_CITATION { "citationItems" : [ { "id" : "ITEM-1", "itemData" : { "author" : [ { "dropping-particle" : "", "family" : "Adriana Zamora Suarez", "given" : "MD", "non-dropping-particle" : "", "parse-names" : false, "suffix" : "" } ], "editor" : [ { "dropping-particle" : "", "family" : "Distribuna", "given" : "Editorial", "non-dropping-particle" : "", "parse-names" : false, "suffix" : "" } ], "id" : "ITEM-1", "issued" : { "date-parts" : [ [ "2014" ] ] }, "number-of-pages" : "3-5", "title" : "Intoxicaciones en la practica clinica", "type" : "book" }, "uris" : [ "http://www.mendeley.com/documents/?uuid=dab63e2e-2c1a-41eb-8bca-65988c1d6830" ] } ], "mendeley" : { "formattedCitation" : "(22)", "plainTextFormattedCitation" : "(22)", "previouslyFormattedCitation" : "(22)" }, "properties" : { "noteIndex" : 0 }, "schema" : "https://github.com/citation-style-language/schema/raw/master/csl-citation.json" }</w:instrText>
      </w:r>
      <w:r w:rsidRPr="007528E0">
        <w:rPr>
          <w:rFonts w:cs="Arial"/>
          <w:noProof/>
          <w:szCs w:val="22"/>
        </w:rPr>
        <w:fldChar w:fldCharType="separate"/>
      </w:r>
      <w:r w:rsidRPr="007528E0">
        <w:rPr>
          <w:rFonts w:cs="Arial"/>
          <w:noProof/>
          <w:szCs w:val="22"/>
        </w:rPr>
        <w:t>(22)</w:t>
      </w:r>
      <w:r w:rsidRPr="007528E0">
        <w:rPr>
          <w:rFonts w:cs="Arial"/>
          <w:noProof/>
          <w:szCs w:val="22"/>
        </w:rPr>
        <w:fldChar w:fldCharType="end"/>
      </w:r>
      <w:r w:rsidRPr="007528E0">
        <w:rPr>
          <w:rFonts w:cs="Arial"/>
          <w:noProof/>
          <w:szCs w:val="22"/>
        </w:rPr>
        <w:t>.</w:t>
      </w:r>
      <w:r w:rsidRPr="007528E0">
        <w:rPr>
          <w:rFonts w:eastAsia="Calibri" w:cs="Arial"/>
          <w:szCs w:val="22"/>
        </w:rPr>
        <w:t xml:space="preserve"> </w:t>
      </w:r>
    </w:p>
    <w:p w14:paraId="48067A3C" w14:textId="77777777" w:rsidR="0037398A" w:rsidRPr="007528E0" w:rsidRDefault="0037398A" w:rsidP="0037398A">
      <w:pPr>
        <w:autoSpaceDE w:val="0"/>
        <w:autoSpaceDN w:val="0"/>
        <w:adjustRightInd w:val="0"/>
        <w:spacing w:before="100" w:beforeAutospacing="1" w:after="100" w:afterAutospacing="1"/>
        <w:rPr>
          <w:rFonts w:eastAsia="Calibri" w:cs="Arial"/>
          <w:sz w:val="22"/>
          <w:szCs w:val="22"/>
          <w:lang w:val="es-CO" w:eastAsia="es-CO"/>
        </w:rPr>
      </w:pPr>
      <w:r w:rsidRPr="007528E0">
        <w:rPr>
          <w:rFonts w:eastAsia="Calibri" w:cs="Arial"/>
          <w:sz w:val="22"/>
          <w:szCs w:val="22"/>
          <w:lang w:val="es-CO" w:eastAsia="es-CO"/>
        </w:rPr>
        <w:t xml:space="preserve">Los medicamentos antipsicóticos fueron introducidos en la década de los cincuentas para el tratamiento de los desórdenes psicóticos y hoy en día se utilizan para el tratamiento de otras condiciones psiquiátricas </w:t>
      </w:r>
      <w:r w:rsidRPr="007528E0">
        <w:rPr>
          <w:rFonts w:eastAsia="Calibri" w:cs="Arial"/>
          <w:sz w:val="22"/>
          <w:szCs w:val="22"/>
          <w:lang w:val="es-CO" w:eastAsia="es-CO"/>
        </w:rPr>
        <w:fldChar w:fldCharType="begin" w:fldLock="1"/>
      </w:r>
      <w:r w:rsidRPr="007528E0">
        <w:rPr>
          <w:rFonts w:eastAsia="Calibri" w:cs="Arial"/>
          <w:sz w:val="22"/>
          <w:szCs w:val="22"/>
          <w:lang w:val="es-CO" w:eastAsia="es-CO"/>
        </w:rPr>
        <w:instrText>ADDIN CSL_CITATION { "citationItems" : [ { "id" : "ITEM-1", "itemData" : { "author" : [ { "dropping-particle" : "", "family" : "Eum S, Lee A M", "given" : "Bishop J R", "non-dropping-particle" : "", "parse-names" : false, "suffix" : "" } ], "container-title" : "Dialogues in Clinical Neuroscience", "id" : "ITEM-1", "issue" : "3", "issued" : { "date-parts" : [ [ "2016" ] ] }, "title" : "Pharmacogenetic tests for antipsychotic medications: clinical implications and considerations, 2016,", "type" : "article-journal", "volume" : "18" }, "uris" : [ "http://www.mendeley.com/documents/?uuid=6ac98a3a-82e9-48d7-9078-c558adfcb000" ] } ], "mendeley" : { "formattedCitation" : "(23)", "plainTextFormattedCitation" : "(23)", "previouslyFormattedCitation" : "(23)" }, "properties" : { "noteIndex" : 0 }, "schema" : "https://github.com/citation-style-language/schema/raw/master/csl-citation.json" }</w:instrText>
      </w:r>
      <w:r w:rsidRPr="007528E0">
        <w:rPr>
          <w:rFonts w:eastAsia="Calibri" w:cs="Arial"/>
          <w:sz w:val="22"/>
          <w:szCs w:val="22"/>
          <w:lang w:val="es-CO" w:eastAsia="es-CO"/>
        </w:rPr>
        <w:fldChar w:fldCharType="separate"/>
      </w:r>
      <w:r w:rsidRPr="007528E0">
        <w:rPr>
          <w:rFonts w:eastAsia="Calibri" w:cs="Arial"/>
          <w:noProof/>
          <w:sz w:val="22"/>
          <w:szCs w:val="22"/>
          <w:lang w:val="es-CO" w:eastAsia="es-CO"/>
        </w:rPr>
        <w:t>(23)</w:t>
      </w:r>
      <w:r w:rsidRPr="007528E0">
        <w:rPr>
          <w:rFonts w:eastAsia="Calibri" w:cs="Arial"/>
          <w:sz w:val="22"/>
          <w:szCs w:val="22"/>
          <w:lang w:val="es-CO" w:eastAsia="es-CO"/>
        </w:rPr>
        <w:fldChar w:fldCharType="end"/>
      </w:r>
      <w:r w:rsidRPr="007528E0">
        <w:rPr>
          <w:rFonts w:eastAsia="Calibri" w:cs="Arial"/>
          <w:sz w:val="22"/>
          <w:szCs w:val="22"/>
          <w:lang w:val="es-CO" w:eastAsia="es-CO"/>
        </w:rPr>
        <w:t xml:space="preserve">. Estos actúan específicamente sobre los procesos neuroquímicos alterados que causan la psicosis; aunque también se nombran con  términos menos específicos: tranquilizantes (que calman) ataráxicos (que inducen imperturbabilidad) o neurolépticos (que sujetan los nervios) </w:t>
      </w:r>
      <w:r w:rsidRPr="007528E0">
        <w:rPr>
          <w:rFonts w:eastAsia="Calibri" w:cs="Arial"/>
          <w:sz w:val="22"/>
          <w:szCs w:val="22"/>
          <w:lang w:val="es-CO" w:eastAsia="es-CO"/>
        </w:rPr>
        <w:fldChar w:fldCharType="begin" w:fldLock="1"/>
      </w:r>
      <w:r w:rsidRPr="007528E0">
        <w:rPr>
          <w:rFonts w:eastAsia="Calibri" w:cs="Arial"/>
          <w:sz w:val="22"/>
          <w:szCs w:val="22"/>
          <w:lang w:val="es-CO" w:eastAsia="es-CO"/>
        </w:rPr>
        <w:instrText>ADDIN CSL_CITATION { "citationItems" : [ { "id" : "ITEM-1", "itemData" : { "author" : [ { "dropping-particle" : "", "family" : "Pol Yanguas E", "given" : "", "non-dropping-particle" : "", "parse-names" : false, "suffix" : "" } ], "container-title" : "SALUD COLECTIVA, Buenos Aires", "id" : "ITEM-1", "issued" : { "date-parts" : [ [ "2015" ] ] }, "title" : "Antipsic\u00f3ticos para la esquizofrenia: paradigma de los medicamentos psiqui\u00e1tricos,", "type" : "article-journal" }, "uris" : [ "http://www.mendeley.com/documents/?uuid=fd102cd9-ccd2-4b6a-baae-e1c52b103952" ] } ], "mendeley" : { "formattedCitation" : "(24)", "plainTextFormattedCitation" : "(24)", "previouslyFormattedCitation" : "(24)" }, "properties" : { "noteIndex" : 0 }, "schema" : "https://github.com/citation-style-language/schema/raw/master/csl-citation.json" }</w:instrText>
      </w:r>
      <w:r w:rsidRPr="007528E0">
        <w:rPr>
          <w:rFonts w:eastAsia="Calibri" w:cs="Arial"/>
          <w:sz w:val="22"/>
          <w:szCs w:val="22"/>
          <w:lang w:val="es-CO" w:eastAsia="es-CO"/>
        </w:rPr>
        <w:fldChar w:fldCharType="separate"/>
      </w:r>
      <w:r w:rsidRPr="007528E0">
        <w:rPr>
          <w:rFonts w:eastAsia="Calibri" w:cs="Arial"/>
          <w:noProof/>
          <w:sz w:val="22"/>
          <w:szCs w:val="22"/>
          <w:lang w:val="es-CO" w:eastAsia="es-CO"/>
        </w:rPr>
        <w:t>(24)</w:t>
      </w:r>
      <w:r w:rsidRPr="007528E0">
        <w:rPr>
          <w:rFonts w:eastAsia="Calibri" w:cs="Arial"/>
          <w:sz w:val="22"/>
          <w:szCs w:val="22"/>
          <w:lang w:val="es-CO" w:eastAsia="es-CO"/>
        </w:rPr>
        <w:fldChar w:fldCharType="end"/>
      </w:r>
      <w:r w:rsidRPr="007528E0">
        <w:rPr>
          <w:rFonts w:eastAsia="Calibri" w:cs="Arial"/>
          <w:sz w:val="22"/>
          <w:szCs w:val="22"/>
          <w:lang w:val="es-CO" w:eastAsia="es-CO"/>
        </w:rPr>
        <w:t>.</w:t>
      </w:r>
    </w:p>
    <w:p w14:paraId="0D708982" w14:textId="77777777" w:rsidR="0037398A" w:rsidRPr="007528E0" w:rsidRDefault="0037398A" w:rsidP="0037398A">
      <w:pPr>
        <w:pStyle w:val="Descripcin"/>
        <w:keepNext/>
        <w:spacing w:before="100" w:beforeAutospacing="1" w:after="100" w:afterAutospacing="1"/>
        <w:jc w:val="center"/>
        <w:rPr>
          <w:rFonts w:cs="Arial"/>
          <w:color w:val="auto"/>
          <w:sz w:val="22"/>
          <w:szCs w:val="22"/>
        </w:rPr>
      </w:pPr>
      <w:bookmarkStart w:id="10" w:name="_Toc505456247"/>
      <w:r w:rsidRPr="007528E0">
        <w:rPr>
          <w:rFonts w:cs="Arial"/>
          <w:b/>
          <w:color w:val="auto"/>
          <w:sz w:val="22"/>
          <w:szCs w:val="22"/>
        </w:rPr>
        <w:t xml:space="preserve">Tabla </w:t>
      </w:r>
      <w:r w:rsidRPr="007528E0">
        <w:rPr>
          <w:rFonts w:cs="Arial"/>
          <w:b/>
          <w:color w:val="auto"/>
          <w:sz w:val="22"/>
          <w:szCs w:val="22"/>
        </w:rPr>
        <w:fldChar w:fldCharType="begin"/>
      </w:r>
      <w:r w:rsidRPr="007528E0">
        <w:rPr>
          <w:rFonts w:cs="Arial"/>
          <w:b/>
          <w:color w:val="auto"/>
          <w:sz w:val="22"/>
          <w:szCs w:val="22"/>
        </w:rPr>
        <w:instrText xml:space="preserve"> SEQ Tabla \* ARABIC </w:instrText>
      </w:r>
      <w:r w:rsidRPr="007528E0">
        <w:rPr>
          <w:rFonts w:cs="Arial"/>
          <w:b/>
          <w:color w:val="auto"/>
          <w:sz w:val="22"/>
          <w:szCs w:val="22"/>
        </w:rPr>
        <w:fldChar w:fldCharType="separate"/>
      </w:r>
      <w:r w:rsidRPr="007528E0">
        <w:rPr>
          <w:rFonts w:cs="Arial"/>
          <w:b/>
          <w:noProof/>
          <w:color w:val="auto"/>
          <w:sz w:val="22"/>
          <w:szCs w:val="22"/>
        </w:rPr>
        <w:t>1</w:t>
      </w:r>
      <w:r w:rsidRPr="007528E0">
        <w:rPr>
          <w:rFonts w:cs="Arial"/>
          <w:b/>
          <w:color w:val="auto"/>
          <w:sz w:val="22"/>
          <w:szCs w:val="22"/>
        </w:rPr>
        <w:fldChar w:fldCharType="end"/>
      </w:r>
      <w:r w:rsidRPr="007528E0">
        <w:rPr>
          <w:rFonts w:cs="Arial"/>
          <w:color w:val="auto"/>
          <w:sz w:val="22"/>
          <w:szCs w:val="22"/>
        </w:rPr>
        <w:t xml:space="preserve">. Descripción de las manifestaciones clínicas y laboratorio de toxicología de los principales medicamentos implicados en las intoxicaciones notificadas al </w:t>
      </w:r>
      <w:proofErr w:type="spellStart"/>
      <w:r w:rsidRPr="007528E0">
        <w:rPr>
          <w:rFonts w:cs="Arial"/>
          <w:color w:val="auto"/>
          <w:sz w:val="22"/>
          <w:szCs w:val="22"/>
        </w:rPr>
        <w:t>Sivigila</w:t>
      </w:r>
      <w:proofErr w:type="spellEnd"/>
      <w:r w:rsidRPr="007528E0">
        <w:rPr>
          <w:rFonts w:cs="Arial"/>
          <w:color w:val="auto"/>
          <w:sz w:val="22"/>
          <w:szCs w:val="22"/>
        </w:rPr>
        <w:t>.</w:t>
      </w:r>
      <w:bookmarkEnd w:id="10"/>
    </w:p>
    <w:tbl>
      <w:tblPr>
        <w:tblW w:w="538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5"/>
        <w:gridCol w:w="1505"/>
        <w:gridCol w:w="1669"/>
        <w:gridCol w:w="2217"/>
        <w:gridCol w:w="2622"/>
      </w:tblGrid>
      <w:tr w:rsidR="007528E0" w:rsidRPr="007528E0" w14:paraId="3A46B117" w14:textId="77777777" w:rsidTr="007528E0">
        <w:trPr>
          <w:tblHeader/>
          <w:jc w:val="center"/>
        </w:trPr>
        <w:tc>
          <w:tcPr>
            <w:tcW w:w="1662" w:type="pct"/>
            <w:gridSpan w:val="2"/>
            <w:shd w:val="clear" w:color="auto" w:fill="auto"/>
            <w:vAlign w:val="center"/>
          </w:tcPr>
          <w:p w14:paraId="3157F68D" w14:textId="77777777" w:rsidR="0037398A" w:rsidRPr="007528E0" w:rsidRDefault="0037398A" w:rsidP="007528E0">
            <w:pPr>
              <w:pStyle w:val="Prrafodelista"/>
              <w:spacing w:before="100" w:beforeAutospacing="1" w:after="100" w:afterAutospacing="1" w:line="240" w:lineRule="auto"/>
              <w:ind w:left="0"/>
              <w:jc w:val="center"/>
              <w:rPr>
                <w:rFonts w:cs="Arial"/>
                <w:b/>
                <w:noProof/>
                <w:sz w:val="20"/>
              </w:rPr>
            </w:pPr>
            <w:r w:rsidRPr="007528E0">
              <w:rPr>
                <w:rFonts w:cs="Arial"/>
                <w:b/>
                <w:noProof/>
                <w:sz w:val="20"/>
              </w:rPr>
              <w:t>Medicamentos</w:t>
            </w:r>
          </w:p>
          <w:p w14:paraId="169A4D27" w14:textId="77777777" w:rsidR="0037398A" w:rsidRPr="007528E0" w:rsidRDefault="0037398A" w:rsidP="007528E0">
            <w:pPr>
              <w:pStyle w:val="Prrafodelista"/>
              <w:spacing w:before="100" w:beforeAutospacing="1" w:after="100" w:afterAutospacing="1" w:line="240" w:lineRule="auto"/>
              <w:ind w:left="0"/>
              <w:jc w:val="center"/>
              <w:rPr>
                <w:rFonts w:cs="Arial"/>
                <w:b/>
                <w:noProof/>
                <w:sz w:val="20"/>
              </w:rPr>
            </w:pPr>
          </w:p>
        </w:tc>
        <w:tc>
          <w:tcPr>
            <w:tcW w:w="856" w:type="pct"/>
            <w:shd w:val="clear" w:color="auto" w:fill="auto"/>
            <w:vAlign w:val="center"/>
          </w:tcPr>
          <w:p w14:paraId="388E810C" w14:textId="77777777" w:rsidR="0037398A" w:rsidRPr="007528E0" w:rsidRDefault="0037398A" w:rsidP="007528E0">
            <w:pPr>
              <w:pStyle w:val="Prrafodelista"/>
              <w:spacing w:before="100" w:beforeAutospacing="1" w:after="100" w:afterAutospacing="1" w:line="240" w:lineRule="auto"/>
              <w:ind w:left="0"/>
              <w:jc w:val="center"/>
              <w:rPr>
                <w:rFonts w:cs="Arial"/>
                <w:b/>
                <w:noProof/>
                <w:sz w:val="20"/>
              </w:rPr>
            </w:pPr>
            <w:r w:rsidRPr="007528E0">
              <w:rPr>
                <w:rFonts w:cs="Arial"/>
                <w:b/>
                <w:noProof/>
                <w:sz w:val="20"/>
              </w:rPr>
              <w:t>Ejemplos</w:t>
            </w:r>
          </w:p>
        </w:tc>
        <w:tc>
          <w:tcPr>
            <w:tcW w:w="1137" w:type="pct"/>
            <w:shd w:val="clear" w:color="auto" w:fill="auto"/>
            <w:vAlign w:val="center"/>
          </w:tcPr>
          <w:p w14:paraId="4DF985D2" w14:textId="77777777" w:rsidR="0037398A" w:rsidRPr="007528E0" w:rsidRDefault="0037398A" w:rsidP="007528E0">
            <w:pPr>
              <w:pStyle w:val="Prrafodelista"/>
              <w:spacing w:before="100" w:beforeAutospacing="1" w:after="100" w:afterAutospacing="1" w:line="240" w:lineRule="auto"/>
              <w:ind w:left="0"/>
              <w:jc w:val="center"/>
              <w:rPr>
                <w:rFonts w:cs="Arial"/>
                <w:b/>
                <w:noProof/>
                <w:sz w:val="20"/>
              </w:rPr>
            </w:pPr>
            <w:r w:rsidRPr="007528E0">
              <w:rPr>
                <w:rFonts w:cs="Arial"/>
                <w:b/>
                <w:noProof/>
                <w:sz w:val="20"/>
              </w:rPr>
              <w:t>Manifestaciones clínicas</w:t>
            </w:r>
          </w:p>
        </w:tc>
        <w:tc>
          <w:tcPr>
            <w:tcW w:w="1345" w:type="pct"/>
            <w:shd w:val="clear" w:color="auto" w:fill="auto"/>
            <w:vAlign w:val="center"/>
          </w:tcPr>
          <w:p w14:paraId="788FA8AB" w14:textId="77777777" w:rsidR="0037398A" w:rsidRPr="007528E0" w:rsidRDefault="0037398A" w:rsidP="007528E0">
            <w:pPr>
              <w:pStyle w:val="Prrafodelista"/>
              <w:spacing w:before="100" w:beforeAutospacing="1" w:after="100" w:afterAutospacing="1" w:line="240" w:lineRule="auto"/>
              <w:ind w:left="0"/>
              <w:jc w:val="center"/>
              <w:rPr>
                <w:rFonts w:cs="Arial"/>
                <w:b/>
                <w:noProof/>
                <w:sz w:val="20"/>
              </w:rPr>
            </w:pPr>
            <w:r w:rsidRPr="007528E0">
              <w:rPr>
                <w:rFonts w:cs="Arial"/>
                <w:b/>
                <w:noProof/>
                <w:sz w:val="20"/>
              </w:rPr>
              <w:t>Laboratorio de toxicología</w:t>
            </w:r>
          </w:p>
        </w:tc>
      </w:tr>
      <w:tr w:rsidR="007528E0" w:rsidRPr="007528E0" w14:paraId="4D404EBA" w14:textId="77777777" w:rsidTr="007528E0">
        <w:trPr>
          <w:tblHeader/>
          <w:jc w:val="center"/>
        </w:trPr>
        <w:tc>
          <w:tcPr>
            <w:tcW w:w="1662" w:type="pct"/>
            <w:gridSpan w:val="2"/>
            <w:vAlign w:val="center"/>
          </w:tcPr>
          <w:p w14:paraId="45049AB1" w14:textId="77777777" w:rsidR="0037398A" w:rsidRPr="007528E0" w:rsidRDefault="0037398A" w:rsidP="007528E0">
            <w:pPr>
              <w:pStyle w:val="Prrafodelista"/>
              <w:spacing w:before="100" w:beforeAutospacing="1" w:after="100" w:afterAutospacing="1" w:line="240" w:lineRule="auto"/>
              <w:ind w:left="0"/>
              <w:jc w:val="center"/>
              <w:rPr>
                <w:rFonts w:cs="Arial"/>
                <w:b/>
                <w:noProof/>
                <w:sz w:val="20"/>
              </w:rPr>
            </w:pPr>
            <w:r w:rsidRPr="007528E0">
              <w:rPr>
                <w:rFonts w:cs="Arial"/>
                <w:b/>
                <w:noProof/>
                <w:sz w:val="20"/>
              </w:rPr>
              <w:lastRenderedPageBreak/>
              <w:t>Benzodiacepinas</w:t>
            </w:r>
          </w:p>
          <w:p w14:paraId="5CAF623F" w14:textId="77777777" w:rsidR="0037398A" w:rsidRPr="007528E0" w:rsidRDefault="0037398A" w:rsidP="007528E0">
            <w:pPr>
              <w:pStyle w:val="Prrafodelista"/>
              <w:spacing w:before="100" w:beforeAutospacing="1" w:after="100" w:afterAutospacing="1" w:line="240" w:lineRule="auto"/>
              <w:ind w:left="0"/>
              <w:jc w:val="center"/>
              <w:rPr>
                <w:rFonts w:cs="Arial"/>
                <w:noProof/>
                <w:sz w:val="20"/>
              </w:rPr>
            </w:pPr>
            <w:r w:rsidRPr="007528E0">
              <w:rPr>
                <w:rFonts w:cs="Arial"/>
                <w:noProof/>
                <w:sz w:val="20"/>
              </w:rPr>
              <w:t>Dosis tóxica: el margen terapéutico:tóxico es muy amplio en general.</w:t>
            </w:r>
          </w:p>
        </w:tc>
        <w:tc>
          <w:tcPr>
            <w:tcW w:w="856" w:type="pct"/>
          </w:tcPr>
          <w:p w14:paraId="4F5904F2" w14:textId="77777777" w:rsidR="0037398A" w:rsidRPr="007528E0" w:rsidRDefault="0037398A" w:rsidP="007528E0">
            <w:pPr>
              <w:pStyle w:val="Prrafodelista"/>
              <w:spacing w:before="100" w:beforeAutospacing="1" w:after="100" w:afterAutospacing="1" w:line="240" w:lineRule="auto"/>
              <w:ind w:left="0"/>
              <w:rPr>
                <w:rFonts w:cs="Arial"/>
                <w:noProof/>
                <w:sz w:val="20"/>
              </w:rPr>
            </w:pPr>
          </w:p>
          <w:p w14:paraId="251F8DA2" w14:textId="77777777" w:rsidR="0037398A" w:rsidRPr="007528E0" w:rsidRDefault="0037398A" w:rsidP="007528E0">
            <w:pPr>
              <w:pStyle w:val="Prrafodelista"/>
              <w:spacing w:before="100" w:beforeAutospacing="1" w:after="100" w:afterAutospacing="1" w:line="240" w:lineRule="auto"/>
              <w:ind w:left="0"/>
              <w:rPr>
                <w:rFonts w:cs="Arial"/>
                <w:noProof/>
                <w:sz w:val="20"/>
              </w:rPr>
            </w:pPr>
          </w:p>
          <w:p w14:paraId="468951E6" w14:textId="77777777" w:rsidR="0037398A" w:rsidRPr="007528E0" w:rsidRDefault="0037398A" w:rsidP="007528E0">
            <w:pPr>
              <w:pStyle w:val="Prrafodelista"/>
              <w:spacing w:before="100" w:beforeAutospacing="1" w:after="100" w:afterAutospacing="1" w:line="240" w:lineRule="auto"/>
              <w:ind w:left="0"/>
              <w:rPr>
                <w:rFonts w:cs="Arial"/>
                <w:noProof/>
                <w:sz w:val="20"/>
              </w:rPr>
            </w:pPr>
          </w:p>
          <w:p w14:paraId="1D17BA6D" w14:textId="77777777" w:rsidR="0037398A" w:rsidRPr="007528E0" w:rsidRDefault="0037398A" w:rsidP="007528E0">
            <w:pPr>
              <w:pStyle w:val="Prrafodelista"/>
              <w:spacing w:before="100" w:beforeAutospacing="1" w:after="100" w:afterAutospacing="1" w:line="240" w:lineRule="auto"/>
              <w:ind w:left="0"/>
              <w:rPr>
                <w:rFonts w:cs="Arial"/>
                <w:noProof/>
                <w:sz w:val="20"/>
              </w:rPr>
            </w:pPr>
          </w:p>
          <w:p w14:paraId="3257A138" w14:textId="77777777" w:rsidR="0037398A" w:rsidRPr="007528E0" w:rsidRDefault="0037398A" w:rsidP="007528E0">
            <w:pPr>
              <w:pStyle w:val="Prrafodelista"/>
              <w:spacing w:before="100" w:beforeAutospacing="1" w:after="100" w:afterAutospacing="1" w:line="240" w:lineRule="auto"/>
              <w:ind w:left="0"/>
              <w:rPr>
                <w:rFonts w:cs="Arial"/>
                <w:noProof/>
                <w:sz w:val="20"/>
              </w:rPr>
            </w:pPr>
          </w:p>
          <w:p w14:paraId="66D0AEF8" w14:textId="77777777" w:rsidR="0037398A" w:rsidRPr="007528E0" w:rsidRDefault="0037398A" w:rsidP="007528E0">
            <w:pPr>
              <w:pStyle w:val="Prrafodelista"/>
              <w:spacing w:before="100" w:beforeAutospacing="1" w:after="100" w:afterAutospacing="1" w:line="240" w:lineRule="auto"/>
              <w:ind w:left="0"/>
              <w:rPr>
                <w:rFonts w:cs="Arial"/>
                <w:noProof/>
                <w:sz w:val="20"/>
              </w:rPr>
            </w:pPr>
            <w:r w:rsidRPr="007528E0">
              <w:rPr>
                <w:rFonts w:cs="Arial"/>
                <w:noProof/>
                <w:sz w:val="20"/>
              </w:rPr>
              <w:t>Clonazepam, Lorazepam, Alprazolam, Diazepam, Midazolam,</w:t>
            </w:r>
          </w:p>
          <w:p w14:paraId="6ED540D3" w14:textId="77777777" w:rsidR="0037398A" w:rsidRPr="007528E0" w:rsidRDefault="0037398A" w:rsidP="007528E0">
            <w:pPr>
              <w:pStyle w:val="Prrafodelista"/>
              <w:spacing w:before="100" w:beforeAutospacing="1" w:after="100" w:afterAutospacing="1" w:line="240" w:lineRule="auto"/>
              <w:ind w:left="0"/>
              <w:rPr>
                <w:rFonts w:cs="Arial"/>
                <w:noProof/>
                <w:sz w:val="20"/>
              </w:rPr>
            </w:pPr>
            <w:r w:rsidRPr="007528E0">
              <w:rPr>
                <w:rFonts w:cs="Arial"/>
                <w:noProof/>
                <w:sz w:val="20"/>
              </w:rPr>
              <w:t>Flurazepam,</w:t>
            </w:r>
          </w:p>
          <w:p w14:paraId="0624CB9A" w14:textId="77777777" w:rsidR="0037398A" w:rsidRPr="007528E0" w:rsidRDefault="0037398A" w:rsidP="007528E0">
            <w:pPr>
              <w:pStyle w:val="Prrafodelista"/>
              <w:spacing w:before="100" w:beforeAutospacing="1" w:after="100" w:afterAutospacing="1" w:line="240" w:lineRule="auto"/>
              <w:ind w:left="0"/>
              <w:rPr>
                <w:rFonts w:cs="Arial"/>
                <w:noProof/>
                <w:sz w:val="20"/>
              </w:rPr>
            </w:pPr>
            <w:r w:rsidRPr="007528E0">
              <w:rPr>
                <w:rFonts w:cs="Arial"/>
                <w:noProof/>
                <w:sz w:val="20"/>
              </w:rPr>
              <w:t>Flunitrazepam</w:t>
            </w:r>
          </w:p>
        </w:tc>
        <w:tc>
          <w:tcPr>
            <w:tcW w:w="1137" w:type="pct"/>
          </w:tcPr>
          <w:p w14:paraId="4CA38A9E" w14:textId="77777777" w:rsidR="0037398A" w:rsidRPr="007528E0" w:rsidRDefault="0037398A" w:rsidP="007528E0">
            <w:pPr>
              <w:pStyle w:val="Prrafodelista"/>
              <w:spacing w:before="100" w:beforeAutospacing="1" w:after="100" w:afterAutospacing="1" w:line="240" w:lineRule="auto"/>
              <w:ind w:left="0"/>
              <w:rPr>
                <w:rFonts w:cs="Arial"/>
                <w:noProof/>
                <w:sz w:val="20"/>
              </w:rPr>
            </w:pPr>
          </w:p>
          <w:p w14:paraId="3909A7AA" w14:textId="77777777" w:rsidR="0037398A" w:rsidRPr="007528E0" w:rsidRDefault="0037398A" w:rsidP="007528E0">
            <w:pPr>
              <w:pStyle w:val="Prrafodelista"/>
              <w:spacing w:before="100" w:beforeAutospacing="1" w:after="100" w:afterAutospacing="1" w:line="240" w:lineRule="auto"/>
              <w:ind w:left="0"/>
              <w:rPr>
                <w:rFonts w:cs="Arial"/>
                <w:noProof/>
                <w:sz w:val="20"/>
              </w:rPr>
            </w:pPr>
          </w:p>
          <w:p w14:paraId="4271FD8C" w14:textId="77777777" w:rsidR="0037398A" w:rsidRPr="007528E0" w:rsidRDefault="0037398A" w:rsidP="007528E0">
            <w:pPr>
              <w:pStyle w:val="Prrafodelista"/>
              <w:spacing w:before="100" w:beforeAutospacing="1" w:after="100" w:afterAutospacing="1" w:line="240" w:lineRule="auto"/>
              <w:ind w:left="0"/>
              <w:rPr>
                <w:rFonts w:cs="Arial"/>
                <w:noProof/>
                <w:sz w:val="20"/>
              </w:rPr>
            </w:pPr>
          </w:p>
          <w:p w14:paraId="2A18C711" w14:textId="77777777" w:rsidR="0037398A" w:rsidRPr="007528E0" w:rsidRDefault="0037398A" w:rsidP="007528E0">
            <w:pPr>
              <w:pStyle w:val="Prrafodelista"/>
              <w:spacing w:before="100" w:beforeAutospacing="1" w:after="100" w:afterAutospacing="1" w:line="240" w:lineRule="auto"/>
              <w:ind w:left="0"/>
              <w:rPr>
                <w:rFonts w:cs="Arial"/>
                <w:noProof/>
                <w:sz w:val="20"/>
              </w:rPr>
            </w:pPr>
          </w:p>
          <w:p w14:paraId="13999D89" w14:textId="77777777" w:rsidR="0037398A" w:rsidRPr="007528E0" w:rsidRDefault="0037398A" w:rsidP="007528E0">
            <w:pPr>
              <w:pStyle w:val="Prrafodelista"/>
              <w:spacing w:before="100" w:beforeAutospacing="1" w:after="100" w:afterAutospacing="1" w:line="240" w:lineRule="auto"/>
              <w:ind w:left="0"/>
              <w:rPr>
                <w:rFonts w:cs="Arial"/>
                <w:noProof/>
                <w:sz w:val="20"/>
              </w:rPr>
            </w:pPr>
          </w:p>
          <w:p w14:paraId="073D59C1" w14:textId="77777777" w:rsidR="0037398A" w:rsidRPr="007528E0" w:rsidRDefault="0037398A" w:rsidP="007528E0">
            <w:pPr>
              <w:pStyle w:val="Prrafodelista"/>
              <w:spacing w:before="100" w:beforeAutospacing="1" w:after="100" w:afterAutospacing="1" w:line="240" w:lineRule="auto"/>
              <w:ind w:left="0"/>
              <w:rPr>
                <w:rFonts w:cs="Arial"/>
                <w:noProof/>
                <w:sz w:val="20"/>
              </w:rPr>
            </w:pPr>
          </w:p>
          <w:p w14:paraId="57A8F171" w14:textId="77777777" w:rsidR="0037398A" w:rsidRPr="007528E0" w:rsidRDefault="0037398A" w:rsidP="007528E0">
            <w:pPr>
              <w:pStyle w:val="Prrafodelista"/>
              <w:spacing w:before="100" w:beforeAutospacing="1" w:after="100" w:afterAutospacing="1" w:line="240" w:lineRule="auto"/>
              <w:ind w:left="0"/>
              <w:rPr>
                <w:rFonts w:cs="Arial"/>
                <w:noProof/>
                <w:sz w:val="20"/>
              </w:rPr>
            </w:pPr>
          </w:p>
          <w:p w14:paraId="07435BF6" w14:textId="77777777" w:rsidR="0037398A" w:rsidRPr="007528E0" w:rsidRDefault="0037398A" w:rsidP="007528E0">
            <w:pPr>
              <w:pStyle w:val="Prrafodelista"/>
              <w:spacing w:before="100" w:beforeAutospacing="1" w:after="100" w:afterAutospacing="1" w:line="240" w:lineRule="auto"/>
              <w:ind w:left="0"/>
              <w:rPr>
                <w:rFonts w:cs="Arial"/>
                <w:noProof/>
                <w:sz w:val="20"/>
              </w:rPr>
            </w:pPr>
            <w:r w:rsidRPr="007528E0">
              <w:rPr>
                <w:rFonts w:cs="Arial"/>
                <w:noProof/>
                <w:sz w:val="20"/>
              </w:rPr>
              <w:t>Toxidrome hipnosedante/alcohol.</w:t>
            </w:r>
          </w:p>
          <w:p w14:paraId="3E2BB306" w14:textId="77777777" w:rsidR="0037398A" w:rsidRPr="007528E0" w:rsidRDefault="0037398A" w:rsidP="007528E0">
            <w:pPr>
              <w:pStyle w:val="Prrafodelista"/>
              <w:spacing w:before="100" w:beforeAutospacing="1" w:after="100" w:afterAutospacing="1" w:line="240" w:lineRule="auto"/>
              <w:ind w:left="0"/>
              <w:rPr>
                <w:rFonts w:cs="Arial"/>
                <w:noProof/>
                <w:sz w:val="20"/>
              </w:rPr>
            </w:pPr>
          </w:p>
        </w:tc>
        <w:tc>
          <w:tcPr>
            <w:tcW w:w="1345" w:type="pct"/>
          </w:tcPr>
          <w:p w14:paraId="2D7FD209" w14:textId="77777777" w:rsidR="0037398A" w:rsidRPr="007528E0" w:rsidRDefault="0037398A" w:rsidP="007528E0">
            <w:pPr>
              <w:pStyle w:val="Prrafodelista"/>
              <w:spacing w:before="100" w:beforeAutospacing="1" w:after="100" w:afterAutospacing="1" w:line="240" w:lineRule="auto"/>
              <w:ind w:left="0"/>
              <w:rPr>
                <w:rFonts w:cs="Arial"/>
                <w:noProof/>
                <w:sz w:val="20"/>
              </w:rPr>
            </w:pPr>
            <w:r w:rsidRPr="007528E0">
              <w:rPr>
                <w:rFonts w:cs="Arial"/>
                <w:noProof/>
                <w:sz w:val="20"/>
              </w:rPr>
              <w:t>Las pruebas de inmunoensayo (cualitativa) en orina, no detectan todas las benzodiazepinas disponibles o aquellas en bajas dosis; ademas tienen la posibilidad de presentar falsos positivos.</w:t>
            </w:r>
          </w:p>
          <w:p w14:paraId="1BA9697B" w14:textId="77777777" w:rsidR="0037398A" w:rsidRPr="007528E0" w:rsidRDefault="0037398A" w:rsidP="007528E0">
            <w:pPr>
              <w:pStyle w:val="Prrafodelista"/>
              <w:spacing w:before="100" w:beforeAutospacing="1" w:after="100" w:afterAutospacing="1" w:line="240" w:lineRule="auto"/>
              <w:ind w:left="0"/>
              <w:rPr>
                <w:rFonts w:cs="Arial"/>
                <w:noProof/>
                <w:sz w:val="20"/>
              </w:rPr>
            </w:pPr>
            <w:r w:rsidRPr="007528E0">
              <w:rPr>
                <w:rFonts w:cs="Arial"/>
                <w:noProof/>
                <w:sz w:val="20"/>
              </w:rPr>
              <w:t>Los niveles sanguineos pueden confirmar la intoxicacion, sin embargo, se correlacionan pobremente con la clinica.</w:t>
            </w:r>
          </w:p>
        </w:tc>
      </w:tr>
      <w:tr w:rsidR="007528E0" w:rsidRPr="007528E0" w14:paraId="1D767038" w14:textId="77777777" w:rsidTr="007528E0">
        <w:trPr>
          <w:trHeight w:val="2070"/>
          <w:tblHeader/>
          <w:jc w:val="center"/>
        </w:trPr>
        <w:tc>
          <w:tcPr>
            <w:tcW w:w="890" w:type="pct"/>
            <w:vMerge w:val="restart"/>
            <w:vAlign w:val="center"/>
          </w:tcPr>
          <w:p w14:paraId="37191481" w14:textId="77777777" w:rsidR="0037398A" w:rsidRPr="007528E0" w:rsidRDefault="0037398A" w:rsidP="007528E0">
            <w:pPr>
              <w:pStyle w:val="Prrafodelista"/>
              <w:spacing w:before="100" w:beforeAutospacing="1" w:after="100" w:afterAutospacing="1" w:line="240" w:lineRule="auto"/>
              <w:ind w:left="0"/>
              <w:jc w:val="center"/>
              <w:rPr>
                <w:rFonts w:cs="Arial"/>
                <w:b/>
                <w:noProof/>
                <w:sz w:val="20"/>
              </w:rPr>
            </w:pPr>
            <w:r w:rsidRPr="007528E0">
              <w:rPr>
                <w:rFonts w:cs="Arial"/>
                <w:b/>
                <w:noProof/>
                <w:sz w:val="20"/>
              </w:rPr>
              <w:t>Antidepresivos</w:t>
            </w:r>
          </w:p>
        </w:tc>
        <w:tc>
          <w:tcPr>
            <w:tcW w:w="772" w:type="pct"/>
            <w:vAlign w:val="center"/>
          </w:tcPr>
          <w:p w14:paraId="58347805" w14:textId="77777777" w:rsidR="0037398A" w:rsidRPr="007528E0" w:rsidRDefault="0037398A" w:rsidP="007528E0">
            <w:pPr>
              <w:pStyle w:val="Prrafodelista"/>
              <w:spacing w:before="100" w:beforeAutospacing="1" w:after="100" w:afterAutospacing="1" w:line="240" w:lineRule="auto"/>
              <w:ind w:left="0"/>
              <w:jc w:val="center"/>
              <w:rPr>
                <w:rFonts w:cs="Arial"/>
                <w:noProof/>
                <w:sz w:val="20"/>
              </w:rPr>
            </w:pPr>
            <w:r w:rsidRPr="007528E0">
              <w:rPr>
                <w:rFonts w:cs="Arial"/>
                <w:noProof/>
                <w:sz w:val="20"/>
              </w:rPr>
              <w:t>Tricíclicos</w:t>
            </w:r>
          </w:p>
          <w:p w14:paraId="6FED4BE1" w14:textId="77777777" w:rsidR="0037398A" w:rsidRPr="007528E0" w:rsidRDefault="0037398A" w:rsidP="007528E0">
            <w:pPr>
              <w:pStyle w:val="Prrafodelista"/>
              <w:spacing w:before="100" w:beforeAutospacing="1" w:after="100" w:afterAutospacing="1" w:line="240" w:lineRule="auto"/>
              <w:ind w:left="0"/>
              <w:jc w:val="center"/>
              <w:rPr>
                <w:rFonts w:cs="Arial"/>
                <w:noProof/>
                <w:sz w:val="20"/>
              </w:rPr>
            </w:pPr>
            <w:r w:rsidRPr="007528E0">
              <w:rPr>
                <w:rFonts w:cs="Arial"/>
                <w:noProof/>
                <w:sz w:val="20"/>
              </w:rPr>
              <w:t>Dosis tóxica: 10 a 20 mg/kg</w:t>
            </w:r>
          </w:p>
        </w:tc>
        <w:tc>
          <w:tcPr>
            <w:tcW w:w="856" w:type="pct"/>
          </w:tcPr>
          <w:p w14:paraId="7D84DE70" w14:textId="77777777" w:rsidR="0037398A" w:rsidRPr="007528E0" w:rsidRDefault="0037398A" w:rsidP="007528E0">
            <w:pPr>
              <w:pStyle w:val="Prrafodelista"/>
              <w:spacing w:before="100" w:beforeAutospacing="1" w:after="100" w:afterAutospacing="1" w:line="240" w:lineRule="auto"/>
              <w:ind w:left="0"/>
              <w:rPr>
                <w:rFonts w:cs="Arial"/>
                <w:noProof/>
                <w:sz w:val="20"/>
              </w:rPr>
            </w:pPr>
          </w:p>
          <w:p w14:paraId="6D565782" w14:textId="77777777" w:rsidR="0037398A" w:rsidRPr="007528E0" w:rsidRDefault="0037398A" w:rsidP="007528E0">
            <w:pPr>
              <w:pStyle w:val="Prrafodelista"/>
              <w:spacing w:before="100" w:beforeAutospacing="1" w:after="100" w:afterAutospacing="1" w:line="240" w:lineRule="auto"/>
              <w:ind w:left="0"/>
              <w:rPr>
                <w:rFonts w:cs="Arial"/>
                <w:noProof/>
                <w:sz w:val="20"/>
              </w:rPr>
            </w:pPr>
          </w:p>
          <w:p w14:paraId="24681AED" w14:textId="77777777" w:rsidR="0037398A" w:rsidRPr="007528E0" w:rsidRDefault="0037398A" w:rsidP="007528E0">
            <w:pPr>
              <w:pStyle w:val="Prrafodelista"/>
              <w:spacing w:before="100" w:beforeAutospacing="1" w:after="100" w:afterAutospacing="1" w:line="240" w:lineRule="auto"/>
              <w:ind w:left="0"/>
              <w:rPr>
                <w:rFonts w:cs="Arial"/>
                <w:noProof/>
                <w:sz w:val="20"/>
              </w:rPr>
            </w:pPr>
          </w:p>
          <w:p w14:paraId="48DDC3F3" w14:textId="77777777" w:rsidR="0037398A" w:rsidRPr="007528E0" w:rsidRDefault="0037398A" w:rsidP="007528E0">
            <w:pPr>
              <w:pStyle w:val="Prrafodelista"/>
              <w:spacing w:before="100" w:beforeAutospacing="1" w:after="100" w:afterAutospacing="1" w:line="240" w:lineRule="auto"/>
              <w:ind w:left="0"/>
              <w:rPr>
                <w:rFonts w:cs="Arial"/>
                <w:noProof/>
                <w:sz w:val="20"/>
              </w:rPr>
            </w:pPr>
            <w:r w:rsidRPr="007528E0">
              <w:rPr>
                <w:rFonts w:cs="Arial"/>
                <w:noProof/>
                <w:sz w:val="20"/>
              </w:rPr>
              <w:t>Amitriptilina, Trmipramins,</w:t>
            </w:r>
          </w:p>
          <w:p w14:paraId="7EB3108C" w14:textId="77777777" w:rsidR="0037398A" w:rsidRPr="007528E0" w:rsidRDefault="0037398A" w:rsidP="007528E0">
            <w:pPr>
              <w:pStyle w:val="Prrafodelista"/>
              <w:spacing w:before="100" w:beforeAutospacing="1" w:after="100" w:afterAutospacing="1" w:line="240" w:lineRule="auto"/>
              <w:ind w:left="0"/>
              <w:rPr>
                <w:rFonts w:cs="Arial"/>
                <w:noProof/>
                <w:sz w:val="20"/>
              </w:rPr>
            </w:pPr>
            <w:r w:rsidRPr="007528E0">
              <w:rPr>
                <w:rFonts w:cs="Arial"/>
                <w:noProof/>
                <w:sz w:val="20"/>
              </w:rPr>
              <w:t xml:space="preserve">Imipramina, </w:t>
            </w:r>
          </w:p>
          <w:p w14:paraId="368ED1CE" w14:textId="77777777" w:rsidR="0037398A" w:rsidRPr="007528E0" w:rsidRDefault="0037398A" w:rsidP="007528E0">
            <w:pPr>
              <w:pStyle w:val="Prrafodelista"/>
              <w:spacing w:before="100" w:beforeAutospacing="1" w:after="100" w:afterAutospacing="1" w:line="240" w:lineRule="auto"/>
              <w:ind w:left="0"/>
              <w:rPr>
                <w:rFonts w:cs="Arial"/>
                <w:noProof/>
                <w:sz w:val="20"/>
              </w:rPr>
            </w:pPr>
            <w:r w:rsidRPr="007528E0">
              <w:rPr>
                <w:rFonts w:cs="Arial"/>
                <w:noProof/>
                <w:sz w:val="20"/>
              </w:rPr>
              <w:t>Doxepina,</w:t>
            </w:r>
          </w:p>
          <w:p w14:paraId="2013AAEC" w14:textId="77777777" w:rsidR="0037398A" w:rsidRPr="007528E0" w:rsidRDefault="0037398A" w:rsidP="007528E0">
            <w:pPr>
              <w:pStyle w:val="Prrafodelista"/>
              <w:spacing w:before="100" w:beforeAutospacing="1" w:after="100" w:afterAutospacing="1" w:line="240" w:lineRule="auto"/>
              <w:ind w:left="0"/>
              <w:rPr>
                <w:rFonts w:cs="Arial"/>
                <w:noProof/>
                <w:sz w:val="20"/>
              </w:rPr>
            </w:pPr>
            <w:r w:rsidRPr="007528E0">
              <w:rPr>
                <w:rFonts w:cs="Arial"/>
                <w:noProof/>
                <w:sz w:val="20"/>
              </w:rPr>
              <w:t>Clomipramina,</w:t>
            </w:r>
          </w:p>
          <w:p w14:paraId="2D90E678" w14:textId="77777777" w:rsidR="0037398A" w:rsidRPr="007528E0" w:rsidRDefault="0037398A" w:rsidP="007528E0">
            <w:pPr>
              <w:pStyle w:val="Prrafodelista"/>
              <w:spacing w:before="100" w:beforeAutospacing="1" w:after="100" w:afterAutospacing="1" w:line="240" w:lineRule="auto"/>
              <w:ind w:left="0"/>
              <w:rPr>
                <w:rFonts w:cs="Arial"/>
                <w:noProof/>
                <w:sz w:val="20"/>
              </w:rPr>
            </w:pPr>
            <w:r w:rsidRPr="007528E0">
              <w:rPr>
                <w:rFonts w:cs="Arial"/>
                <w:noProof/>
                <w:sz w:val="20"/>
              </w:rPr>
              <w:t>Nortriptilina.</w:t>
            </w:r>
          </w:p>
        </w:tc>
        <w:tc>
          <w:tcPr>
            <w:tcW w:w="1137" w:type="pct"/>
          </w:tcPr>
          <w:p w14:paraId="2AE64F0E" w14:textId="77777777" w:rsidR="0037398A" w:rsidRPr="007528E0" w:rsidRDefault="0037398A" w:rsidP="007528E0">
            <w:pPr>
              <w:pStyle w:val="Prrafodelista"/>
              <w:spacing w:before="100" w:beforeAutospacing="1" w:after="100" w:afterAutospacing="1" w:line="240" w:lineRule="auto"/>
              <w:ind w:left="0"/>
              <w:rPr>
                <w:rFonts w:cs="Arial"/>
                <w:noProof/>
                <w:sz w:val="20"/>
              </w:rPr>
            </w:pPr>
            <w:r w:rsidRPr="007528E0">
              <w:rPr>
                <w:rFonts w:cs="Arial"/>
                <w:noProof/>
                <w:sz w:val="20"/>
              </w:rPr>
              <w:t>Toxidrome anticolinérgico. Puede presentar bradiarritmias o taquiarritmias, prolongación de los intervalos PR, QRS y QT, hipotensión, convulsiones recurrentes o persistentes con rabdomiolisis secundaria.</w:t>
            </w:r>
          </w:p>
        </w:tc>
        <w:tc>
          <w:tcPr>
            <w:tcW w:w="1345" w:type="pct"/>
          </w:tcPr>
          <w:p w14:paraId="60738E2C" w14:textId="77777777" w:rsidR="0037398A" w:rsidRPr="007528E0" w:rsidRDefault="0037398A" w:rsidP="007528E0">
            <w:pPr>
              <w:pStyle w:val="Prrafodelista"/>
              <w:spacing w:before="100" w:beforeAutospacing="1" w:after="100" w:afterAutospacing="1" w:line="240" w:lineRule="auto"/>
              <w:ind w:left="0"/>
              <w:rPr>
                <w:rFonts w:cs="Arial"/>
                <w:noProof/>
                <w:sz w:val="20"/>
              </w:rPr>
            </w:pPr>
            <w:r w:rsidRPr="007528E0">
              <w:rPr>
                <w:rFonts w:cs="Arial"/>
                <w:noProof/>
                <w:sz w:val="20"/>
              </w:rPr>
              <w:t>Las pruebas de inmunoensayo (cualitativa), pueden presentar falsos positivos.</w:t>
            </w:r>
          </w:p>
          <w:p w14:paraId="4C220FC4" w14:textId="77777777" w:rsidR="0037398A" w:rsidRPr="007528E0" w:rsidRDefault="0037398A" w:rsidP="007528E0">
            <w:pPr>
              <w:pStyle w:val="Prrafodelista"/>
              <w:spacing w:before="100" w:beforeAutospacing="1" w:after="100" w:afterAutospacing="1" w:line="240" w:lineRule="auto"/>
              <w:ind w:left="0"/>
              <w:rPr>
                <w:rFonts w:cs="Arial"/>
                <w:noProof/>
                <w:sz w:val="20"/>
              </w:rPr>
            </w:pPr>
          </w:p>
          <w:p w14:paraId="51C3AD9D" w14:textId="77777777" w:rsidR="0037398A" w:rsidRPr="007528E0" w:rsidRDefault="0037398A" w:rsidP="007528E0">
            <w:pPr>
              <w:pStyle w:val="Prrafodelista"/>
              <w:spacing w:before="100" w:beforeAutospacing="1" w:after="100" w:afterAutospacing="1" w:line="240" w:lineRule="auto"/>
              <w:ind w:left="0"/>
              <w:rPr>
                <w:rFonts w:cs="Arial"/>
                <w:noProof/>
                <w:sz w:val="20"/>
              </w:rPr>
            </w:pPr>
            <w:r w:rsidRPr="007528E0">
              <w:rPr>
                <w:rFonts w:cs="Arial"/>
                <w:noProof/>
                <w:sz w:val="20"/>
              </w:rPr>
              <w:t>Los niveles séricos tienen pobre correlación con la severidad de los efectos clínicos.</w:t>
            </w:r>
          </w:p>
          <w:p w14:paraId="5AE850F3" w14:textId="77777777" w:rsidR="0037398A" w:rsidRPr="007528E0" w:rsidRDefault="0037398A" w:rsidP="007528E0">
            <w:pPr>
              <w:pStyle w:val="Prrafodelista"/>
              <w:spacing w:before="100" w:beforeAutospacing="1" w:after="100" w:afterAutospacing="1" w:line="240" w:lineRule="auto"/>
              <w:ind w:left="0"/>
              <w:rPr>
                <w:rFonts w:cs="Arial"/>
                <w:noProof/>
                <w:sz w:val="20"/>
              </w:rPr>
            </w:pPr>
          </w:p>
        </w:tc>
      </w:tr>
      <w:tr w:rsidR="007528E0" w:rsidRPr="007528E0" w14:paraId="6E1CB4DD" w14:textId="77777777" w:rsidTr="007528E0">
        <w:trPr>
          <w:tblHeader/>
          <w:jc w:val="center"/>
        </w:trPr>
        <w:tc>
          <w:tcPr>
            <w:tcW w:w="890" w:type="pct"/>
            <w:vMerge/>
            <w:vAlign w:val="center"/>
          </w:tcPr>
          <w:p w14:paraId="63BBC412" w14:textId="77777777" w:rsidR="0037398A" w:rsidRPr="007528E0" w:rsidRDefault="0037398A" w:rsidP="007528E0">
            <w:pPr>
              <w:pStyle w:val="Prrafodelista"/>
              <w:spacing w:before="100" w:beforeAutospacing="1" w:after="100" w:afterAutospacing="1" w:line="240" w:lineRule="auto"/>
              <w:ind w:left="0"/>
              <w:jc w:val="center"/>
              <w:rPr>
                <w:rFonts w:cs="Arial"/>
                <w:noProof/>
                <w:sz w:val="20"/>
              </w:rPr>
            </w:pPr>
          </w:p>
        </w:tc>
        <w:tc>
          <w:tcPr>
            <w:tcW w:w="772" w:type="pct"/>
            <w:vAlign w:val="center"/>
          </w:tcPr>
          <w:p w14:paraId="355DDB6E" w14:textId="77777777" w:rsidR="0037398A" w:rsidRPr="007528E0" w:rsidRDefault="0037398A" w:rsidP="007528E0">
            <w:pPr>
              <w:pStyle w:val="Prrafodelista"/>
              <w:spacing w:before="100" w:beforeAutospacing="1" w:after="100" w:afterAutospacing="1" w:line="240" w:lineRule="auto"/>
              <w:ind w:left="0"/>
              <w:jc w:val="center"/>
              <w:rPr>
                <w:rFonts w:cs="Arial"/>
                <w:noProof/>
                <w:sz w:val="20"/>
              </w:rPr>
            </w:pPr>
            <w:r w:rsidRPr="007528E0">
              <w:rPr>
                <w:rFonts w:cs="Arial"/>
                <w:noProof/>
                <w:sz w:val="20"/>
              </w:rPr>
              <w:t>No cíclicos</w:t>
            </w:r>
          </w:p>
          <w:p w14:paraId="6CB7CC39" w14:textId="77777777" w:rsidR="0037398A" w:rsidRPr="007528E0" w:rsidRDefault="0037398A" w:rsidP="007528E0">
            <w:pPr>
              <w:pStyle w:val="Prrafodelista"/>
              <w:spacing w:before="100" w:beforeAutospacing="1" w:after="100" w:afterAutospacing="1" w:line="240" w:lineRule="auto"/>
              <w:ind w:left="0"/>
              <w:jc w:val="center"/>
              <w:rPr>
                <w:rFonts w:cs="Arial"/>
                <w:noProof/>
                <w:sz w:val="20"/>
              </w:rPr>
            </w:pPr>
            <w:r w:rsidRPr="007528E0">
              <w:rPr>
                <w:rFonts w:cs="Arial"/>
                <w:noProof/>
                <w:sz w:val="20"/>
              </w:rPr>
              <w:t>Dosis tóxica: amplio margen terapéutico</w:t>
            </w:r>
          </w:p>
        </w:tc>
        <w:tc>
          <w:tcPr>
            <w:tcW w:w="856" w:type="pct"/>
          </w:tcPr>
          <w:p w14:paraId="62228890" w14:textId="77777777" w:rsidR="0037398A" w:rsidRPr="007528E0" w:rsidRDefault="0037398A" w:rsidP="007528E0">
            <w:pPr>
              <w:pStyle w:val="Prrafodelista"/>
              <w:spacing w:before="100" w:beforeAutospacing="1" w:after="100" w:afterAutospacing="1" w:line="240" w:lineRule="auto"/>
              <w:ind w:left="0"/>
              <w:rPr>
                <w:rFonts w:cs="Arial"/>
                <w:noProof/>
                <w:sz w:val="20"/>
              </w:rPr>
            </w:pPr>
          </w:p>
          <w:p w14:paraId="61DDDED7" w14:textId="77777777" w:rsidR="0037398A" w:rsidRPr="007528E0" w:rsidRDefault="0037398A" w:rsidP="007528E0">
            <w:pPr>
              <w:pStyle w:val="Prrafodelista"/>
              <w:spacing w:before="100" w:beforeAutospacing="1" w:after="100" w:afterAutospacing="1" w:line="240" w:lineRule="auto"/>
              <w:ind w:left="0"/>
              <w:rPr>
                <w:rFonts w:cs="Arial"/>
                <w:noProof/>
                <w:sz w:val="20"/>
              </w:rPr>
            </w:pPr>
          </w:p>
          <w:p w14:paraId="17BAD8D7" w14:textId="77777777" w:rsidR="0037398A" w:rsidRPr="007528E0" w:rsidRDefault="0037398A" w:rsidP="007528E0">
            <w:pPr>
              <w:pStyle w:val="Prrafodelista"/>
              <w:spacing w:before="100" w:beforeAutospacing="1" w:after="100" w:afterAutospacing="1" w:line="240" w:lineRule="auto"/>
              <w:ind w:left="0"/>
              <w:rPr>
                <w:rFonts w:cs="Arial"/>
                <w:noProof/>
                <w:sz w:val="20"/>
              </w:rPr>
            </w:pPr>
            <w:r w:rsidRPr="007528E0">
              <w:rPr>
                <w:rFonts w:cs="Arial"/>
                <w:noProof/>
                <w:sz w:val="20"/>
              </w:rPr>
              <w:t xml:space="preserve">Fluoxetina, </w:t>
            </w:r>
          </w:p>
          <w:p w14:paraId="761D77CF" w14:textId="77777777" w:rsidR="0037398A" w:rsidRPr="007528E0" w:rsidRDefault="0037398A" w:rsidP="007528E0">
            <w:pPr>
              <w:pStyle w:val="Prrafodelista"/>
              <w:spacing w:before="100" w:beforeAutospacing="1" w:after="100" w:afterAutospacing="1" w:line="240" w:lineRule="auto"/>
              <w:ind w:left="0"/>
              <w:rPr>
                <w:rFonts w:cs="Arial"/>
                <w:noProof/>
                <w:sz w:val="20"/>
              </w:rPr>
            </w:pPr>
            <w:r w:rsidRPr="007528E0">
              <w:rPr>
                <w:rFonts w:cs="Arial"/>
                <w:noProof/>
                <w:sz w:val="20"/>
              </w:rPr>
              <w:t>Trazodona, Bupropion,</w:t>
            </w:r>
          </w:p>
          <w:p w14:paraId="638A39E2" w14:textId="77777777" w:rsidR="0037398A" w:rsidRPr="007528E0" w:rsidRDefault="0037398A" w:rsidP="007528E0">
            <w:pPr>
              <w:pStyle w:val="Prrafodelista"/>
              <w:spacing w:before="100" w:beforeAutospacing="1" w:after="100" w:afterAutospacing="1" w:line="240" w:lineRule="auto"/>
              <w:ind w:left="0"/>
              <w:rPr>
                <w:rFonts w:cs="Arial"/>
                <w:noProof/>
                <w:sz w:val="20"/>
              </w:rPr>
            </w:pPr>
            <w:r w:rsidRPr="007528E0">
              <w:rPr>
                <w:rFonts w:cs="Arial"/>
                <w:noProof/>
                <w:sz w:val="20"/>
              </w:rPr>
              <w:t xml:space="preserve">Mirtazapina, Venlafaxina, </w:t>
            </w:r>
          </w:p>
          <w:p w14:paraId="48DB6C57" w14:textId="77777777" w:rsidR="0037398A" w:rsidRPr="007528E0" w:rsidRDefault="0037398A" w:rsidP="007528E0">
            <w:pPr>
              <w:pStyle w:val="Prrafodelista"/>
              <w:spacing w:before="100" w:beforeAutospacing="1" w:after="100" w:afterAutospacing="1" w:line="240" w:lineRule="auto"/>
              <w:ind w:left="0"/>
              <w:rPr>
                <w:rFonts w:cs="Arial"/>
                <w:noProof/>
                <w:sz w:val="20"/>
              </w:rPr>
            </w:pPr>
            <w:r w:rsidRPr="007528E0">
              <w:rPr>
                <w:rFonts w:cs="Arial"/>
                <w:noProof/>
                <w:sz w:val="20"/>
              </w:rPr>
              <w:t>Sertralina</w:t>
            </w:r>
          </w:p>
        </w:tc>
        <w:tc>
          <w:tcPr>
            <w:tcW w:w="1137" w:type="pct"/>
          </w:tcPr>
          <w:p w14:paraId="24D82C42" w14:textId="77777777" w:rsidR="0037398A" w:rsidRPr="007528E0" w:rsidRDefault="0037398A" w:rsidP="007528E0">
            <w:pPr>
              <w:pStyle w:val="Prrafodelista"/>
              <w:spacing w:before="100" w:beforeAutospacing="1" w:after="100" w:afterAutospacing="1" w:line="240" w:lineRule="auto"/>
              <w:ind w:left="0"/>
              <w:rPr>
                <w:rFonts w:cs="Arial"/>
                <w:noProof/>
                <w:sz w:val="20"/>
              </w:rPr>
            </w:pPr>
            <w:r w:rsidRPr="007528E0">
              <w:rPr>
                <w:rFonts w:cs="Arial"/>
                <w:noProof/>
                <w:sz w:val="20"/>
              </w:rPr>
              <w:t>Toxidrome hipnosedante/alcohol.</w:t>
            </w:r>
          </w:p>
          <w:p w14:paraId="1426B3F9" w14:textId="77777777" w:rsidR="0037398A" w:rsidRPr="007528E0" w:rsidRDefault="0037398A" w:rsidP="007528E0">
            <w:pPr>
              <w:pStyle w:val="Prrafodelista"/>
              <w:spacing w:before="100" w:beforeAutospacing="1" w:after="100" w:afterAutospacing="1" w:line="240" w:lineRule="auto"/>
              <w:ind w:left="0"/>
              <w:rPr>
                <w:rFonts w:cs="Arial"/>
                <w:noProof/>
                <w:sz w:val="20"/>
              </w:rPr>
            </w:pPr>
            <w:r w:rsidRPr="007528E0">
              <w:rPr>
                <w:rFonts w:cs="Arial"/>
                <w:noProof/>
                <w:sz w:val="20"/>
              </w:rPr>
              <w:t xml:space="preserve">Bupropion puede causar ansiedad y agitación. </w:t>
            </w:r>
          </w:p>
          <w:p w14:paraId="2BD322B0" w14:textId="77777777" w:rsidR="0037398A" w:rsidRPr="007528E0" w:rsidRDefault="0037398A" w:rsidP="007528E0">
            <w:pPr>
              <w:pStyle w:val="Prrafodelista"/>
              <w:spacing w:before="100" w:beforeAutospacing="1" w:after="100" w:afterAutospacing="1" w:line="240" w:lineRule="auto"/>
              <w:ind w:left="0"/>
              <w:rPr>
                <w:rFonts w:cs="Arial"/>
                <w:noProof/>
                <w:sz w:val="20"/>
              </w:rPr>
            </w:pPr>
            <w:r w:rsidRPr="007528E0">
              <w:rPr>
                <w:rFonts w:cs="Arial"/>
                <w:noProof/>
                <w:sz w:val="20"/>
              </w:rPr>
              <w:t>Síndrome serotoninérgico en intoxicación por inhibidores de la recaptación de serotonina.</w:t>
            </w:r>
          </w:p>
        </w:tc>
        <w:tc>
          <w:tcPr>
            <w:tcW w:w="1345" w:type="pct"/>
          </w:tcPr>
          <w:p w14:paraId="5DE67B80" w14:textId="77777777" w:rsidR="0037398A" w:rsidRPr="007528E0" w:rsidRDefault="0037398A" w:rsidP="007528E0">
            <w:pPr>
              <w:pStyle w:val="Prrafodelista"/>
              <w:spacing w:before="100" w:beforeAutospacing="1" w:after="100" w:afterAutospacing="1" w:line="240" w:lineRule="auto"/>
              <w:ind w:left="0"/>
              <w:rPr>
                <w:rFonts w:cs="Arial"/>
                <w:noProof/>
                <w:sz w:val="20"/>
              </w:rPr>
            </w:pPr>
            <w:r w:rsidRPr="007528E0">
              <w:rPr>
                <w:rFonts w:cs="Arial"/>
                <w:noProof/>
                <w:sz w:val="20"/>
              </w:rPr>
              <w:t>Los niveles a partir de muestras en sangre o en orina no están disponibles de forma rutinaria.</w:t>
            </w:r>
          </w:p>
        </w:tc>
      </w:tr>
      <w:tr w:rsidR="007528E0" w:rsidRPr="007528E0" w14:paraId="06259AF8" w14:textId="77777777" w:rsidTr="007528E0">
        <w:trPr>
          <w:tblHeader/>
          <w:jc w:val="center"/>
        </w:trPr>
        <w:tc>
          <w:tcPr>
            <w:tcW w:w="1662" w:type="pct"/>
            <w:gridSpan w:val="2"/>
            <w:vMerge w:val="restart"/>
            <w:vAlign w:val="center"/>
          </w:tcPr>
          <w:p w14:paraId="5E537A8B" w14:textId="77777777" w:rsidR="0037398A" w:rsidRPr="007528E0" w:rsidRDefault="0037398A" w:rsidP="007528E0">
            <w:pPr>
              <w:pStyle w:val="Prrafodelista"/>
              <w:spacing w:before="100" w:beforeAutospacing="1" w:after="100" w:afterAutospacing="1" w:line="240" w:lineRule="auto"/>
              <w:ind w:left="0"/>
              <w:jc w:val="center"/>
              <w:rPr>
                <w:rFonts w:cs="Arial"/>
                <w:b/>
                <w:noProof/>
                <w:sz w:val="20"/>
              </w:rPr>
            </w:pPr>
            <w:r w:rsidRPr="007528E0">
              <w:rPr>
                <w:rFonts w:cs="Arial"/>
                <w:b/>
                <w:noProof/>
                <w:sz w:val="20"/>
              </w:rPr>
              <w:lastRenderedPageBreak/>
              <w:t>Anticonvulsivantes</w:t>
            </w:r>
          </w:p>
        </w:tc>
        <w:tc>
          <w:tcPr>
            <w:tcW w:w="856" w:type="pct"/>
          </w:tcPr>
          <w:p w14:paraId="439114DE" w14:textId="77777777" w:rsidR="0037398A" w:rsidRPr="007528E0" w:rsidRDefault="0037398A" w:rsidP="007528E0">
            <w:pPr>
              <w:pStyle w:val="Prrafodelista"/>
              <w:spacing w:before="100" w:beforeAutospacing="1" w:after="100" w:afterAutospacing="1" w:line="240" w:lineRule="auto"/>
              <w:ind w:left="0"/>
              <w:rPr>
                <w:rFonts w:cs="Arial"/>
                <w:noProof/>
                <w:sz w:val="20"/>
              </w:rPr>
            </w:pPr>
          </w:p>
          <w:p w14:paraId="2FDA517B" w14:textId="77777777" w:rsidR="0037398A" w:rsidRPr="007528E0" w:rsidRDefault="0037398A" w:rsidP="007528E0">
            <w:pPr>
              <w:pStyle w:val="Prrafodelista"/>
              <w:spacing w:before="100" w:beforeAutospacing="1" w:after="100" w:afterAutospacing="1" w:line="240" w:lineRule="auto"/>
              <w:ind w:left="0"/>
              <w:rPr>
                <w:rFonts w:cs="Arial"/>
                <w:noProof/>
                <w:sz w:val="20"/>
              </w:rPr>
            </w:pPr>
            <w:r w:rsidRPr="007528E0">
              <w:rPr>
                <w:rFonts w:cs="Arial"/>
                <w:noProof/>
                <w:sz w:val="20"/>
              </w:rPr>
              <w:t>Carbamazepina</w:t>
            </w:r>
          </w:p>
          <w:p w14:paraId="6574A470" w14:textId="77777777" w:rsidR="0037398A" w:rsidRPr="007528E0" w:rsidRDefault="0037398A" w:rsidP="007528E0">
            <w:pPr>
              <w:pStyle w:val="Prrafodelista"/>
              <w:spacing w:before="100" w:beforeAutospacing="1" w:after="100" w:afterAutospacing="1" w:line="240" w:lineRule="auto"/>
              <w:ind w:left="0"/>
              <w:rPr>
                <w:rFonts w:cs="Arial"/>
                <w:noProof/>
                <w:sz w:val="20"/>
              </w:rPr>
            </w:pPr>
            <w:r w:rsidRPr="007528E0">
              <w:rPr>
                <w:rFonts w:cs="Arial"/>
                <w:noProof/>
                <w:sz w:val="20"/>
              </w:rPr>
              <w:t>Dosis tóxica: la ingesta superior a 10 mg/kg se refleja en niveles por encima del rango terapéutico (4 – 12 mg/L)</w:t>
            </w:r>
          </w:p>
        </w:tc>
        <w:tc>
          <w:tcPr>
            <w:tcW w:w="1137" w:type="pct"/>
          </w:tcPr>
          <w:p w14:paraId="46D544D6" w14:textId="77777777" w:rsidR="0037398A" w:rsidRPr="007528E0" w:rsidRDefault="0037398A" w:rsidP="007528E0">
            <w:pPr>
              <w:pStyle w:val="Prrafodelista"/>
              <w:spacing w:before="100" w:beforeAutospacing="1" w:after="100" w:afterAutospacing="1" w:line="240" w:lineRule="auto"/>
              <w:ind w:left="0"/>
              <w:rPr>
                <w:rFonts w:cs="Arial"/>
                <w:noProof/>
                <w:sz w:val="20"/>
              </w:rPr>
            </w:pPr>
            <w:r w:rsidRPr="007528E0">
              <w:rPr>
                <w:rFonts w:cs="Arial"/>
                <w:noProof/>
                <w:sz w:val="20"/>
              </w:rPr>
              <w:t>Ataxia, nistagmus, distonia, midriasis, taquicardia sinusal en intoxicación leve. Casos más severos pueden presentar: convulsiones, hipertermia, coma, paro respiratorio, prolongación del complejo QRS y del intervalo QT.</w:t>
            </w:r>
          </w:p>
        </w:tc>
        <w:tc>
          <w:tcPr>
            <w:tcW w:w="1345" w:type="pct"/>
          </w:tcPr>
          <w:p w14:paraId="7EBEB203" w14:textId="77777777" w:rsidR="0037398A" w:rsidRPr="007528E0" w:rsidRDefault="0037398A" w:rsidP="007528E0">
            <w:pPr>
              <w:pStyle w:val="Prrafodelista"/>
              <w:spacing w:before="100" w:beforeAutospacing="1" w:after="100" w:afterAutospacing="1" w:line="240" w:lineRule="auto"/>
              <w:ind w:left="0"/>
              <w:rPr>
                <w:rFonts w:cs="Arial"/>
                <w:noProof/>
                <w:sz w:val="20"/>
              </w:rPr>
            </w:pPr>
            <w:r w:rsidRPr="007528E0">
              <w:rPr>
                <w:rFonts w:cs="Arial"/>
                <w:noProof/>
                <w:sz w:val="20"/>
              </w:rPr>
              <w:t>Los niveles séricos tienen pobre correlación con la severidad de los efectos clínicos. Puede producir falsos positivos para las pruebas de tamizaje para antidepresivos tricíclicos.</w:t>
            </w:r>
          </w:p>
          <w:p w14:paraId="74C008FC" w14:textId="77777777" w:rsidR="0037398A" w:rsidRPr="007528E0" w:rsidRDefault="0037398A" w:rsidP="007528E0">
            <w:pPr>
              <w:pStyle w:val="Prrafodelista"/>
              <w:spacing w:before="100" w:beforeAutospacing="1" w:after="100" w:afterAutospacing="1" w:line="240" w:lineRule="auto"/>
              <w:ind w:left="0"/>
              <w:rPr>
                <w:rFonts w:cs="Arial"/>
                <w:noProof/>
                <w:sz w:val="20"/>
              </w:rPr>
            </w:pPr>
          </w:p>
        </w:tc>
      </w:tr>
      <w:tr w:rsidR="007528E0" w:rsidRPr="007528E0" w14:paraId="5BF7C758" w14:textId="77777777" w:rsidTr="007528E0">
        <w:trPr>
          <w:tblHeader/>
          <w:jc w:val="center"/>
        </w:trPr>
        <w:tc>
          <w:tcPr>
            <w:tcW w:w="1662" w:type="pct"/>
            <w:gridSpan w:val="2"/>
            <w:vMerge/>
            <w:vAlign w:val="center"/>
          </w:tcPr>
          <w:p w14:paraId="6BB6D377" w14:textId="77777777" w:rsidR="0037398A" w:rsidRPr="007528E0" w:rsidRDefault="0037398A" w:rsidP="007528E0">
            <w:pPr>
              <w:pStyle w:val="Prrafodelista"/>
              <w:spacing w:before="100" w:beforeAutospacing="1" w:after="100" w:afterAutospacing="1" w:line="240" w:lineRule="auto"/>
              <w:ind w:left="0"/>
              <w:jc w:val="center"/>
              <w:rPr>
                <w:rFonts w:cs="Arial"/>
                <w:noProof/>
                <w:sz w:val="20"/>
              </w:rPr>
            </w:pPr>
          </w:p>
        </w:tc>
        <w:tc>
          <w:tcPr>
            <w:tcW w:w="856" w:type="pct"/>
          </w:tcPr>
          <w:p w14:paraId="5FDB5EFC" w14:textId="77777777" w:rsidR="0037398A" w:rsidRPr="007528E0" w:rsidRDefault="0037398A" w:rsidP="007528E0">
            <w:pPr>
              <w:pStyle w:val="Prrafodelista"/>
              <w:spacing w:before="100" w:beforeAutospacing="1" w:after="100" w:afterAutospacing="1" w:line="240" w:lineRule="auto"/>
              <w:ind w:left="0"/>
              <w:rPr>
                <w:rFonts w:cs="Arial"/>
                <w:noProof/>
                <w:sz w:val="20"/>
              </w:rPr>
            </w:pPr>
          </w:p>
          <w:p w14:paraId="7DD7D2F8" w14:textId="77777777" w:rsidR="0037398A" w:rsidRPr="007528E0" w:rsidRDefault="0037398A" w:rsidP="007528E0">
            <w:pPr>
              <w:pStyle w:val="Prrafodelista"/>
              <w:spacing w:before="100" w:beforeAutospacing="1" w:after="100" w:afterAutospacing="1" w:line="240" w:lineRule="auto"/>
              <w:ind w:left="0"/>
              <w:rPr>
                <w:rFonts w:cs="Arial"/>
                <w:noProof/>
                <w:sz w:val="20"/>
              </w:rPr>
            </w:pPr>
          </w:p>
          <w:p w14:paraId="5BC563BC" w14:textId="77777777" w:rsidR="0037398A" w:rsidRPr="007528E0" w:rsidRDefault="0037398A" w:rsidP="007528E0">
            <w:pPr>
              <w:pStyle w:val="Prrafodelista"/>
              <w:spacing w:before="100" w:beforeAutospacing="1" w:after="100" w:afterAutospacing="1" w:line="240" w:lineRule="auto"/>
              <w:ind w:left="0"/>
              <w:rPr>
                <w:rFonts w:cs="Arial"/>
                <w:noProof/>
                <w:sz w:val="20"/>
              </w:rPr>
            </w:pPr>
          </w:p>
          <w:p w14:paraId="3E901603" w14:textId="77777777" w:rsidR="0037398A" w:rsidRPr="007528E0" w:rsidRDefault="0037398A" w:rsidP="007528E0">
            <w:pPr>
              <w:pStyle w:val="Prrafodelista"/>
              <w:spacing w:before="100" w:beforeAutospacing="1" w:after="100" w:afterAutospacing="1" w:line="240" w:lineRule="auto"/>
              <w:ind w:left="0"/>
              <w:rPr>
                <w:rFonts w:cs="Arial"/>
                <w:noProof/>
                <w:sz w:val="20"/>
              </w:rPr>
            </w:pPr>
          </w:p>
          <w:p w14:paraId="38A94E74" w14:textId="77777777" w:rsidR="0037398A" w:rsidRPr="007528E0" w:rsidRDefault="0037398A" w:rsidP="007528E0">
            <w:pPr>
              <w:pStyle w:val="Prrafodelista"/>
              <w:spacing w:before="100" w:beforeAutospacing="1" w:after="100" w:afterAutospacing="1" w:line="240" w:lineRule="auto"/>
              <w:ind w:left="0"/>
              <w:rPr>
                <w:rFonts w:cs="Arial"/>
                <w:noProof/>
                <w:sz w:val="20"/>
              </w:rPr>
            </w:pPr>
            <w:r w:rsidRPr="007528E0">
              <w:rPr>
                <w:rFonts w:cs="Arial"/>
                <w:noProof/>
                <w:sz w:val="20"/>
              </w:rPr>
              <w:t>Ácido valproico</w:t>
            </w:r>
          </w:p>
          <w:p w14:paraId="5233780E" w14:textId="77777777" w:rsidR="0037398A" w:rsidRPr="007528E0" w:rsidRDefault="0037398A" w:rsidP="007528E0">
            <w:pPr>
              <w:pStyle w:val="Prrafodelista"/>
              <w:spacing w:before="100" w:beforeAutospacing="1" w:after="100" w:afterAutospacing="1" w:line="240" w:lineRule="auto"/>
              <w:ind w:left="0"/>
              <w:rPr>
                <w:rFonts w:cs="Arial"/>
                <w:noProof/>
                <w:sz w:val="20"/>
              </w:rPr>
            </w:pPr>
            <w:r w:rsidRPr="007528E0">
              <w:rPr>
                <w:rFonts w:cs="Arial"/>
                <w:noProof/>
                <w:sz w:val="20"/>
              </w:rPr>
              <w:t>Dosis tóxica: 200 mg/kg tiene riesgo de depresión importante del SNC.</w:t>
            </w:r>
          </w:p>
        </w:tc>
        <w:tc>
          <w:tcPr>
            <w:tcW w:w="1137" w:type="pct"/>
          </w:tcPr>
          <w:p w14:paraId="1B91889B" w14:textId="77777777" w:rsidR="0037398A" w:rsidRPr="007528E0" w:rsidRDefault="0037398A" w:rsidP="007528E0">
            <w:pPr>
              <w:pStyle w:val="Prrafodelista"/>
              <w:spacing w:before="100" w:beforeAutospacing="1" w:after="100" w:afterAutospacing="1" w:line="240" w:lineRule="auto"/>
              <w:ind w:left="0"/>
              <w:rPr>
                <w:rFonts w:cs="Arial"/>
                <w:noProof/>
                <w:sz w:val="20"/>
              </w:rPr>
            </w:pPr>
            <w:r w:rsidRPr="007528E0">
              <w:rPr>
                <w:rFonts w:cs="Arial"/>
                <w:noProof/>
                <w:sz w:val="20"/>
              </w:rPr>
              <w:t>Molestias gastrointestinales, depresión variable del sistema nervioso central, ocasionalmente hipotensión con taquicardia y prolongación del intervalo QT. En intoxicaciones severas se presenta alteraciones metabólicas y electrolíticas (hipercalcemia e hipernatremia) paro cardiorrespiratorio. Elevación transitoria de transaminasas</w:t>
            </w:r>
          </w:p>
        </w:tc>
        <w:tc>
          <w:tcPr>
            <w:tcW w:w="1345" w:type="pct"/>
          </w:tcPr>
          <w:p w14:paraId="39325BC8" w14:textId="77777777" w:rsidR="0037398A" w:rsidRPr="007528E0" w:rsidRDefault="0037398A" w:rsidP="007528E0">
            <w:pPr>
              <w:pStyle w:val="Prrafodelista"/>
              <w:spacing w:before="100" w:beforeAutospacing="1" w:after="100" w:afterAutospacing="1" w:line="240" w:lineRule="auto"/>
              <w:ind w:left="0"/>
              <w:rPr>
                <w:rFonts w:cs="Arial"/>
                <w:noProof/>
                <w:sz w:val="20"/>
              </w:rPr>
            </w:pPr>
            <w:r w:rsidRPr="007528E0">
              <w:rPr>
                <w:rFonts w:cs="Arial"/>
                <w:noProof/>
                <w:sz w:val="20"/>
              </w:rPr>
              <w:t>Los niveles séricos tienen pobre correlación con la severidad de los efectos clínicos.</w:t>
            </w:r>
          </w:p>
        </w:tc>
      </w:tr>
      <w:tr w:rsidR="007528E0" w:rsidRPr="007528E0" w14:paraId="29792293" w14:textId="77777777" w:rsidTr="007528E0">
        <w:trPr>
          <w:tblHeader/>
          <w:jc w:val="center"/>
        </w:trPr>
        <w:tc>
          <w:tcPr>
            <w:tcW w:w="1662" w:type="pct"/>
            <w:gridSpan w:val="2"/>
            <w:vMerge/>
            <w:vAlign w:val="center"/>
          </w:tcPr>
          <w:p w14:paraId="4BA763F1" w14:textId="77777777" w:rsidR="0037398A" w:rsidRPr="007528E0" w:rsidRDefault="0037398A" w:rsidP="007528E0">
            <w:pPr>
              <w:pStyle w:val="Prrafodelista"/>
              <w:spacing w:before="100" w:beforeAutospacing="1" w:after="100" w:afterAutospacing="1" w:line="240" w:lineRule="auto"/>
              <w:ind w:left="0"/>
              <w:jc w:val="center"/>
              <w:rPr>
                <w:rFonts w:cs="Arial"/>
                <w:noProof/>
                <w:sz w:val="20"/>
              </w:rPr>
            </w:pPr>
          </w:p>
        </w:tc>
        <w:tc>
          <w:tcPr>
            <w:tcW w:w="856" w:type="pct"/>
          </w:tcPr>
          <w:p w14:paraId="6FB200BF" w14:textId="77777777" w:rsidR="0037398A" w:rsidRPr="007528E0" w:rsidRDefault="0037398A" w:rsidP="007528E0">
            <w:pPr>
              <w:pStyle w:val="Prrafodelista"/>
              <w:spacing w:before="100" w:beforeAutospacing="1" w:after="100" w:afterAutospacing="1" w:line="240" w:lineRule="auto"/>
              <w:ind w:left="0"/>
              <w:rPr>
                <w:rFonts w:cs="Arial"/>
                <w:noProof/>
                <w:sz w:val="20"/>
              </w:rPr>
            </w:pPr>
          </w:p>
          <w:p w14:paraId="1AD38451" w14:textId="77777777" w:rsidR="0037398A" w:rsidRPr="007528E0" w:rsidRDefault="0037398A" w:rsidP="007528E0">
            <w:pPr>
              <w:pStyle w:val="Prrafodelista"/>
              <w:spacing w:before="100" w:beforeAutospacing="1" w:after="100" w:afterAutospacing="1" w:line="240" w:lineRule="auto"/>
              <w:ind w:left="0"/>
              <w:rPr>
                <w:rFonts w:cs="Arial"/>
                <w:noProof/>
                <w:sz w:val="20"/>
              </w:rPr>
            </w:pPr>
          </w:p>
          <w:p w14:paraId="3F87E4AD" w14:textId="77777777" w:rsidR="0037398A" w:rsidRPr="007528E0" w:rsidRDefault="0037398A" w:rsidP="007528E0">
            <w:pPr>
              <w:pStyle w:val="Prrafodelista"/>
              <w:spacing w:before="100" w:beforeAutospacing="1" w:after="100" w:afterAutospacing="1" w:line="240" w:lineRule="auto"/>
              <w:ind w:left="0"/>
              <w:rPr>
                <w:rFonts w:cs="Arial"/>
                <w:noProof/>
                <w:sz w:val="20"/>
              </w:rPr>
            </w:pPr>
          </w:p>
          <w:p w14:paraId="5B5CA51A" w14:textId="77777777" w:rsidR="0037398A" w:rsidRPr="007528E0" w:rsidRDefault="0037398A" w:rsidP="007528E0">
            <w:pPr>
              <w:pStyle w:val="Prrafodelista"/>
              <w:spacing w:before="100" w:beforeAutospacing="1" w:after="100" w:afterAutospacing="1" w:line="240" w:lineRule="auto"/>
              <w:ind w:left="0"/>
              <w:rPr>
                <w:rFonts w:cs="Arial"/>
                <w:noProof/>
                <w:sz w:val="20"/>
              </w:rPr>
            </w:pPr>
          </w:p>
          <w:p w14:paraId="0C36B1A3" w14:textId="77777777" w:rsidR="0037398A" w:rsidRPr="007528E0" w:rsidRDefault="0037398A" w:rsidP="007528E0">
            <w:pPr>
              <w:pStyle w:val="Prrafodelista"/>
              <w:spacing w:before="100" w:beforeAutospacing="1" w:after="100" w:afterAutospacing="1" w:line="240" w:lineRule="auto"/>
              <w:ind w:left="0"/>
              <w:rPr>
                <w:rFonts w:cs="Arial"/>
                <w:noProof/>
                <w:sz w:val="20"/>
              </w:rPr>
            </w:pPr>
          </w:p>
          <w:p w14:paraId="29496FDD" w14:textId="77777777" w:rsidR="0037398A" w:rsidRPr="007528E0" w:rsidRDefault="0037398A" w:rsidP="007528E0">
            <w:pPr>
              <w:pStyle w:val="Prrafodelista"/>
              <w:spacing w:before="100" w:beforeAutospacing="1" w:after="100" w:afterAutospacing="1" w:line="240" w:lineRule="auto"/>
              <w:ind w:left="0"/>
              <w:rPr>
                <w:rFonts w:cs="Arial"/>
                <w:noProof/>
                <w:sz w:val="20"/>
              </w:rPr>
            </w:pPr>
          </w:p>
          <w:p w14:paraId="01554D3A" w14:textId="77777777" w:rsidR="0037398A" w:rsidRPr="007528E0" w:rsidRDefault="0037398A" w:rsidP="007528E0">
            <w:pPr>
              <w:pStyle w:val="Prrafodelista"/>
              <w:spacing w:before="100" w:beforeAutospacing="1" w:after="100" w:afterAutospacing="1" w:line="240" w:lineRule="auto"/>
              <w:ind w:left="0"/>
              <w:rPr>
                <w:rFonts w:cs="Arial"/>
                <w:noProof/>
                <w:sz w:val="20"/>
              </w:rPr>
            </w:pPr>
          </w:p>
          <w:p w14:paraId="408058AD" w14:textId="77777777" w:rsidR="0037398A" w:rsidRPr="007528E0" w:rsidRDefault="0037398A" w:rsidP="007528E0">
            <w:pPr>
              <w:pStyle w:val="Prrafodelista"/>
              <w:spacing w:before="100" w:beforeAutospacing="1" w:after="100" w:afterAutospacing="1" w:line="240" w:lineRule="auto"/>
              <w:ind w:left="0"/>
              <w:rPr>
                <w:rFonts w:cs="Arial"/>
                <w:noProof/>
                <w:sz w:val="20"/>
              </w:rPr>
            </w:pPr>
          </w:p>
          <w:p w14:paraId="16D6BDF1" w14:textId="77777777" w:rsidR="0037398A" w:rsidRPr="007528E0" w:rsidRDefault="0037398A" w:rsidP="007528E0">
            <w:pPr>
              <w:pStyle w:val="Prrafodelista"/>
              <w:spacing w:before="100" w:beforeAutospacing="1" w:after="100" w:afterAutospacing="1" w:line="240" w:lineRule="auto"/>
              <w:ind w:left="0"/>
              <w:rPr>
                <w:rFonts w:cs="Arial"/>
                <w:noProof/>
                <w:sz w:val="20"/>
              </w:rPr>
            </w:pPr>
            <w:r w:rsidRPr="007528E0">
              <w:rPr>
                <w:rFonts w:cs="Arial"/>
                <w:noProof/>
                <w:sz w:val="20"/>
              </w:rPr>
              <w:t>Fenitoína</w:t>
            </w:r>
          </w:p>
          <w:p w14:paraId="4741845E" w14:textId="77777777" w:rsidR="0037398A" w:rsidRPr="007528E0" w:rsidRDefault="0037398A" w:rsidP="007528E0">
            <w:pPr>
              <w:pStyle w:val="Prrafodelista"/>
              <w:spacing w:before="100" w:beforeAutospacing="1" w:after="100" w:afterAutospacing="1" w:line="240" w:lineRule="auto"/>
              <w:ind w:left="0"/>
              <w:rPr>
                <w:rFonts w:cs="Arial"/>
                <w:noProof/>
                <w:sz w:val="20"/>
              </w:rPr>
            </w:pPr>
            <w:r w:rsidRPr="007528E0">
              <w:rPr>
                <w:rFonts w:cs="Arial"/>
                <w:noProof/>
                <w:sz w:val="20"/>
              </w:rPr>
              <w:t>Dosis tóxica: 20 mg/kg.</w:t>
            </w:r>
          </w:p>
        </w:tc>
        <w:tc>
          <w:tcPr>
            <w:tcW w:w="1137" w:type="pct"/>
          </w:tcPr>
          <w:p w14:paraId="377FDE5E" w14:textId="77777777" w:rsidR="0037398A" w:rsidRPr="007528E0" w:rsidRDefault="0037398A" w:rsidP="007528E0">
            <w:pPr>
              <w:pStyle w:val="Prrafodelista"/>
              <w:spacing w:before="100" w:beforeAutospacing="1" w:after="100" w:afterAutospacing="1" w:line="240" w:lineRule="auto"/>
              <w:ind w:left="0"/>
              <w:rPr>
                <w:rFonts w:cs="Arial"/>
                <w:noProof/>
                <w:sz w:val="20"/>
              </w:rPr>
            </w:pPr>
            <w:r w:rsidRPr="007528E0">
              <w:rPr>
                <w:rFonts w:cs="Arial"/>
                <w:noProof/>
                <w:sz w:val="20"/>
              </w:rPr>
              <w:t>Afectación de la función cerebelosa y vestibular: ataxia, temblor, diplopía, nistagmus, dificultar para hablar, manifestaciones piramidales y extrapiramidales tales como distonía, discinesia, movimientos coreoatetósicos, rigidez de descerebración.</w:t>
            </w:r>
          </w:p>
          <w:p w14:paraId="3F829C48" w14:textId="77777777" w:rsidR="0037398A" w:rsidRPr="007528E0" w:rsidRDefault="0037398A" w:rsidP="007528E0">
            <w:pPr>
              <w:pStyle w:val="Prrafodelista"/>
              <w:spacing w:before="100" w:beforeAutospacing="1" w:after="100" w:afterAutospacing="1" w:line="240" w:lineRule="auto"/>
              <w:ind w:left="0"/>
              <w:rPr>
                <w:rFonts w:cs="Arial"/>
                <w:noProof/>
                <w:sz w:val="20"/>
              </w:rPr>
            </w:pPr>
            <w:r w:rsidRPr="007528E0">
              <w:rPr>
                <w:rFonts w:cs="Arial"/>
                <w:noProof/>
                <w:sz w:val="20"/>
              </w:rPr>
              <w:t>En intoxicaciones severas comportamienti sicótico y depresión del SNC.</w:t>
            </w:r>
          </w:p>
          <w:p w14:paraId="10B251B9" w14:textId="77777777" w:rsidR="0037398A" w:rsidRPr="007528E0" w:rsidRDefault="0037398A" w:rsidP="007528E0">
            <w:pPr>
              <w:pStyle w:val="Prrafodelista"/>
              <w:spacing w:before="100" w:beforeAutospacing="1" w:after="100" w:afterAutospacing="1" w:line="240" w:lineRule="auto"/>
              <w:ind w:left="0"/>
              <w:rPr>
                <w:rFonts w:cs="Arial"/>
                <w:noProof/>
                <w:sz w:val="20"/>
              </w:rPr>
            </w:pPr>
            <w:r w:rsidRPr="007528E0">
              <w:rPr>
                <w:rFonts w:cs="Arial"/>
                <w:noProof/>
                <w:sz w:val="20"/>
              </w:rPr>
              <w:t>De forma crónica hay presencia de hiperplasia gingival, efectos cerebelosos y cambios comportamentales.</w:t>
            </w:r>
          </w:p>
        </w:tc>
        <w:tc>
          <w:tcPr>
            <w:tcW w:w="1345" w:type="pct"/>
          </w:tcPr>
          <w:p w14:paraId="23F5D856" w14:textId="77777777" w:rsidR="0037398A" w:rsidRPr="007528E0" w:rsidRDefault="0037398A" w:rsidP="007528E0">
            <w:pPr>
              <w:pStyle w:val="Prrafodelista"/>
              <w:spacing w:before="100" w:beforeAutospacing="1" w:after="100" w:afterAutospacing="1" w:line="240" w:lineRule="auto"/>
              <w:ind w:left="0"/>
              <w:rPr>
                <w:rFonts w:cs="Arial"/>
                <w:noProof/>
                <w:sz w:val="20"/>
              </w:rPr>
            </w:pPr>
            <w:r w:rsidRPr="007528E0">
              <w:rPr>
                <w:rFonts w:cs="Arial"/>
                <w:noProof/>
                <w:sz w:val="20"/>
              </w:rPr>
              <w:t>Se reporta la interacción de varios medicamentos asociados al uso crónico de fenitoína (ej. Aceleran el metabolismo de otros medicamentos) no son aplicables a emergencias agudas.</w:t>
            </w:r>
          </w:p>
        </w:tc>
      </w:tr>
      <w:tr w:rsidR="007528E0" w:rsidRPr="007528E0" w14:paraId="5126247D" w14:textId="77777777" w:rsidTr="007528E0">
        <w:trPr>
          <w:tblHeader/>
          <w:jc w:val="center"/>
        </w:trPr>
        <w:tc>
          <w:tcPr>
            <w:tcW w:w="1662" w:type="pct"/>
            <w:gridSpan w:val="2"/>
            <w:vAlign w:val="center"/>
          </w:tcPr>
          <w:p w14:paraId="2730383F" w14:textId="77777777" w:rsidR="0037398A" w:rsidRPr="007528E0" w:rsidRDefault="0037398A" w:rsidP="007528E0">
            <w:pPr>
              <w:pStyle w:val="Prrafodelista"/>
              <w:spacing w:before="100" w:beforeAutospacing="1" w:after="100" w:afterAutospacing="1" w:line="240" w:lineRule="auto"/>
              <w:ind w:left="0"/>
              <w:jc w:val="center"/>
              <w:rPr>
                <w:rFonts w:cs="Arial"/>
                <w:noProof/>
                <w:sz w:val="20"/>
              </w:rPr>
            </w:pPr>
          </w:p>
        </w:tc>
        <w:tc>
          <w:tcPr>
            <w:tcW w:w="856" w:type="pct"/>
          </w:tcPr>
          <w:p w14:paraId="7FEA905D" w14:textId="77777777" w:rsidR="0037398A" w:rsidRPr="007528E0" w:rsidRDefault="0037398A" w:rsidP="007528E0">
            <w:pPr>
              <w:pStyle w:val="Prrafodelista"/>
              <w:spacing w:before="100" w:beforeAutospacing="1" w:after="100" w:afterAutospacing="1" w:line="240" w:lineRule="auto"/>
              <w:ind w:left="0"/>
              <w:rPr>
                <w:rFonts w:cs="Arial"/>
                <w:noProof/>
                <w:sz w:val="20"/>
              </w:rPr>
            </w:pPr>
            <w:r w:rsidRPr="007528E0">
              <w:rPr>
                <w:rFonts w:cs="Arial"/>
                <w:noProof/>
                <w:sz w:val="20"/>
              </w:rPr>
              <w:t xml:space="preserve">Otros: Felbamato, </w:t>
            </w:r>
          </w:p>
          <w:p w14:paraId="64B14AED" w14:textId="77777777" w:rsidR="0037398A" w:rsidRPr="007528E0" w:rsidRDefault="0037398A" w:rsidP="007528E0">
            <w:pPr>
              <w:pStyle w:val="Prrafodelista"/>
              <w:spacing w:before="100" w:beforeAutospacing="1" w:after="100" w:afterAutospacing="1" w:line="240" w:lineRule="auto"/>
              <w:ind w:left="0"/>
              <w:rPr>
                <w:rFonts w:cs="Arial"/>
                <w:noProof/>
                <w:sz w:val="20"/>
              </w:rPr>
            </w:pPr>
          </w:p>
          <w:p w14:paraId="00944BC8" w14:textId="77777777" w:rsidR="0037398A" w:rsidRPr="007528E0" w:rsidRDefault="0037398A" w:rsidP="007528E0">
            <w:pPr>
              <w:pStyle w:val="Prrafodelista"/>
              <w:spacing w:before="100" w:beforeAutospacing="1" w:after="100" w:afterAutospacing="1" w:line="240" w:lineRule="auto"/>
              <w:ind w:left="0"/>
              <w:rPr>
                <w:rFonts w:cs="Arial"/>
                <w:noProof/>
                <w:sz w:val="20"/>
              </w:rPr>
            </w:pPr>
          </w:p>
          <w:p w14:paraId="542BD76D" w14:textId="77777777" w:rsidR="0037398A" w:rsidRPr="007528E0" w:rsidRDefault="0037398A" w:rsidP="007528E0">
            <w:pPr>
              <w:pStyle w:val="Prrafodelista"/>
              <w:spacing w:before="100" w:beforeAutospacing="1" w:after="100" w:afterAutospacing="1" w:line="240" w:lineRule="auto"/>
              <w:ind w:left="0"/>
              <w:rPr>
                <w:rFonts w:cs="Arial"/>
                <w:noProof/>
                <w:sz w:val="20"/>
              </w:rPr>
            </w:pPr>
            <w:r w:rsidRPr="007528E0">
              <w:rPr>
                <w:rFonts w:cs="Arial"/>
                <w:noProof/>
                <w:sz w:val="20"/>
              </w:rPr>
              <w:t>Lamotrigina,</w:t>
            </w:r>
          </w:p>
          <w:p w14:paraId="30F44B0A" w14:textId="77777777" w:rsidR="0037398A" w:rsidRPr="007528E0" w:rsidRDefault="0037398A" w:rsidP="007528E0">
            <w:pPr>
              <w:pStyle w:val="Prrafodelista"/>
              <w:spacing w:before="100" w:beforeAutospacing="1" w:after="100" w:afterAutospacing="1" w:line="240" w:lineRule="auto"/>
              <w:ind w:left="0"/>
              <w:rPr>
                <w:rFonts w:cs="Arial"/>
                <w:noProof/>
                <w:sz w:val="20"/>
              </w:rPr>
            </w:pPr>
          </w:p>
          <w:p w14:paraId="26EF86CA" w14:textId="77777777" w:rsidR="0037398A" w:rsidRPr="007528E0" w:rsidRDefault="0037398A" w:rsidP="007528E0">
            <w:pPr>
              <w:pStyle w:val="Prrafodelista"/>
              <w:spacing w:before="100" w:beforeAutospacing="1" w:after="100" w:afterAutospacing="1" w:line="240" w:lineRule="auto"/>
              <w:ind w:left="0"/>
              <w:rPr>
                <w:rFonts w:cs="Arial"/>
                <w:noProof/>
                <w:sz w:val="20"/>
              </w:rPr>
            </w:pPr>
          </w:p>
          <w:p w14:paraId="4E12CA26" w14:textId="77777777" w:rsidR="0037398A" w:rsidRPr="007528E0" w:rsidRDefault="0037398A" w:rsidP="007528E0">
            <w:pPr>
              <w:pStyle w:val="Prrafodelista"/>
              <w:spacing w:before="100" w:beforeAutospacing="1" w:after="100" w:afterAutospacing="1" w:line="240" w:lineRule="auto"/>
              <w:ind w:left="0"/>
              <w:rPr>
                <w:rFonts w:cs="Arial"/>
                <w:noProof/>
                <w:sz w:val="20"/>
              </w:rPr>
            </w:pPr>
          </w:p>
          <w:p w14:paraId="41E1FAAE" w14:textId="77777777" w:rsidR="0037398A" w:rsidRPr="007528E0" w:rsidRDefault="0037398A" w:rsidP="007528E0">
            <w:pPr>
              <w:pStyle w:val="Prrafodelista"/>
              <w:spacing w:before="100" w:beforeAutospacing="1" w:after="100" w:afterAutospacing="1" w:line="240" w:lineRule="auto"/>
              <w:ind w:left="0"/>
              <w:rPr>
                <w:rFonts w:cs="Arial"/>
                <w:noProof/>
                <w:sz w:val="20"/>
              </w:rPr>
            </w:pPr>
            <w:r w:rsidRPr="007528E0">
              <w:rPr>
                <w:rFonts w:cs="Arial"/>
                <w:noProof/>
                <w:sz w:val="20"/>
              </w:rPr>
              <w:t>Vigavatrina</w:t>
            </w:r>
          </w:p>
        </w:tc>
        <w:tc>
          <w:tcPr>
            <w:tcW w:w="1137" w:type="pct"/>
          </w:tcPr>
          <w:p w14:paraId="155ACE1D" w14:textId="77777777" w:rsidR="0037398A" w:rsidRPr="007528E0" w:rsidRDefault="0037398A" w:rsidP="007528E0">
            <w:pPr>
              <w:pStyle w:val="Prrafodelista"/>
              <w:spacing w:before="100" w:beforeAutospacing="1" w:after="100" w:afterAutospacing="1" w:line="240" w:lineRule="auto"/>
              <w:ind w:left="0"/>
              <w:rPr>
                <w:rFonts w:cs="Arial"/>
                <w:noProof/>
                <w:sz w:val="20"/>
              </w:rPr>
            </w:pPr>
            <w:r w:rsidRPr="007528E0">
              <w:rPr>
                <w:rFonts w:cs="Arial"/>
                <w:noProof/>
                <w:sz w:val="20"/>
              </w:rPr>
              <w:t>Irritabilidad, insomnia, anorexia, nausea, cefalea.</w:t>
            </w:r>
          </w:p>
          <w:p w14:paraId="57A1ED66" w14:textId="77777777" w:rsidR="0037398A" w:rsidRPr="007528E0" w:rsidRDefault="0037398A" w:rsidP="007528E0">
            <w:pPr>
              <w:pStyle w:val="Prrafodelista"/>
              <w:spacing w:before="100" w:beforeAutospacing="1" w:after="100" w:afterAutospacing="1" w:line="240" w:lineRule="auto"/>
              <w:ind w:left="0"/>
              <w:rPr>
                <w:rFonts w:cs="Arial"/>
                <w:noProof/>
                <w:sz w:val="20"/>
              </w:rPr>
            </w:pPr>
          </w:p>
          <w:p w14:paraId="7A1D4B1A" w14:textId="77777777" w:rsidR="0037398A" w:rsidRPr="007528E0" w:rsidRDefault="0037398A" w:rsidP="007528E0">
            <w:pPr>
              <w:pStyle w:val="Prrafodelista"/>
              <w:spacing w:before="100" w:beforeAutospacing="1" w:after="100" w:afterAutospacing="1" w:line="240" w:lineRule="auto"/>
              <w:ind w:left="0"/>
              <w:rPr>
                <w:rFonts w:cs="Arial"/>
                <w:noProof/>
                <w:sz w:val="20"/>
              </w:rPr>
            </w:pPr>
            <w:r w:rsidRPr="007528E0">
              <w:rPr>
                <w:rFonts w:cs="Arial"/>
                <w:noProof/>
                <w:sz w:val="20"/>
              </w:rPr>
              <w:t>Vértigo, temblor, diplopia, ataxia y sedación.</w:t>
            </w:r>
          </w:p>
          <w:p w14:paraId="50D7179C" w14:textId="77777777" w:rsidR="0037398A" w:rsidRPr="007528E0" w:rsidRDefault="0037398A" w:rsidP="007528E0">
            <w:pPr>
              <w:pStyle w:val="Prrafodelista"/>
              <w:spacing w:before="100" w:beforeAutospacing="1" w:after="100" w:afterAutospacing="1" w:line="240" w:lineRule="auto"/>
              <w:ind w:left="0"/>
              <w:rPr>
                <w:rFonts w:cs="Arial"/>
                <w:noProof/>
                <w:sz w:val="20"/>
              </w:rPr>
            </w:pPr>
          </w:p>
          <w:p w14:paraId="66B19C8D" w14:textId="77777777" w:rsidR="0037398A" w:rsidRPr="007528E0" w:rsidRDefault="0037398A" w:rsidP="007528E0">
            <w:pPr>
              <w:pStyle w:val="Prrafodelista"/>
              <w:spacing w:before="100" w:beforeAutospacing="1" w:after="100" w:afterAutospacing="1" w:line="240" w:lineRule="auto"/>
              <w:ind w:left="0"/>
              <w:rPr>
                <w:rFonts w:cs="Arial"/>
                <w:noProof/>
                <w:sz w:val="20"/>
              </w:rPr>
            </w:pPr>
            <w:r w:rsidRPr="007528E0">
              <w:rPr>
                <w:rFonts w:cs="Arial"/>
                <w:noProof/>
                <w:sz w:val="20"/>
              </w:rPr>
              <w:t>Sedación, confusión, coma, agitación, delirio, alteraciones sicóticas.</w:t>
            </w:r>
          </w:p>
          <w:p w14:paraId="46CFC81B" w14:textId="77777777" w:rsidR="0037398A" w:rsidRPr="007528E0" w:rsidRDefault="0037398A" w:rsidP="007528E0">
            <w:pPr>
              <w:pStyle w:val="Prrafodelista"/>
              <w:spacing w:before="100" w:beforeAutospacing="1" w:after="100" w:afterAutospacing="1" w:line="240" w:lineRule="auto"/>
              <w:ind w:left="0"/>
              <w:rPr>
                <w:rFonts w:cs="Arial"/>
                <w:noProof/>
                <w:sz w:val="20"/>
              </w:rPr>
            </w:pPr>
          </w:p>
        </w:tc>
        <w:tc>
          <w:tcPr>
            <w:tcW w:w="1345" w:type="pct"/>
          </w:tcPr>
          <w:p w14:paraId="2C3C8974" w14:textId="77777777" w:rsidR="0037398A" w:rsidRPr="007528E0" w:rsidRDefault="0037398A" w:rsidP="007528E0">
            <w:pPr>
              <w:pStyle w:val="Prrafodelista"/>
              <w:spacing w:before="100" w:beforeAutospacing="1" w:after="100" w:afterAutospacing="1" w:line="240" w:lineRule="auto"/>
              <w:ind w:left="0"/>
              <w:rPr>
                <w:rFonts w:cs="Arial"/>
                <w:noProof/>
                <w:sz w:val="20"/>
              </w:rPr>
            </w:pPr>
          </w:p>
          <w:p w14:paraId="2971F238" w14:textId="77777777" w:rsidR="0037398A" w:rsidRPr="007528E0" w:rsidRDefault="0037398A" w:rsidP="007528E0">
            <w:pPr>
              <w:pStyle w:val="Prrafodelista"/>
              <w:spacing w:before="100" w:beforeAutospacing="1" w:after="100" w:afterAutospacing="1" w:line="240" w:lineRule="auto"/>
              <w:ind w:left="0"/>
              <w:rPr>
                <w:rFonts w:cs="Arial"/>
                <w:noProof/>
                <w:sz w:val="20"/>
              </w:rPr>
            </w:pPr>
          </w:p>
          <w:p w14:paraId="13662856" w14:textId="77777777" w:rsidR="0037398A" w:rsidRPr="007528E0" w:rsidRDefault="0037398A" w:rsidP="007528E0">
            <w:pPr>
              <w:pStyle w:val="Prrafodelista"/>
              <w:spacing w:before="100" w:beforeAutospacing="1" w:after="100" w:afterAutospacing="1" w:line="240" w:lineRule="auto"/>
              <w:ind w:left="0"/>
              <w:rPr>
                <w:rFonts w:cs="Arial"/>
                <w:noProof/>
                <w:sz w:val="20"/>
              </w:rPr>
            </w:pPr>
            <w:r w:rsidRPr="007528E0">
              <w:rPr>
                <w:rFonts w:cs="Arial"/>
                <w:noProof/>
                <w:sz w:val="20"/>
              </w:rPr>
              <w:t>Los niveles séricos no estan rutinariamente disponibles y es poca la utilidad en el manejo de la emergencia.</w:t>
            </w:r>
          </w:p>
        </w:tc>
      </w:tr>
      <w:tr w:rsidR="007528E0" w:rsidRPr="007528E0" w14:paraId="1F4032BF" w14:textId="77777777" w:rsidTr="007528E0">
        <w:trPr>
          <w:tblHeader/>
          <w:jc w:val="center"/>
        </w:trPr>
        <w:tc>
          <w:tcPr>
            <w:tcW w:w="1662" w:type="pct"/>
            <w:gridSpan w:val="2"/>
            <w:vAlign w:val="center"/>
          </w:tcPr>
          <w:p w14:paraId="3F52A08F" w14:textId="77777777" w:rsidR="0037398A" w:rsidRPr="007528E0" w:rsidRDefault="0037398A" w:rsidP="007528E0">
            <w:pPr>
              <w:pStyle w:val="Prrafodelista"/>
              <w:spacing w:before="100" w:beforeAutospacing="1" w:after="100" w:afterAutospacing="1" w:line="240" w:lineRule="auto"/>
              <w:ind w:left="0"/>
              <w:jc w:val="center"/>
              <w:rPr>
                <w:rFonts w:cs="Arial"/>
                <w:b/>
                <w:noProof/>
                <w:sz w:val="20"/>
              </w:rPr>
            </w:pPr>
            <w:r w:rsidRPr="007528E0">
              <w:rPr>
                <w:rFonts w:cs="Arial"/>
                <w:b/>
                <w:noProof/>
                <w:sz w:val="20"/>
              </w:rPr>
              <w:lastRenderedPageBreak/>
              <w:t>Antipsicóticos</w:t>
            </w:r>
          </w:p>
          <w:p w14:paraId="5FE65CEC" w14:textId="77777777" w:rsidR="0037398A" w:rsidRPr="007528E0" w:rsidRDefault="0037398A" w:rsidP="007528E0">
            <w:pPr>
              <w:pStyle w:val="Prrafodelista"/>
              <w:spacing w:before="100" w:beforeAutospacing="1" w:after="100" w:afterAutospacing="1" w:line="240" w:lineRule="auto"/>
              <w:ind w:left="0"/>
              <w:jc w:val="center"/>
              <w:rPr>
                <w:rFonts w:cs="Arial"/>
                <w:noProof/>
                <w:sz w:val="20"/>
              </w:rPr>
            </w:pPr>
            <w:r w:rsidRPr="007528E0">
              <w:rPr>
                <w:rFonts w:cs="Arial"/>
                <w:noProof/>
                <w:sz w:val="20"/>
              </w:rPr>
              <w:t>Dosis tóxica: altamente variable</w:t>
            </w:r>
          </w:p>
        </w:tc>
        <w:tc>
          <w:tcPr>
            <w:tcW w:w="856" w:type="pct"/>
          </w:tcPr>
          <w:p w14:paraId="2387B4CF" w14:textId="77777777" w:rsidR="0037398A" w:rsidRPr="007528E0" w:rsidRDefault="0037398A" w:rsidP="007528E0">
            <w:pPr>
              <w:pStyle w:val="Prrafodelista"/>
              <w:spacing w:before="100" w:beforeAutospacing="1" w:after="100" w:afterAutospacing="1" w:line="240" w:lineRule="auto"/>
              <w:ind w:left="0"/>
              <w:rPr>
                <w:rFonts w:cs="Arial"/>
                <w:noProof/>
                <w:sz w:val="20"/>
              </w:rPr>
            </w:pPr>
          </w:p>
          <w:p w14:paraId="28303255" w14:textId="77777777" w:rsidR="0037398A" w:rsidRPr="007528E0" w:rsidRDefault="0037398A" w:rsidP="007528E0">
            <w:pPr>
              <w:pStyle w:val="Prrafodelista"/>
              <w:spacing w:before="100" w:beforeAutospacing="1" w:after="100" w:afterAutospacing="1" w:line="240" w:lineRule="auto"/>
              <w:ind w:left="0"/>
              <w:rPr>
                <w:rFonts w:cs="Arial"/>
                <w:noProof/>
                <w:sz w:val="20"/>
              </w:rPr>
            </w:pPr>
          </w:p>
          <w:p w14:paraId="5C07A525" w14:textId="77777777" w:rsidR="0037398A" w:rsidRPr="007528E0" w:rsidRDefault="0037398A" w:rsidP="007528E0">
            <w:pPr>
              <w:pStyle w:val="Prrafodelista"/>
              <w:spacing w:before="100" w:beforeAutospacing="1" w:after="100" w:afterAutospacing="1" w:line="240" w:lineRule="auto"/>
              <w:ind w:left="0"/>
              <w:rPr>
                <w:rFonts w:cs="Arial"/>
                <w:noProof/>
                <w:sz w:val="20"/>
              </w:rPr>
            </w:pPr>
            <w:r w:rsidRPr="007528E0">
              <w:rPr>
                <w:rFonts w:cs="Arial"/>
                <w:noProof/>
                <w:sz w:val="20"/>
              </w:rPr>
              <w:t xml:space="preserve">Clorpromazina, Olanzapina, Clozapina, Haloperidol, Risperidona, </w:t>
            </w:r>
          </w:p>
          <w:p w14:paraId="2C57541C" w14:textId="77777777" w:rsidR="0037398A" w:rsidRPr="007528E0" w:rsidRDefault="0037398A" w:rsidP="007528E0">
            <w:pPr>
              <w:pStyle w:val="Prrafodelista"/>
              <w:spacing w:before="100" w:beforeAutospacing="1" w:after="100" w:afterAutospacing="1" w:line="240" w:lineRule="auto"/>
              <w:ind w:left="0"/>
              <w:rPr>
                <w:rFonts w:cs="Arial"/>
                <w:noProof/>
                <w:sz w:val="20"/>
              </w:rPr>
            </w:pPr>
            <w:r w:rsidRPr="007528E0">
              <w:rPr>
                <w:rFonts w:cs="Arial"/>
                <w:noProof/>
                <w:sz w:val="20"/>
              </w:rPr>
              <w:t>Prometazina,</w:t>
            </w:r>
          </w:p>
          <w:p w14:paraId="2D427D94" w14:textId="77777777" w:rsidR="0037398A" w:rsidRPr="007528E0" w:rsidRDefault="0037398A" w:rsidP="007528E0">
            <w:pPr>
              <w:pStyle w:val="Prrafodelista"/>
              <w:spacing w:before="100" w:beforeAutospacing="1" w:after="100" w:afterAutospacing="1" w:line="240" w:lineRule="auto"/>
              <w:ind w:left="0"/>
              <w:rPr>
                <w:rFonts w:cs="Arial"/>
                <w:noProof/>
                <w:sz w:val="20"/>
              </w:rPr>
            </w:pPr>
            <w:r w:rsidRPr="007528E0">
              <w:rPr>
                <w:rFonts w:cs="Arial"/>
                <w:noProof/>
                <w:sz w:val="20"/>
              </w:rPr>
              <w:t>Quetiapina,</w:t>
            </w:r>
          </w:p>
          <w:p w14:paraId="6AD87493" w14:textId="77777777" w:rsidR="0037398A" w:rsidRPr="007528E0" w:rsidRDefault="0037398A" w:rsidP="007528E0">
            <w:pPr>
              <w:pStyle w:val="Prrafodelista"/>
              <w:spacing w:before="100" w:beforeAutospacing="1" w:after="100" w:afterAutospacing="1" w:line="240" w:lineRule="auto"/>
              <w:ind w:left="0"/>
              <w:rPr>
                <w:rFonts w:cs="Arial"/>
                <w:noProof/>
                <w:sz w:val="20"/>
              </w:rPr>
            </w:pPr>
          </w:p>
        </w:tc>
        <w:tc>
          <w:tcPr>
            <w:tcW w:w="1137" w:type="pct"/>
          </w:tcPr>
          <w:p w14:paraId="0CFD1521" w14:textId="77777777" w:rsidR="0037398A" w:rsidRPr="007528E0" w:rsidRDefault="0037398A" w:rsidP="007528E0">
            <w:pPr>
              <w:pStyle w:val="Prrafodelista"/>
              <w:spacing w:before="100" w:beforeAutospacing="1" w:after="100" w:afterAutospacing="1" w:line="240" w:lineRule="auto"/>
              <w:ind w:left="0"/>
              <w:rPr>
                <w:rFonts w:cs="Arial"/>
                <w:noProof/>
                <w:sz w:val="20"/>
              </w:rPr>
            </w:pPr>
            <w:r w:rsidRPr="007528E0">
              <w:rPr>
                <w:rFonts w:cs="Arial"/>
                <w:noProof/>
                <w:sz w:val="20"/>
              </w:rPr>
              <w:t xml:space="preserve">Toxidrome anticolinérgico. </w:t>
            </w:r>
          </w:p>
          <w:p w14:paraId="642051DA" w14:textId="77777777" w:rsidR="0037398A" w:rsidRPr="007528E0" w:rsidRDefault="0037398A" w:rsidP="007528E0">
            <w:pPr>
              <w:pStyle w:val="Prrafodelista"/>
              <w:spacing w:before="100" w:beforeAutospacing="1" w:after="100" w:afterAutospacing="1" w:line="240" w:lineRule="auto"/>
              <w:ind w:left="0"/>
              <w:rPr>
                <w:rFonts w:cs="Arial"/>
                <w:noProof/>
                <w:sz w:val="20"/>
              </w:rPr>
            </w:pPr>
            <w:r w:rsidRPr="007528E0">
              <w:rPr>
                <w:rFonts w:cs="Arial"/>
                <w:noProof/>
                <w:sz w:val="20"/>
              </w:rPr>
              <w:t xml:space="preserve">Reacciones extrapiramidales, prolongación del intervalo QT. </w:t>
            </w:r>
          </w:p>
          <w:p w14:paraId="46F1013F" w14:textId="77777777" w:rsidR="0037398A" w:rsidRPr="007528E0" w:rsidRDefault="0037398A" w:rsidP="007528E0">
            <w:pPr>
              <w:pStyle w:val="Prrafodelista"/>
              <w:spacing w:before="100" w:beforeAutospacing="1" w:after="100" w:afterAutospacing="1" w:line="240" w:lineRule="auto"/>
              <w:ind w:left="0"/>
              <w:rPr>
                <w:rFonts w:cs="Arial"/>
                <w:noProof/>
                <w:sz w:val="20"/>
              </w:rPr>
            </w:pPr>
            <w:r w:rsidRPr="007528E0">
              <w:rPr>
                <w:rFonts w:cs="Arial"/>
                <w:noProof/>
                <w:sz w:val="20"/>
              </w:rPr>
              <w:t>Pacientes con medicación crónica presentar el sindrome neuroléptico maligno.</w:t>
            </w:r>
          </w:p>
        </w:tc>
        <w:tc>
          <w:tcPr>
            <w:tcW w:w="1345" w:type="pct"/>
          </w:tcPr>
          <w:p w14:paraId="26C99AB1" w14:textId="77777777" w:rsidR="0037398A" w:rsidRPr="007528E0" w:rsidRDefault="0037398A" w:rsidP="007528E0">
            <w:pPr>
              <w:pStyle w:val="Prrafodelista"/>
              <w:spacing w:before="100" w:beforeAutospacing="1" w:after="100" w:afterAutospacing="1" w:line="240" w:lineRule="auto"/>
              <w:ind w:left="0"/>
              <w:rPr>
                <w:rFonts w:cs="Arial"/>
                <w:noProof/>
                <w:sz w:val="20"/>
              </w:rPr>
            </w:pPr>
            <w:r w:rsidRPr="007528E0">
              <w:rPr>
                <w:rFonts w:cs="Arial"/>
                <w:noProof/>
                <w:sz w:val="20"/>
              </w:rPr>
              <w:t>Los niveles cuantitativos no están disponibles de forma rutinaria y no ayudan en el diagnótico ni en el tratamiento. Las pruebas cualitativas pueden detectar fenotiazinas (clorpromazina), pero no butirofenonas (haloperidol).</w:t>
            </w:r>
          </w:p>
        </w:tc>
      </w:tr>
      <w:tr w:rsidR="007528E0" w:rsidRPr="007528E0" w14:paraId="45D3EC4F" w14:textId="77777777" w:rsidTr="007528E0">
        <w:trPr>
          <w:tblHeader/>
          <w:jc w:val="center"/>
        </w:trPr>
        <w:tc>
          <w:tcPr>
            <w:tcW w:w="1662" w:type="pct"/>
            <w:gridSpan w:val="2"/>
            <w:vAlign w:val="center"/>
          </w:tcPr>
          <w:p w14:paraId="7CE796EF" w14:textId="77777777" w:rsidR="0037398A" w:rsidRPr="007528E0" w:rsidRDefault="0037398A" w:rsidP="007528E0">
            <w:pPr>
              <w:pStyle w:val="Prrafodelista"/>
              <w:spacing w:before="100" w:beforeAutospacing="1" w:after="100" w:afterAutospacing="1" w:line="240" w:lineRule="auto"/>
              <w:ind w:left="0"/>
              <w:jc w:val="center"/>
              <w:rPr>
                <w:rFonts w:cs="Arial"/>
                <w:b/>
                <w:noProof/>
                <w:sz w:val="20"/>
              </w:rPr>
            </w:pPr>
            <w:r w:rsidRPr="007528E0">
              <w:rPr>
                <w:rFonts w:cs="Arial"/>
                <w:b/>
                <w:noProof/>
                <w:sz w:val="20"/>
              </w:rPr>
              <w:t>Analgésicos opioides</w:t>
            </w:r>
          </w:p>
          <w:p w14:paraId="5B964EF3" w14:textId="77777777" w:rsidR="0037398A" w:rsidRPr="007528E0" w:rsidRDefault="0037398A" w:rsidP="007528E0">
            <w:pPr>
              <w:pStyle w:val="Prrafodelista"/>
              <w:spacing w:before="100" w:beforeAutospacing="1" w:after="100" w:afterAutospacing="1" w:line="240" w:lineRule="auto"/>
              <w:ind w:left="0"/>
              <w:jc w:val="center"/>
              <w:rPr>
                <w:rFonts w:cs="Arial"/>
                <w:noProof/>
                <w:sz w:val="20"/>
              </w:rPr>
            </w:pPr>
            <w:r w:rsidRPr="007528E0">
              <w:rPr>
                <w:rFonts w:cs="Arial"/>
                <w:noProof/>
                <w:sz w:val="20"/>
              </w:rPr>
              <w:t>Dosis tóxica: varía ampliamente según el compuesto, la vía de administración, la tolerancia (uso crónico)</w:t>
            </w:r>
          </w:p>
        </w:tc>
        <w:tc>
          <w:tcPr>
            <w:tcW w:w="856" w:type="pct"/>
          </w:tcPr>
          <w:p w14:paraId="305FB17F" w14:textId="77777777" w:rsidR="0037398A" w:rsidRPr="007528E0" w:rsidRDefault="0037398A" w:rsidP="007528E0">
            <w:pPr>
              <w:pStyle w:val="Prrafodelista"/>
              <w:spacing w:before="100" w:beforeAutospacing="1" w:after="100" w:afterAutospacing="1" w:line="240" w:lineRule="auto"/>
              <w:ind w:left="0"/>
              <w:rPr>
                <w:rFonts w:cs="Arial"/>
                <w:noProof/>
                <w:sz w:val="20"/>
              </w:rPr>
            </w:pPr>
            <w:r w:rsidRPr="007528E0">
              <w:rPr>
                <w:rFonts w:cs="Arial"/>
                <w:noProof/>
                <w:sz w:val="20"/>
              </w:rPr>
              <w:t xml:space="preserve">Tramadol, Morfina, Oxicodona, </w:t>
            </w:r>
          </w:p>
          <w:p w14:paraId="62291A38" w14:textId="77777777" w:rsidR="0037398A" w:rsidRPr="007528E0" w:rsidRDefault="0037398A" w:rsidP="007528E0">
            <w:pPr>
              <w:pStyle w:val="Prrafodelista"/>
              <w:spacing w:before="100" w:beforeAutospacing="1" w:after="100" w:afterAutospacing="1" w:line="240" w:lineRule="auto"/>
              <w:ind w:left="0"/>
              <w:rPr>
                <w:rFonts w:cs="Arial"/>
                <w:noProof/>
                <w:sz w:val="20"/>
              </w:rPr>
            </w:pPr>
            <w:r w:rsidRPr="007528E0">
              <w:rPr>
                <w:rFonts w:cs="Arial"/>
                <w:noProof/>
                <w:sz w:val="20"/>
              </w:rPr>
              <w:t>Fentanilo,</w:t>
            </w:r>
          </w:p>
          <w:p w14:paraId="5DDFC250" w14:textId="77777777" w:rsidR="0037398A" w:rsidRPr="007528E0" w:rsidRDefault="0037398A" w:rsidP="007528E0">
            <w:pPr>
              <w:pStyle w:val="Prrafodelista"/>
              <w:spacing w:before="100" w:beforeAutospacing="1" w:after="100" w:afterAutospacing="1" w:line="240" w:lineRule="auto"/>
              <w:ind w:left="0"/>
              <w:rPr>
                <w:rFonts w:cs="Arial"/>
                <w:noProof/>
                <w:sz w:val="20"/>
              </w:rPr>
            </w:pPr>
            <w:r w:rsidRPr="007528E0">
              <w:rPr>
                <w:rFonts w:cs="Arial"/>
                <w:noProof/>
                <w:sz w:val="20"/>
              </w:rPr>
              <w:t>Meperidina,</w:t>
            </w:r>
          </w:p>
          <w:p w14:paraId="6C2E6D72" w14:textId="77777777" w:rsidR="0037398A" w:rsidRPr="007528E0" w:rsidRDefault="0037398A" w:rsidP="007528E0">
            <w:pPr>
              <w:pStyle w:val="Prrafodelista"/>
              <w:spacing w:before="100" w:beforeAutospacing="1" w:after="100" w:afterAutospacing="1" w:line="240" w:lineRule="auto"/>
              <w:ind w:left="0"/>
              <w:rPr>
                <w:rFonts w:cs="Arial"/>
                <w:noProof/>
                <w:sz w:val="20"/>
              </w:rPr>
            </w:pPr>
            <w:r w:rsidRPr="007528E0">
              <w:rPr>
                <w:rFonts w:cs="Arial"/>
                <w:noProof/>
                <w:sz w:val="20"/>
              </w:rPr>
              <w:t>Metadona,</w:t>
            </w:r>
          </w:p>
          <w:p w14:paraId="4C29AE51" w14:textId="77777777" w:rsidR="0037398A" w:rsidRPr="007528E0" w:rsidRDefault="0037398A" w:rsidP="007528E0">
            <w:pPr>
              <w:pStyle w:val="Prrafodelista"/>
              <w:spacing w:before="100" w:beforeAutospacing="1" w:after="100" w:afterAutospacing="1" w:line="240" w:lineRule="auto"/>
              <w:ind w:left="0"/>
              <w:rPr>
                <w:rFonts w:cs="Arial"/>
                <w:noProof/>
                <w:sz w:val="20"/>
              </w:rPr>
            </w:pPr>
            <w:r w:rsidRPr="007528E0">
              <w:rPr>
                <w:rFonts w:cs="Arial"/>
                <w:noProof/>
                <w:sz w:val="20"/>
              </w:rPr>
              <w:t>Butorfanol,</w:t>
            </w:r>
          </w:p>
          <w:p w14:paraId="761135A9" w14:textId="77777777" w:rsidR="0037398A" w:rsidRPr="007528E0" w:rsidRDefault="0037398A" w:rsidP="007528E0">
            <w:pPr>
              <w:pStyle w:val="Prrafodelista"/>
              <w:spacing w:before="100" w:beforeAutospacing="1" w:after="100" w:afterAutospacing="1" w:line="240" w:lineRule="auto"/>
              <w:ind w:left="0"/>
              <w:rPr>
                <w:rFonts w:cs="Arial"/>
                <w:noProof/>
                <w:sz w:val="20"/>
              </w:rPr>
            </w:pPr>
            <w:r w:rsidRPr="007528E0">
              <w:rPr>
                <w:rFonts w:cs="Arial"/>
                <w:noProof/>
                <w:sz w:val="20"/>
              </w:rPr>
              <w:t>Nabulfina,</w:t>
            </w:r>
          </w:p>
          <w:p w14:paraId="0D44853D" w14:textId="77777777" w:rsidR="0037398A" w:rsidRPr="007528E0" w:rsidRDefault="0037398A" w:rsidP="007528E0">
            <w:pPr>
              <w:pStyle w:val="Prrafodelista"/>
              <w:spacing w:before="100" w:beforeAutospacing="1" w:after="100" w:afterAutospacing="1" w:line="240" w:lineRule="auto"/>
              <w:ind w:left="0"/>
              <w:rPr>
                <w:rFonts w:cs="Arial"/>
                <w:noProof/>
                <w:sz w:val="20"/>
              </w:rPr>
            </w:pPr>
            <w:r w:rsidRPr="007528E0">
              <w:rPr>
                <w:rFonts w:cs="Arial"/>
                <w:noProof/>
                <w:sz w:val="20"/>
              </w:rPr>
              <w:t>Pentazocina</w:t>
            </w:r>
          </w:p>
        </w:tc>
        <w:tc>
          <w:tcPr>
            <w:tcW w:w="1137" w:type="pct"/>
          </w:tcPr>
          <w:p w14:paraId="18B83DEB" w14:textId="77777777" w:rsidR="0037398A" w:rsidRPr="007528E0" w:rsidRDefault="0037398A" w:rsidP="007528E0">
            <w:pPr>
              <w:pStyle w:val="Prrafodelista"/>
              <w:spacing w:before="100" w:beforeAutospacing="1" w:after="100" w:afterAutospacing="1" w:line="240" w:lineRule="auto"/>
              <w:ind w:left="0"/>
              <w:rPr>
                <w:rFonts w:cs="Arial"/>
                <w:noProof/>
                <w:sz w:val="20"/>
              </w:rPr>
            </w:pPr>
          </w:p>
          <w:p w14:paraId="6F2C2228" w14:textId="77777777" w:rsidR="0037398A" w:rsidRPr="007528E0" w:rsidRDefault="0037398A" w:rsidP="007528E0">
            <w:pPr>
              <w:pStyle w:val="Prrafodelista"/>
              <w:spacing w:before="100" w:beforeAutospacing="1" w:after="100" w:afterAutospacing="1" w:line="240" w:lineRule="auto"/>
              <w:ind w:left="0"/>
              <w:rPr>
                <w:rFonts w:cs="Arial"/>
                <w:noProof/>
                <w:sz w:val="20"/>
              </w:rPr>
            </w:pPr>
          </w:p>
          <w:p w14:paraId="0B2744CE" w14:textId="77777777" w:rsidR="0037398A" w:rsidRPr="007528E0" w:rsidRDefault="0037398A" w:rsidP="007528E0">
            <w:pPr>
              <w:pStyle w:val="Prrafodelista"/>
              <w:spacing w:before="100" w:beforeAutospacing="1" w:after="100" w:afterAutospacing="1" w:line="240" w:lineRule="auto"/>
              <w:ind w:left="0"/>
              <w:rPr>
                <w:rFonts w:cs="Arial"/>
                <w:noProof/>
                <w:sz w:val="20"/>
              </w:rPr>
            </w:pPr>
          </w:p>
          <w:p w14:paraId="7C875871" w14:textId="77777777" w:rsidR="0037398A" w:rsidRPr="007528E0" w:rsidRDefault="0037398A" w:rsidP="007528E0">
            <w:pPr>
              <w:pStyle w:val="Prrafodelista"/>
              <w:spacing w:before="100" w:beforeAutospacing="1" w:after="100" w:afterAutospacing="1" w:line="240" w:lineRule="auto"/>
              <w:ind w:left="0"/>
              <w:rPr>
                <w:rFonts w:cs="Arial"/>
                <w:noProof/>
                <w:sz w:val="20"/>
              </w:rPr>
            </w:pPr>
          </w:p>
          <w:p w14:paraId="6F58DD6F" w14:textId="77777777" w:rsidR="0037398A" w:rsidRPr="007528E0" w:rsidRDefault="0037398A" w:rsidP="007528E0">
            <w:pPr>
              <w:pStyle w:val="Prrafodelista"/>
              <w:spacing w:before="100" w:beforeAutospacing="1" w:after="100" w:afterAutospacing="1" w:line="240" w:lineRule="auto"/>
              <w:ind w:left="0"/>
              <w:rPr>
                <w:rFonts w:cs="Arial"/>
                <w:noProof/>
                <w:sz w:val="20"/>
              </w:rPr>
            </w:pPr>
            <w:r w:rsidRPr="007528E0">
              <w:rPr>
                <w:rFonts w:cs="Arial"/>
                <w:noProof/>
                <w:sz w:val="20"/>
              </w:rPr>
              <w:t>Toxidrome hipnosedante/alcohol</w:t>
            </w:r>
          </w:p>
        </w:tc>
        <w:tc>
          <w:tcPr>
            <w:tcW w:w="1345" w:type="pct"/>
          </w:tcPr>
          <w:p w14:paraId="3F33EB3A" w14:textId="77777777" w:rsidR="0037398A" w:rsidRPr="007528E0" w:rsidRDefault="0037398A" w:rsidP="007528E0">
            <w:pPr>
              <w:pStyle w:val="Prrafodelista"/>
              <w:spacing w:before="100" w:beforeAutospacing="1" w:after="100" w:afterAutospacing="1" w:line="240" w:lineRule="auto"/>
              <w:ind w:left="0"/>
              <w:rPr>
                <w:rFonts w:cs="Arial"/>
                <w:noProof/>
                <w:sz w:val="20"/>
              </w:rPr>
            </w:pPr>
            <w:r w:rsidRPr="007528E0">
              <w:rPr>
                <w:rFonts w:cs="Arial"/>
                <w:noProof/>
                <w:sz w:val="20"/>
              </w:rPr>
              <w:t>Los niveles séricos tienen pobre correlación con la severidad de los efectos clínicos. Las pruebas cualitativas pueden confirmar su uso reciente. Algunos no son detectados por las pruebas cualitativas.</w:t>
            </w:r>
          </w:p>
        </w:tc>
      </w:tr>
      <w:tr w:rsidR="007528E0" w:rsidRPr="007528E0" w14:paraId="1C219515" w14:textId="77777777" w:rsidTr="007528E0">
        <w:trPr>
          <w:tblHeader/>
          <w:jc w:val="center"/>
        </w:trPr>
        <w:tc>
          <w:tcPr>
            <w:tcW w:w="890" w:type="pct"/>
            <w:vMerge w:val="restart"/>
            <w:vAlign w:val="center"/>
          </w:tcPr>
          <w:p w14:paraId="6E1D5D2D" w14:textId="77777777" w:rsidR="0037398A" w:rsidRPr="007528E0" w:rsidRDefault="0037398A" w:rsidP="007528E0">
            <w:pPr>
              <w:pStyle w:val="Prrafodelista"/>
              <w:spacing w:before="100" w:beforeAutospacing="1" w:after="100" w:afterAutospacing="1" w:line="240" w:lineRule="auto"/>
              <w:ind w:left="0"/>
              <w:jc w:val="center"/>
              <w:rPr>
                <w:rFonts w:cs="Arial"/>
                <w:b/>
                <w:noProof/>
                <w:sz w:val="20"/>
              </w:rPr>
            </w:pPr>
            <w:r w:rsidRPr="007528E0">
              <w:rPr>
                <w:rFonts w:cs="Arial"/>
                <w:b/>
                <w:noProof/>
                <w:sz w:val="20"/>
              </w:rPr>
              <w:lastRenderedPageBreak/>
              <w:t>Analgésicos</w:t>
            </w:r>
          </w:p>
        </w:tc>
        <w:tc>
          <w:tcPr>
            <w:tcW w:w="772" w:type="pct"/>
            <w:vAlign w:val="center"/>
          </w:tcPr>
          <w:p w14:paraId="778C7650" w14:textId="77777777" w:rsidR="0037398A" w:rsidRPr="007528E0" w:rsidRDefault="0037398A" w:rsidP="007528E0">
            <w:pPr>
              <w:pStyle w:val="Prrafodelista"/>
              <w:spacing w:before="100" w:beforeAutospacing="1" w:after="100" w:afterAutospacing="1" w:line="240" w:lineRule="auto"/>
              <w:ind w:left="0"/>
              <w:jc w:val="center"/>
              <w:rPr>
                <w:rFonts w:cs="Arial"/>
                <w:noProof/>
                <w:sz w:val="20"/>
              </w:rPr>
            </w:pPr>
            <w:r w:rsidRPr="007528E0">
              <w:rPr>
                <w:rFonts w:cs="Arial"/>
                <w:noProof/>
                <w:sz w:val="20"/>
              </w:rPr>
              <w:t xml:space="preserve">Acetaminofen </w:t>
            </w:r>
          </w:p>
          <w:p w14:paraId="62A3DBB6" w14:textId="77777777" w:rsidR="0037398A" w:rsidRPr="007528E0" w:rsidRDefault="0037398A" w:rsidP="007528E0">
            <w:pPr>
              <w:pStyle w:val="Prrafodelista"/>
              <w:spacing w:before="100" w:beforeAutospacing="1" w:after="100" w:afterAutospacing="1" w:line="240" w:lineRule="auto"/>
              <w:ind w:left="0"/>
              <w:jc w:val="center"/>
              <w:rPr>
                <w:rFonts w:cs="Arial"/>
                <w:noProof/>
                <w:sz w:val="20"/>
              </w:rPr>
            </w:pPr>
            <w:r w:rsidRPr="007528E0">
              <w:rPr>
                <w:rFonts w:cs="Arial"/>
                <w:noProof/>
                <w:sz w:val="20"/>
              </w:rPr>
              <w:t>Dosis tóxica: 150 a 200 mg/kg</w:t>
            </w:r>
          </w:p>
        </w:tc>
        <w:tc>
          <w:tcPr>
            <w:tcW w:w="856" w:type="pct"/>
          </w:tcPr>
          <w:p w14:paraId="4330D0AD" w14:textId="77777777" w:rsidR="0037398A" w:rsidRPr="007528E0" w:rsidRDefault="0037398A" w:rsidP="007528E0">
            <w:pPr>
              <w:pStyle w:val="Prrafodelista"/>
              <w:spacing w:before="100" w:beforeAutospacing="1" w:after="100" w:afterAutospacing="1" w:line="240" w:lineRule="auto"/>
              <w:ind w:left="0"/>
              <w:rPr>
                <w:rFonts w:cs="Arial"/>
                <w:noProof/>
                <w:sz w:val="20"/>
              </w:rPr>
            </w:pPr>
          </w:p>
          <w:p w14:paraId="42C2447B" w14:textId="77777777" w:rsidR="0037398A" w:rsidRPr="007528E0" w:rsidRDefault="0037398A" w:rsidP="007528E0">
            <w:pPr>
              <w:pStyle w:val="Prrafodelista"/>
              <w:spacing w:before="100" w:beforeAutospacing="1" w:after="100" w:afterAutospacing="1" w:line="240" w:lineRule="auto"/>
              <w:ind w:left="0"/>
              <w:rPr>
                <w:rFonts w:cs="Arial"/>
                <w:noProof/>
                <w:sz w:val="20"/>
              </w:rPr>
            </w:pPr>
          </w:p>
          <w:p w14:paraId="31C9EF09" w14:textId="77777777" w:rsidR="0037398A" w:rsidRPr="007528E0" w:rsidRDefault="0037398A" w:rsidP="007528E0">
            <w:pPr>
              <w:pStyle w:val="Prrafodelista"/>
              <w:spacing w:before="100" w:beforeAutospacing="1" w:after="100" w:afterAutospacing="1" w:line="240" w:lineRule="auto"/>
              <w:ind w:left="0"/>
              <w:rPr>
                <w:rFonts w:cs="Arial"/>
                <w:noProof/>
                <w:sz w:val="20"/>
              </w:rPr>
            </w:pPr>
          </w:p>
          <w:p w14:paraId="2AE409A2" w14:textId="77777777" w:rsidR="0037398A" w:rsidRPr="007528E0" w:rsidRDefault="0037398A" w:rsidP="007528E0">
            <w:pPr>
              <w:pStyle w:val="Prrafodelista"/>
              <w:spacing w:before="100" w:beforeAutospacing="1" w:after="100" w:afterAutospacing="1" w:line="240" w:lineRule="auto"/>
              <w:ind w:left="0"/>
              <w:rPr>
                <w:rFonts w:cs="Arial"/>
                <w:noProof/>
                <w:sz w:val="20"/>
              </w:rPr>
            </w:pPr>
          </w:p>
          <w:p w14:paraId="09524BC5" w14:textId="77777777" w:rsidR="0037398A" w:rsidRPr="007528E0" w:rsidRDefault="0037398A" w:rsidP="007528E0">
            <w:pPr>
              <w:pStyle w:val="Prrafodelista"/>
              <w:spacing w:before="100" w:beforeAutospacing="1" w:after="100" w:afterAutospacing="1" w:line="240" w:lineRule="auto"/>
              <w:ind w:left="0"/>
              <w:rPr>
                <w:rFonts w:cs="Arial"/>
                <w:noProof/>
                <w:sz w:val="20"/>
              </w:rPr>
            </w:pPr>
          </w:p>
          <w:p w14:paraId="353175B8" w14:textId="77777777" w:rsidR="0037398A" w:rsidRPr="007528E0" w:rsidRDefault="0037398A" w:rsidP="007528E0">
            <w:pPr>
              <w:pStyle w:val="Prrafodelista"/>
              <w:spacing w:before="100" w:beforeAutospacing="1" w:after="100" w:afterAutospacing="1" w:line="240" w:lineRule="auto"/>
              <w:ind w:left="0"/>
              <w:rPr>
                <w:rFonts w:cs="Arial"/>
                <w:noProof/>
                <w:sz w:val="20"/>
              </w:rPr>
            </w:pPr>
          </w:p>
          <w:p w14:paraId="457DF3AD" w14:textId="77777777" w:rsidR="0037398A" w:rsidRPr="007528E0" w:rsidRDefault="0037398A" w:rsidP="007528E0">
            <w:pPr>
              <w:pStyle w:val="Prrafodelista"/>
              <w:spacing w:before="100" w:beforeAutospacing="1" w:after="100" w:afterAutospacing="1" w:line="240" w:lineRule="auto"/>
              <w:ind w:left="0"/>
              <w:rPr>
                <w:rFonts w:cs="Arial"/>
                <w:noProof/>
                <w:sz w:val="20"/>
              </w:rPr>
            </w:pPr>
          </w:p>
          <w:p w14:paraId="0BFA19E7" w14:textId="77777777" w:rsidR="0037398A" w:rsidRPr="007528E0" w:rsidRDefault="0037398A" w:rsidP="007528E0">
            <w:pPr>
              <w:pStyle w:val="Prrafodelista"/>
              <w:spacing w:before="100" w:beforeAutospacing="1" w:after="100" w:afterAutospacing="1" w:line="240" w:lineRule="auto"/>
              <w:ind w:left="0"/>
              <w:rPr>
                <w:rFonts w:cs="Arial"/>
                <w:noProof/>
                <w:sz w:val="20"/>
              </w:rPr>
            </w:pPr>
          </w:p>
          <w:p w14:paraId="14C07588" w14:textId="77777777" w:rsidR="0037398A" w:rsidRPr="007528E0" w:rsidRDefault="0037398A" w:rsidP="007528E0">
            <w:pPr>
              <w:pStyle w:val="Prrafodelista"/>
              <w:spacing w:before="100" w:beforeAutospacing="1" w:after="100" w:afterAutospacing="1" w:line="240" w:lineRule="auto"/>
              <w:ind w:left="0"/>
              <w:rPr>
                <w:rFonts w:cs="Arial"/>
                <w:noProof/>
                <w:sz w:val="20"/>
              </w:rPr>
            </w:pPr>
          </w:p>
          <w:p w14:paraId="3669A83E" w14:textId="77777777" w:rsidR="0037398A" w:rsidRPr="007528E0" w:rsidRDefault="0037398A" w:rsidP="007528E0">
            <w:pPr>
              <w:pStyle w:val="Prrafodelista"/>
              <w:spacing w:before="100" w:beforeAutospacing="1" w:after="100" w:afterAutospacing="1" w:line="240" w:lineRule="auto"/>
              <w:ind w:left="0"/>
              <w:rPr>
                <w:rFonts w:cs="Arial"/>
                <w:noProof/>
                <w:sz w:val="20"/>
              </w:rPr>
            </w:pPr>
          </w:p>
          <w:p w14:paraId="0E681118" w14:textId="77777777" w:rsidR="0037398A" w:rsidRPr="007528E0" w:rsidRDefault="0037398A" w:rsidP="007528E0">
            <w:pPr>
              <w:pStyle w:val="Prrafodelista"/>
              <w:spacing w:before="100" w:beforeAutospacing="1" w:after="100" w:afterAutospacing="1" w:line="240" w:lineRule="auto"/>
              <w:ind w:left="0"/>
              <w:rPr>
                <w:rFonts w:cs="Arial"/>
                <w:noProof/>
                <w:sz w:val="20"/>
              </w:rPr>
            </w:pPr>
            <w:r w:rsidRPr="007528E0">
              <w:rPr>
                <w:rFonts w:cs="Arial"/>
                <w:noProof/>
                <w:sz w:val="20"/>
              </w:rPr>
              <w:t>Acetaminofen o paracetamol ( dolex, tylenol, tempra, adorem)</w:t>
            </w:r>
          </w:p>
        </w:tc>
        <w:tc>
          <w:tcPr>
            <w:tcW w:w="1137" w:type="pct"/>
          </w:tcPr>
          <w:p w14:paraId="49646C88" w14:textId="77777777" w:rsidR="0037398A" w:rsidRPr="007528E0" w:rsidRDefault="0037398A" w:rsidP="007528E0">
            <w:pPr>
              <w:pStyle w:val="Prrafodelista"/>
              <w:spacing w:before="100" w:beforeAutospacing="1" w:after="100" w:afterAutospacing="1" w:line="240" w:lineRule="auto"/>
              <w:ind w:left="0"/>
              <w:rPr>
                <w:rFonts w:cs="Arial"/>
                <w:noProof/>
                <w:sz w:val="20"/>
              </w:rPr>
            </w:pPr>
            <w:r w:rsidRPr="007528E0">
              <w:rPr>
                <w:rFonts w:cs="Arial"/>
                <w:noProof/>
                <w:sz w:val="20"/>
              </w:rPr>
              <w:t>Fase I: Dentro de las 24 horas posteriores a la ingesta. Paciente asintomático o con sintomas inespecíficos (nauseas, vómito, anorexia, malestar).</w:t>
            </w:r>
          </w:p>
          <w:p w14:paraId="2CA47AB2" w14:textId="77777777" w:rsidR="0037398A" w:rsidRPr="007528E0" w:rsidRDefault="0037398A" w:rsidP="007528E0">
            <w:pPr>
              <w:pStyle w:val="Prrafodelista"/>
              <w:spacing w:before="100" w:beforeAutospacing="1" w:after="100" w:afterAutospacing="1" w:line="240" w:lineRule="auto"/>
              <w:ind w:left="0"/>
              <w:rPr>
                <w:rFonts w:cs="Arial"/>
                <w:noProof/>
                <w:sz w:val="20"/>
              </w:rPr>
            </w:pPr>
            <w:r w:rsidRPr="007528E0">
              <w:rPr>
                <w:rFonts w:cs="Arial"/>
                <w:noProof/>
                <w:sz w:val="20"/>
              </w:rPr>
              <w:t>Fase II: 24 a 72 horas post ingesta. Inicio de la lesión hepática: elevación de transaminasas.</w:t>
            </w:r>
          </w:p>
          <w:p w14:paraId="3D03B79C" w14:textId="77777777" w:rsidR="0037398A" w:rsidRPr="007528E0" w:rsidRDefault="0037398A" w:rsidP="007528E0">
            <w:pPr>
              <w:pStyle w:val="Prrafodelista"/>
              <w:spacing w:before="100" w:beforeAutospacing="1" w:after="100" w:afterAutospacing="1" w:line="240" w:lineRule="auto"/>
              <w:ind w:left="0"/>
              <w:rPr>
                <w:rFonts w:cs="Arial"/>
                <w:noProof/>
                <w:sz w:val="20"/>
              </w:rPr>
            </w:pPr>
            <w:r w:rsidRPr="007528E0">
              <w:rPr>
                <w:rFonts w:cs="Arial"/>
                <w:noProof/>
                <w:sz w:val="20"/>
              </w:rPr>
              <w:t>Fase III: 72 a 96 horas post ingesta. Máxima hepatotoxicidad: falla hepática con encefalopatía, coma o hemorragias. Anormalidades del tiempo de protrombina, bilirrubina, glucosa, lactato, fosfato. Falla multiorgánica. La muerte se produce de 3 a 5 días posteriores a la sobredosis.</w:t>
            </w:r>
          </w:p>
          <w:p w14:paraId="52A7B74F" w14:textId="77777777" w:rsidR="0037398A" w:rsidRPr="007528E0" w:rsidRDefault="0037398A" w:rsidP="007528E0">
            <w:pPr>
              <w:pStyle w:val="Prrafodelista"/>
              <w:spacing w:before="100" w:beforeAutospacing="1" w:after="100" w:afterAutospacing="1" w:line="240" w:lineRule="auto"/>
              <w:ind w:left="0"/>
              <w:rPr>
                <w:rFonts w:cs="Arial"/>
                <w:noProof/>
                <w:sz w:val="20"/>
              </w:rPr>
            </w:pPr>
            <w:r w:rsidRPr="007528E0">
              <w:rPr>
                <w:rFonts w:cs="Arial"/>
                <w:noProof/>
                <w:sz w:val="20"/>
              </w:rPr>
              <w:t>Fase IV: hasta 2 semanas post ingesta. Regeneración hepática con resolución completa de la falla.</w:t>
            </w:r>
          </w:p>
        </w:tc>
        <w:tc>
          <w:tcPr>
            <w:tcW w:w="1345" w:type="pct"/>
          </w:tcPr>
          <w:p w14:paraId="07303129" w14:textId="77777777" w:rsidR="0037398A" w:rsidRPr="007528E0" w:rsidRDefault="0037398A" w:rsidP="007528E0">
            <w:pPr>
              <w:pStyle w:val="Prrafodelista"/>
              <w:spacing w:before="100" w:beforeAutospacing="1" w:after="100" w:afterAutospacing="1" w:line="240" w:lineRule="auto"/>
              <w:ind w:left="0"/>
              <w:rPr>
                <w:rFonts w:cs="Arial"/>
                <w:noProof/>
                <w:sz w:val="20"/>
              </w:rPr>
            </w:pPr>
          </w:p>
          <w:p w14:paraId="5EDAB51B" w14:textId="77777777" w:rsidR="0037398A" w:rsidRPr="007528E0" w:rsidRDefault="0037398A" w:rsidP="007528E0">
            <w:pPr>
              <w:pStyle w:val="Prrafodelista"/>
              <w:spacing w:before="100" w:beforeAutospacing="1" w:after="100" w:afterAutospacing="1" w:line="240" w:lineRule="auto"/>
              <w:ind w:left="0"/>
              <w:rPr>
                <w:rFonts w:cs="Arial"/>
                <w:noProof/>
                <w:sz w:val="20"/>
              </w:rPr>
            </w:pPr>
          </w:p>
          <w:p w14:paraId="0762A407" w14:textId="77777777" w:rsidR="0037398A" w:rsidRPr="007528E0" w:rsidRDefault="0037398A" w:rsidP="007528E0">
            <w:pPr>
              <w:pStyle w:val="Prrafodelista"/>
              <w:spacing w:before="100" w:beforeAutospacing="1" w:after="100" w:afterAutospacing="1" w:line="240" w:lineRule="auto"/>
              <w:ind w:left="0"/>
              <w:rPr>
                <w:rFonts w:cs="Arial"/>
                <w:noProof/>
                <w:sz w:val="20"/>
              </w:rPr>
            </w:pPr>
          </w:p>
          <w:p w14:paraId="6E3B6480" w14:textId="77777777" w:rsidR="0037398A" w:rsidRPr="007528E0" w:rsidRDefault="0037398A" w:rsidP="007528E0">
            <w:pPr>
              <w:pStyle w:val="Prrafodelista"/>
              <w:spacing w:before="100" w:beforeAutospacing="1" w:after="100" w:afterAutospacing="1" w:line="240" w:lineRule="auto"/>
              <w:ind w:left="0"/>
              <w:rPr>
                <w:rFonts w:cs="Arial"/>
                <w:noProof/>
                <w:sz w:val="20"/>
              </w:rPr>
            </w:pPr>
          </w:p>
          <w:p w14:paraId="778B7909" w14:textId="77777777" w:rsidR="0037398A" w:rsidRPr="007528E0" w:rsidRDefault="0037398A" w:rsidP="007528E0">
            <w:pPr>
              <w:pStyle w:val="Prrafodelista"/>
              <w:spacing w:before="100" w:beforeAutospacing="1" w:after="100" w:afterAutospacing="1" w:line="240" w:lineRule="auto"/>
              <w:ind w:left="0"/>
              <w:rPr>
                <w:rFonts w:cs="Arial"/>
                <w:noProof/>
                <w:sz w:val="20"/>
              </w:rPr>
            </w:pPr>
          </w:p>
          <w:p w14:paraId="3CAF35E5" w14:textId="77777777" w:rsidR="0037398A" w:rsidRPr="007528E0" w:rsidRDefault="0037398A" w:rsidP="007528E0">
            <w:pPr>
              <w:pStyle w:val="Prrafodelista"/>
              <w:spacing w:before="100" w:beforeAutospacing="1" w:after="100" w:afterAutospacing="1" w:line="240" w:lineRule="auto"/>
              <w:ind w:left="0"/>
              <w:rPr>
                <w:rFonts w:cs="Arial"/>
                <w:noProof/>
                <w:sz w:val="20"/>
              </w:rPr>
            </w:pPr>
          </w:p>
          <w:p w14:paraId="28B37420" w14:textId="77777777" w:rsidR="0037398A" w:rsidRPr="007528E0" w:rsidRDefault="0037398A" w:rsidP="007528E0">
            <w:pPr>
              <w:pStyle w:val="Prrafodelista"/>
              <w:spacing w:before="100" w:beforeAutospacing="1" w:after="100" w:afterAutospacing="1" w:line="240" w:lineRule="auto"/>
              <w:ind w:left="0"/>
              <w:rPr>
                <w:rFonts w:cs="Arial"/>
                <w:noProof/>
                <w:sz w:val="20"/>
              </w:rPr>
            </w:pPr>
          </w:p>
          <w:p w14:paraId="077AB29D" w14:textId="77777777" w:rsidR="0037398A" w:rsidRPr="007528E0" w:rsidRDefault="0037398A" w:rsidP="007528E0">
            <w:pPr>
              <w:pStyle w:val="Prrafodelista"/>
              <w:spacing w:before="100" w:beforeAutospacing="1" w:after="100" w:afterAutospacing="1" w:line="240" w:lineRule="auto"/>
              <w:ind w:left="0"/>
              <w:rPr>
                <w:rFonts w:cs="Arial"/>
                <w:noProof/>
                <w:sz w:val="20"/>
              </w:rPr>
            </w:pPr>
          </w:p>
          <w:p w14:paraId="0922F35A" w14:textId="77777777" w:rsidR="0037398A" w:rsidRPr="007528E0" w:rsidRDefault="0037398A" w:rsidP="007528E0">
            <w:pPr>
              <w:pStyle w:val="Prrafodelista"/>
              <w:spacing w:before="100" w:beforeAutospacing="1" w:after="100" w:afterAutospacing="1" w:line="240" w:lineRule="auto"/>
              <w:ind w:left="0"/>
              <w:rPr>
                <w:rFonts w:cs="Arial"/>
                <w:noProof/>
                <w:sz w:val="20"/>
              </w:rPr>
            </w:pPr>
          </w:p>
          <w:p w14:paraId="1CDE6DA8" w14:textId="77777777" w:rsidR="0037398A" w:rsidRPr="007528E0" w:rsidRDefault="0037398A" w:rsidP="007528E0">
            <w:pPr>
              <w:pStyle w:val="Prrafodelista"/>
              <w:spacing w:before="100" w:beforeAutospacing="1" w:after="100" w:afterAutospacing="1" w:line="240" w:lineRule="auto"/>
              <w:ind w:left="0"/>
              <w:rPr>
                <w:rFonts w:cs="Arial"/>
                <w:noProof/>
                <w:sz w:val="20"/>
              </w:rPr>
            </w:pPr>
            <w:r w:rsidRPr="007528E0">
              <w:rPr>
                <w:rFonts w:cs="Arial"/>
                <w:noProof/>
                <w:sz w:val="20"/>
              </w:rPr>
              <w:t xml:space="preserve">Obtener niveles sericos de acetaminofen cuatro horas posteriores a la sobredosis. Su realización no debe retrasar el inicio del tratamiento con N-acetilcisteína. </w:t>
            </w:r>
          </w:p>
        </w:tc>
      </w:tr>
      <w:tr w:rsidR="007528E0" w:rsidRPr="007528E0" w14:paraId="243CDA93" w14:textId="77777777" w:rsidTr="007528E0">
        <w:trPr>
          <w:tblHeader/>
          <w:jc w:val="center"/>
        </w:trPr>
        <w:tc>
          <w:tcPr>
            <w:tcW w:w="890" w:type="pct"/>
            <w:vMerge/>
            <w:vAlign w:val="center"/>
          </w:tcPr>
          <w:p w14:paraId="4F61124E" w14:textId="77777777" w:rsidR="0037398A" w:rsidRPr="007528E0" w:rsidRDefault="0037398A" w:rsidP="007528E0">
            <w:pPr>
              <w:pStyle w:val="Prrafodelista"/>
              <w:spacing w:before="100" w:beforeAutospacing="1" w:after="100" w:afterAutospacing="1" w:line="240" w:lineRule="auto"/>
              <w:ind w:left="0"/>
              <w:jc w:val="center"/>
              <w:rPr>
                <w:rFonts w:cs="Arial"/>
                <w:noProof/>
                <w:sz w:val="20"/>
              </w:rPr>
            </w:pPr>
          </w:p>
        </w:tc>
        <w:tc>
          <w:tcPr>
            <w:tcW w:w="772" w:type="pct"/>
            <w:vAlign w:val="center"/>
          </w:tcPr>
          <w:p w14:paraId="5A0825B5" w14:textId="77777777" w:rsidR="0037398A" w:rsidRPr="007528E0" w:rsidRDefault="0037398A" w:rsidP="007528E0">
            <w:pPr>
              <w:pStyle w:val="Prrafodelista"/>
              <w:spacing w:before="100" w:beforeAutospacing="1" w:after="100" w:afterAutospacing="1" w:line="240" w:lineRule="auto"/>
              <w:ind w:left="0"/>
              <w:jc w:val="center"/>
              <w:rPr>
                <w:rFonts w:cs="Arial"/>
                <w:noProof/>
                <w:sz w:val="20"/>
              </w:rPr>
            </w:pPr>
            <w:r w:rsidRPr="007528E0">
              <w:rPr>
                <w:rFonts w:cs="Arial"/>
                <w:noProof/>
                <w:sz w:val="20"/>
              </w:rPr>
              <w:t>AINEs</w:t>
            </w:r>
          </w:p>
          <w:p w14:paraId="059B75C3" w14:textId="77777777" w:rsidR="0037398A" w:rsidRPr="007528E0" w:rsidRDefault="0037398A" w:rsidP="007528E0">
            <w:pPr>
              <w:pStyle w:val="Prrafodelista"/>
              <w:spacing w:before="100" w:beforeAutospacing="1" w:after="100" w:afterAutospacing="1" w:line="240" w:lineRule="auto"/>
              <w:ind w:left="0"/>
              <w:jc w:val="center"/>
              <w:rPr>
                <w:rFonts w:cs="Arial"/>
                <w:noProof/>
                <w:sz w:val="20"/>
              </w:rPr>
            </w:pPr>
            <w:r w:rsidRPr="007528E0">
              <w:rPr>
                <w:rFonts w:cs="Arial"/>
                <w:noProof/>
                <w:sz w:val="20"/>
              </w:rPr>
              <w:t>Dosis tóxica: 5 a 10 veces la dosis terapéutica</w:t>
            </w:r>
          </w:p>
        </w:tc>
        <w:tc>
          <w:tcPr>
            <w:tcW w:w="856" w:type="pct"/>
          </w:tcPr>
          <w:p w14:paraId="3801679F" w14:textId="77777777" w:rsidR="0037398A" w:rsidRPr="007528E0" w:rsidRDefault="0037398A" w:rsidP="007528E0">
            <w:pPr>
              <w:pStyle w:val="Prrafodelista"/>
              <w:spacing w:before="100" w:beforeAutospacing="1" w:after="100" w:afterAutospacing="1" w:line="240" w:lineRule="auto"/>
              <w:ind w:left="0"/>
              <w:rPr>
                <w:rFonts w:cs="Arial"/>
                <w:noProof/>
                <w:sz w:val="20"/>
              </w:rPr>
            </w:pPr>
          </w:p>
          <w:p w14:paraId="28F117EE" w14:textId="77777777" w:rsidR="0037398A" w:rsidRPr="007528E0" w:rsidRDefault="0037398A" w:rsidP="007528E0">
            <w:pPr>
              <w:pStyle w:val="Prrafodelista"/>
              <w:spacing w:before="100" w:beforeAutospacing="1" w:after="100" w:afterAutospacing="1" w:line="240" w:lineRule="auto"/>
              <w:ind w:left="0"/>
              <w:rPr>
                <w:rFonts w:cs="Arial"/>
                <w:noProof/>
                <w:sz w:val="20"/>
              </w:rPr>
            </w:pPr>
          </w:p>
          <w:p w14:paraId="442FBEC8" w14:textId="77777777" w:rsidR="0037398A" w:rsidRPr="007528E0" w:rsidRDefault="0037398A" w:rsidP="007528E0">
            <w:pPr>
              <w:pStyle w:val="Prrafodelista"/>
              <w:spacing w:before="100" w:beforeAutospacing="1" w:after="100" w:afterAutospacing="1" w:line="240" w:lineRule="auto"/>
              <w:ind w:left="0"/>
              <w:rPr>
                <w:rFonts w:cs="Arial"/>
                <w:noProof/>
                <w:sz w:val="20"/>
              </w:rPr>
            </w:pPr>
          </w:p>
          <w:p w14:paraId="76B6D6C5" w14:textId="77777777" w:rsidR="0037398A" w:rsidRPr="007528E0" w:rsidRDefault="0037398A" w:rsidP="007528E0">
            <w:pPr>
              <w:pStyle w:val="Prrafodelista"/>
              <w:spacing w:before="100" w:beforeAutospacing="1" w:after="100" w:afterAutospacing="1" w:line="240" w:lineRule="auto"/>
              <w:ind w:left="0"/>
              <w:rPr>
                <w:rFonts w:cs="Arial"/>
                <w:noProof/>
                <w:sz w:val="20"/>
              </w:rPr>
            </w:pPr>
            <w:r w:rsidRPr="007528E0">
              <w:rPr>
                <w:rFonts w:cs="Arial"/>
                <w:noProof/>
                <w:sz w:val="20"/>
              </w:rPr>
              <w:t>Ibuprofeno, Naproxeno, Diclofenaco, Celecoxib, Meloxicam, Piroxicam</w:t>
            </w:r>
          </w:p>
        </w:tc>
        <w:tc>
          <w:tcPr>
            <w:tcW w:w="1137" w:type="pct"/>
          </w:tcPr>
          <w:p w14:paraId="5F5A34C8" w14:textId="77777777" w:rsidR="0037398A" w:rsidRPr="007528E0" w:rsidRDefault="0037398A" w:rsidP="007528E0">
            <w:pPr>
              <w:pStyle w:val="Prrafodelista"/>
              <w:spacing w:before="100" w:beforeAutospacing="1" w:after="100" w:afterAutospacing="1" w:line="240" w:lineRule="auto"/>
              <w:ind w:left="0"/>
              <w:rPr>
                <w:rFonts w:cs="Arial"/>
                <w:noProof/>
                <w:sz w:val="20"/>
              </w:rPr>
            </w:pPr>
            <w:r w:rsidRPr="007528E0">
              <w:rPr>
                <w:rFonts w:cs="Arial"/>
                <w:noProof/>
                <w:sz w:val="20"/>
              </w:rPr>
              <w:t>Nauseas, vómito, dolor abdominal, algunas veces hematemesis. Ocasionalmente (en ingestas masivas) letargia, ataxia, nistagmus, tinitus,  desorientación, convulsiones, coma, ácidosis metabólica, falla renal, falla hepática, paro cardiorespiratorio. Se ha descrito casos de meningitis aseptica</w:t>
            </w:r>
          </w:p>
        </w:tc>
        <w:tc>
          <w:tcPr>
            <w:tcW w:w="1345" w:type="pct"/>
          </w:tcPr>
          <w:p w14:paraId="22A7C82E" w14:textId="77777777" w:rsidR="0037398A" w:rsidRPr="007528E0" w:rsidRDefault="0037398A" w:rsidP="007528E0">
            <w:pPr>
              <w:pStyle w:val="Prrafodelista"/>
              <w:spacing w:before="100" w:beforeAutospacing="1" w:after="100" w:afterAutospacing="1" w:line="240" w:lineRule="auto"/>
              <w:ind w:left="0"/>
              <w:rPr>
                <w:rFonts w:cs="Arial"/>
                <w:noProof/>
                <w:sz w:val="20"/>
              </w:rPr>
            </w:pPr>
          </w:p>
          <w:p w14:paraId="19B7594A" w14:textId="77777777" w:rsidR="0037398A" w:rsidRPr="007528E0" w:rsidRDefault="0037398A" w:rsidP="007528E0">
            <w:pPr>
              <w:pStyle w:val="Prrafodelista"/>
              <w:spacing w:before="100" w:beforeAutospacing="1" w:after="100" w:afterAutospacing="1" w:line="240" w:lineRule="auto"/>
              <w:ind w:left="0"/>
              <w:rPr>
                <w:rFonts w:cs="Arial"/>
                <w:noProof/>
                <w:sz w:val="20"/>
              </w:rPr>
            </w:pPr>
          </w:p>
          <w:p w14:paraId="29E937C9" w14:textId="77777777" w:rsidR="0037398A" w:rsidRPr="007528E0" w:rsidRDefault="0037398A" w:rsidP="007528E0">
            <w:pPr>
              <w:pStyle w:val="Prrafodelista"/>
              <w:spacing w:before="100" w:beforeAutospacing="1" w:after="100" w:afterAutospacing="1" w:line="240" w:lineRule="auto"/>
              <w:ind w:left="0"/>
              <w:rPr>
                <w:rFonts w:cs="Arial"/>
                <w:noProof/>
                <w:sz w:val="20"/>
              </w:rPr>
            </w:pPr>
          </w:p>
          <w:p w14:paraId="730DF3EE" w14:textId="77777777" w:rsidR="0037398A" w:rsidRPr="007528E0" w:rsidRDefault="0037398A" w:rsidP="007528E0">
            <w:pPr>
              <w:pStyle w:val="Prrafodelista"/>
              <w:spacing w:before="100" w:beforeAutospacing="1" w:after="100" w:afterAutospacing="1" w:line="240" w:lineRule="auto"/>
              <w:ind w:left="0"/>
              <w:rPr>
                <w:rFonts w:cs="Arial"/>
                <w:noProof/>
                <w:sz w:val="20"/>
              </w:rPr>
            </w:pPr>
          </w:p>
          <w:p w14:paraId="7953F076" w14:textId="77777777" w:rsidR="0037398A" w:rsidRPr="007528E0" w:rsidRDefault="0037398A" w:rsidP="007528E0">
            <w:pPr>
              <w:pStyle w:val="Prrafodelista"/>
              <w:spacing w:before="100" w:beforeAutospacing="1" w:after="100" w:afterAutospacing="1" w:line="240" w:lineRule="auto"/>
              <w:ind w:left="0"/>
              <w:rPr>
                <w:rFonts w:cs="Arial"/>
                <w:noProof/>
                <w:sz w:val="20"/>
              </w:rPr>
            </w:pPr>
            <w:r w:rsidRPr="007528E0">
              <w:rPr>
                <w:rFonts w:cs="Arial"/>
                <w:noProof/>
                <w:sz w:val="20"/>
              </w:rPr>
              <w:t>Las determinaciones séricas no están usualmente disponibles y no contribuyen al tratamiento.</w:t>
            </w:r>
          </w:p>
        </w:tc>
      </w:tr>
      <w:tr w:rsidR="007528E0" w:rsidRPr="007528E0" w14:paraId="1CAD90ED" w14:textId="77777777" w:rsidTr="007528E0">
        <w:trPr>
          <w:tblHeader/>
          <w:jc w:val="center"/>
        </w:trPr>
        <w:tc>
          <w:tcPr>
            <w:tcW w:w="890" w:type="pct"/>
            <w:vMerge/>
            <w:vAlign w:val="center"/>
          </w:tcPr>
          <w:p w14:paraId="4D9A0F0B" w14:textId="77777777" w:rsidR="0037398A" w:rsidRPr="007528E0" w:rsidRDefault="0037398A" w:rsidP="007528E0">
            <w:pPr>
              <w:pStyle w:val="Prrafodelista"/>
              <w:spacing w:before="100" w:beforeAutospacing="1" w:after="100" w:afterAutospacing="1" w:line="240" w:lineRule="auto"/>
              <w:ind w:left="0"/>
              <w:jc w:val="center"/>
              <w:rPr>
                <w:rFonts w:cs="Arial"/>
                <w:noProof/>
                <w:sz w:val="20"/>
              </w:rPr>
            </w:pPr>
          </w:p>
        </w:tc>
        <w:tc>
          <w:tcPr>
            <w:tcW w:w="772" w:type="pct"/>
            <w:vAlign w:val="center"/>
          </w:tcPr>
          <w:p w14:paraId="2A400A70" w14:textId="77777777" w:rsidR="0037398A" w:rsidRPr="007528E0" w:rsidRDefault="0037398A" w:rsidP="007528E0">
            <w:pPr>
              <w:pStyle w:val="Prrafodelista"/>
              <w:spacing w:before="100" w:beforeAutospacing="1" w:after="100" w:afterAutospacing="1" w:line="240" w:lineRule="auto"/>
              <w:ind w:left="0"/>
              <w:jc w:val="center"/>
              <w:rPr>
                <w:rFonts w:cs="Arial"/>
                <w:noProof/>
                <w:sz w:val="20"/>
              </w:rPr>
            </w:pPr>
            <w:r w:rsidRPr="007528E0">
              <w:rPr>
                <w:rFonts w:cs="Arial"/>
                <w:noProof/>
                <w:sz w:val="20"/>
              </w:rPr>
              <w:t>Ácido acetil salicílico</w:t>
            </w:r>
          </w:p>
          <w:p w14:paraId="75DD44AC" w14:textId="77777777" w:rsidR="0037398A" w:rsidRPr="007528E0" w:rsidRDefault="0037398A" w:rsidP="007528E0">
            <w:pPr>
              <w:pStyle w:val="Prrafodelista"/>
              <w:spacing w:before="100" w:beforeAutospacing="1" w:after="100" w:afterAutospacing="1" w:line="240" w:lineRule="auto"/>
              <w:ind w:left="0"/>
              <w:jc w:val="center"/>
              <w:rPr>
                <w:rFonts w:cs="Arial"/>
                <w:noProof/>
                <w:sz w:val="20"/>
              </w:rPr>
            </w:pPr>
            <w:r w:rsidRPr="007528E0">
              <w:rPr>
                <w:rFonts w:cs="Arial"/>
                <w:noProof/>
                <w:sz w:val="20"/>
              </w:rPr>
              <w:t>Dosis tóxica: 150 a 200 mg/kg</w:t>
            </w:r>
          </w:p>
        </w:tc>
        <w:tc>
          <w:tcPr>
            <w:tcW w:w="856" w:type="pct"/>
          </w:tcPr>
          <w:p w14:paraId="44A08075" w14:textId="77777777" w:rsidR="0037398A" w:rsidRPr="007528E0" w:rsidRDefault="0037398A" w:rsidP="007528E0">
            <w:pPr>
              <w:pStyle w:val="Prrafodelista"/>
              <w:spacing w:before="100" w:beforeAutospacing="1" w:after="100" w:afterAutospacing="1" w:line="240" w:lineRule="auto"/>
              <w:ind w:left="0"/>
              <w:rPr>
                <w:rFonts w:cs="Arial"/>
                <w:noProof/>
                <w:sz w:val="20"/>
              </w:rPr>
            </w:pPr>
          </w:p>
          <w:p w14:paraId="5C6CD9A6" w14:textId="77777777" w:rsidR="0037398A" w:rsidRPr="007528E0" w:rsidRDefault="0037398A" w:rsidP="007528E0">
            <w:pPr>
              <w:pStyle w:val="Prrafodelista"/>
              <w:spacing w:before="100" w:beforeAutospacing="1" w:after="100" w:afterAutospacing="1" w:line="240" w:lineRule="auto"/>
              <w:ind w:left="0"/>
              <w:rPr>
                <w:rFonts w:cs="Arial"/>
                <w:noProof/>
                <w:sz w:val="20"/>
              </w:rPr>
            </w:pPr>
          </w:p>
          <w:p w14:paraId="56E6AAA4" w14:textId="77777777" w:rsidR="0037398A" w:rsidRPr="007528E0" w:rsidRDefault="0037398A" w:rsidP="007528E0">
            <w:pPr>
              <w:pStyle w:val="Prrafodelista"/>
              <w:spacing w:before="100" w:beforeAutospacing="1" w:after="100" w:afterAutospacing="1" w:line="240" w:lineRule="auto"/>
              <w:ind w:left="0"/>
              <w:rPr>
                <w:rFonts w:cs="Arial"/>
                <w:noProof/>
                <w:sz w:val="20"/>
              </w:rPr>
            </w:pPr>
          </w:p>
          <w:p w14:paraId="6A2D40A6" w14:textId="77777777" w:rsidR="0037398A" w:rsidRPr="007528E0" w:rsidRDefault="0037398A" w:rsidP="007528E0">
            <w:pPr>
              <w:pStyle w:val="Prrafodelista"/>
              <w:spacing w:before="100" w:beforeAutospacing="1" w:after="100" w:afterAutospacing="1" w:line="240" w:lineRule="auto"/>
              <w:ind w:left="0"/>
              <w:rPr>
                <w:rFonts w:cs="Arial"/>
                <w:noProof/>
                <w:sz w:val="20"/>
              </w:rPr>
            </w:pPr>
          </w:p>
          <w:p w14:paraId="65160FCC" w14:textId="77777777" w:rsidR="0037398A" w:rsidRPr="007528E0" w:rsidRDefault="0037398A" w:rsidP="007528E0">
            <w:pPr>
              <w:pStyle w:val="Prrafodelista"/>
              <w:spacing w:before="100" w:beforeAutospacing="1" w:after="100" w:afterAutospacing="1" w:line="240" w:lineRule="auto"/>
              <w:ind w:left="0"/>
              <w:rPr>
                <w:rFonts w:cs="Arial"/>
                <w:noProof/>
                <w:sz w:val="20"/>
              </w:rPr>
            </w:pPr>
            <w:r w:rsidRPr="007528E0">
              <w:rPr>
                <w:rFonts w:cs="Arial"/>
                <w:noProof/>
                <w:sz w:val="20"/>
              </w:rPr>
              <w:t>Aspirina, Aspirineta, Asawin</w:t>
            </w:r>
          </w:p>
        </w:tc>
        <w:tc>
          <w:tcPr>
            <w:tcW w:w="1137" w:type="pct"/>
          </w:tcPr>
          <w:p w14:paraId="1A68E9BE" w14:textId="77777777" w:rsidR="0037398A" w:rsidRPr="007528E0" w:rsidRDefault="0037398A" w:rsidP="007528E0">
            <w:pPr>
              <w:pStyle w:val="Prrafodelista"/>
              <w:spacing w:before="100" w:beforeAutospacing="1" w:after="100" w:afterAutospacing="1" w:line="240" w:lineRule="auto"/>
              <w:ind w:left="0"/>
              <w:rPr>
                <w:rFonts w:cs="Arial"/>
                <w:noProof/>
                <w:sz w:val="20"/>
              </w:rPr>
            </w:pPr>
            <w:r w:rsidRPr="007528E0">
              <w:rPr>
                <w:rFonts w:cs="Arial"/>
                <w:noProof/>
                <w:sz w:val="20"/>
              </w:rPr>
              <w:t>Vómito, taquipnea, tinitus, alcalosis respiratoria con posterior acidosis metabólica, hipoglicemia, hipertermia, falla renal aguda, hipoprotrombinemia, disfunción plaquetaria, edema pulmonar, letargia, delirio, psicosis, convulsiones, coma, muerte.</w:t>
            </w:r>
          </w:p>
        </w:tc>
        <w:tc>
          <w:tcPr>
            <w:tcW w:w="1345" w:type="pct"/>
          </w:tcPr>
          <w:p w14:paraId="45DBCF54" w14:textId="77777777" w:rsidR="0037398A" w:rsidRPr="007528E0" w:rsidRDefault="0037398A" w:rsidP="007528E0">
            <w:pPr>
              <w:pStyle w:val="Prrafodelista"/>
              <w:spacing w:before="100" w:beforeAutospacing="1" w:after="100" w:afterAutospacing="1" w:line="240" w:lineRule="auto"/>
              <w:ind w:left="0"/>
              <w:rPr>
                <w:rFonts w:cs="Arial"/>
                <w:noProof/>
                <w:sz w:val="20"/>
              </w:rPr>
            </w:pPr>
            <w:r w:rsidRPr="007528E0">
              <w:rPr>
                <w:rFonts w:cs="Arial"/>
                <w:noProof/>
                <w:sz w:val="20"/>
              </w:rPr>
              <w:t>Las determinaciones únicas no son suficientes debido a absorción retardada o prolongada de las tabletas de liberación sostenida. Por otra parte, existe pobre correlación entre los niveles séricos de salicilatos y el estado clínico, debido a los cambios de pH y la distribución del medicamento.</w:t>
            </w:r>
          </w:p>
        </w:tc>
      </w:tr>
    </w:tbl>
    <w:p w14:paraId="499D8B8B" w14:textId="77777777" w:rsidR="0037398A" w:rsidRPr="007528E0" w:rsidRDefault="0037398A" w:rsidP="0037398A">
      <w:pPr>
        <w:pStyle w:val="Prrafodelista"/>
        <w:spacing w:before="100" w:beforeAutospacing="1" w:after="100" w:afterAutospacing="1" w:line="240" w:lineRule="auto"/>
        <w:ind w:left="0"/>
        <w:jc w:val="center"/>
        <w:rPr>
          <w:rFonts w:cs="Arial"/>
          <w:noProof/>
          <w:sz w:val="16"/>
          <w:szCs w:val="16"/>
        </w:rPr>
      </w:pPr>
      <w:r w:rsidRPr="007528E0">
        <w:rPr>
          <w:rFonts w:cs="Arial"/>
          <w:noProof/>
          <w:sz w:val="16"/>
          <w:szCs w:val="16"/>
        </w:rPr>
        <w:t xml:space="preserve">Fuente: Elaborada a partir de las referencias </w:t>
      </w:r>
      <w:r w:rsidRPr="007528E0">
        <w:rPr>
          <w:rFonts w:cs="Arial"/>
          <w:noProof/>
          <w:sz w:val="16"/>
          <w:szCs w:val="16"/>
        </w:rPr>
        <w:fldChar w:fldCharType="begin" w:fldLock="1"/>
      </w:r>
      <w:r w:rsidRPr="007528E0">
        <w:rPr>
          <w:rFonts w:cs="Arial"/>
          <w:noProof/>
          <w:sz w:val="16"/>
          <w:szCs w:val="16"/>
        </w:rPr>
        <w:instrText>ADDIN CSL_CITATION { "citationItems" : [ { "id" : "ITEM-1", "itemData" : { "author" : [ { "dropping-particle" : "", "family" : "Mc Graw-Hill. Olson K.", "given" : "", "non-dropping-particle" : "", "parse-names" : false, "suffix" : "" } ], "edition" : "Quinta Edi", "id" : "ITEM-1", "issued" : { "date-parts" : [ [ "2006" ] ] }, "title" : "Poisoning &amp; Drug Overdose", "type" : "book" }, "uris" : [ "http://www.mendeley.com/documents/?uuid=118b95c9-6e46-4361-8d56-df533571c246" ] } ], "mendeley" : { "formattedCitation" : "(25)", "plainTextFormattedCitation" : "(25)", "previouslyFormattedCitation" : "(25)" }, "properties" : { "noteIndex" : 0 }, "schema" : "https://github.com/citation-style-language/schema/raw/master/csl-citation.json" }</w:instrText>
      </w:r>
      <w:r w:rsidRPr="007528E0">
        <w:rPr>
          <w:rFonts w:cs="Arial"/>
          <w:noProof/>
          <w:sz w:val="16"/>
          <w:szCs w:val="16"/>
        </w:rPr>
        <w:fldChar w:fldCharType="separate"/>
      </w:r>
      <w:r w:rsidRPr="007528E0">
        <w:rPr>
          <w:rFonts w:cs="Arial"/>
          <w:noProof/>
          <w:sz w:val="16"/>
          <w:szCs w:val="16"/>
        </w:rPr>
        <w:t>(25)</w:t>
      </w:r>
      <w:r w:rsidRPr="007528E0">
        <w:rPr>
          <w:rFonts w:cs="Arial"/>
          <w:noProof/>
          <w:sz w:val="16"/>
          <w:szCs w:val="16"/>
        </w:rPr>
        <w:fldChar w:fldCharType="end"/>
      </w:r>
      <w:r w:rsidRPr="007528E0">
        <w:rPr>
          <w:rFonts w:cs="Arial"/>
          <w:noProof/>
          <w:sz w:val="16"/>
          <w:szCs w:val="16"/>
        </w:rPr>
        <w:fldChar w:fldCharType="begin" w:fldLock="1"/>
      </w:r>
      <w:r w:rsidRPr="007528E0">
        <w:rPr>
          <w:rFonts w:cs="Arial"/>
          <w:noProof/>
          <w:sz w:val="16"/>
          <w:szCs w:val="16"/>
        </w:rPr>
        <w:instrText>ADDIN CSL_CITATION { "citationItems" : [ { "id" : "ITEM-1", "itemData" : { "author" : [ { "dropping-particle" : "", "family" : "Hoffman, R.S., et al.", "given" : "", "non-dropping-particle" : "", "parse-names" : false, "suffix" : "" } ], "container-title" : "McGraw-Hill: New York", "id" : "ITEM-1", "issued" : { "date-parts" : [ [ "0" ] ] }, "title" : "Goldfrank\u00b4s. Manual of toxicologic emergencies. 2008", "type" : "article-journal" }, "uris" : [ "http://www.mendeley.com/documents/?uuid=6101ab90-992b-4bdb-b668-1473ce76ffb9" ] } ], "mendeley" : { "formattedCitation" : "(26)", "plainTextFormattedCitation" : "(26)", "previouslyFormattedCitation" : "(26)" }, "properties" : { "noteIndex" : 0 }, "schema" : "https://github.com/citation-style-language/schema/raw/master/csl-citation.json" }</w:instrText>
      </w:r>
      <w:r w:rsidRPr="007528E0">
        <w:rPr>
          <w:rFonts w:cs="Arial"/>
          <w:noProof/>
          <w:sz w:val="16"/>
          <w:szCs w:val="16"/>
        </w:rPr>
        <w:fldChar w:fldCharType="separate"/>
      </w:r>
      <w:r w:rsidRPr="007528E0">
        <w:rPr>
          <w:rFonts w:cs="Arial"/>
          <w:noProof/>
          <w:sz w:val="16"/>
          <w:szCs w:val="16"/>
        </w:rPr>
        <w:t>(26)</w:t>
      </w:r>
      <w:r w:rsidRPr="007528E0">
        <w:rPr>
          <w:rFonts w:cs="Arial"/>
          <w:noProof/>
          <w:sz w:val="16"/>
          <w:szCs w:val="16"/>
        </w:rPr>
        <w:fldChar w:fldCharType="end"/>
      </w:r>
      <w:r w:rsidRPr="007528E0">
        <w:rPr>
          <w:rFonts w:cs="Arial"/>
          <w:noProof/>
          <w:sz w:val="16"/>
          <w:szCs w:val="16"/>
        </w:rPr>
        <w:fldChar w:fldCharType="begin" w:fldLock="1"/>
      </w:r>
      <w:r w:rsidRPr="007528E0">
        <w:rPr>
          <w:rFonts w:cs="Arial"/>
          <w:noProof/>
          <w:sz w:val="16"/>
          <w:szCs w:val="16"/>
        </w:rPr>
        <w:instrText>ADDIN CSL_CITATION { "citationItems" : [ { "id" : "ITEM-1", "itemData" : { "author" : [ { "dropping-particle" : "", "family" : "Shannon, M.W., S.W. Borron", "given" : "and M.J. Burns", "non-dropping-particle" : "", "parse-names" : false, "suffix" : "" } ], "container-title" : "Saunders Elsevier", "id" : "ITEM-1", "issue" : "1521", "issued" : { "date-parts" : [ [ "2007" ] ] }, "title" : "Haddad and Winchester's clinical management of poisoning and drug overdose, ed. t.", "type" : "article-journal", "volume" : "1" }, "uris" : [ "http://www.mendeley.com/documents/?uuid=b7fcb41b-436e-46b0-8781-cbe88cae55fd" ] } ], "mendeley" : { "formattedCitation" : "(27)", "plainTextFormattedCitation" : "(27)", "previouslyFormattedCitation" : "(27)" }, "properties" : { "noteIndex" : 0 }, "schema" : "https://github.com/citation-style-language/schema/raw/master/csl-citation.json" }</w:instrText>
      </w:r>
      <w:r w:rsidRPr="007528E0">
        <w:rPr>
          <w:rFonts w:cs="Arial"/>
          <w:noProof/>
          <w:sz w:val="16"/>
          <w:szCs w:val="16"/>
        </w:rPr>
        <w:fldChar w:fldCharType="separate"/>
      </w:r>
      <w:r w:rsidRPr="007528E0">
        <w:rPr>
          <w:rFonts w:cs="Arial"/>
          <w:noProof/>
          <w:sz w:val="16"/>
          <w:szCs w:val="16"/>
        </w:rPr>
        <w:t>(27)</w:t>
      </w:r>
      <w:r w:rsidRPr="007528E0">
        <w:rPr>
          <w:rFonts w:cs="Arial"/>
          <w:noProof/>
          <w:sz w:val="16"/>
          <w:szCs w:val="16"/>
        </w:rPr>
        <w:fldChar w:fldCharType="end"/>
      </w:r>
      <w:r w:rsidRPr="007528E0">
        <w:rPr>
          <w:rFonts w:cs="Arial"/>
          <w:noProof/>
          <w:sz w:val="16"/>
          <w:szCs w:val="16"/>
        </w:rPr>
        <w:t xml:space="preserve"> </w:t>
      </w:r>
    </w:p>
    <w:p w14:paraId="3BFF3D38" w14:textId="77777777" w:rsidR="0037398A" w:rsidRPr="007528E0" w:rsidRDefault="0037398A" w:rsidP="0037398A">
      <w:pPr>
        <w:pStyle w:val="Ttulo2"/>
        <w:numPr>
          <w:ilvl w:val="0"/>
          <w:numId w:val="25"/>
        </w:numPr>
        <w:spacing w:before="100" w:beforeAutospacing="1" w:after="100" w:afterAutospacing="1"/>
        <w:jc w:val="left"/>
        <w:rPr>
          <w:sz w:val="22"/>
          <w:szCs w:val="22"/>
        </w:rPr>
      </w:pPr>
      <w:bookmarkStart w:id="11" w:name="_Toc505456656"/>
      <w:r w:rsidRPr="007528E0">
        <w:rPr>
          <w:sz w:val="22"/>
          <w:szCs w:val="22"/>
        </w:rPr>
        <w:t>Intoxicación por plaguicidas (Grupo de Sustancia 2)</w:t>
      </w:r>
      <w:bookmarkEnd w:id="11"/>
    </w:p>
    <w:p w14:paraId="49DC727F" w14:textId="77777777" w:rsidR="0037398A" w:rsidRPr="007528E0" w:rsidRDefault="0037398A" w:rsidP="0037398A">
      <w:pPr>
        <w:widowControl w:val="0"/>
        <w:autoSpaceDE w:val="0"/>
        <w:autoSpaceDN w:val="0"/>
        <w:adjustRightInd w:val="0"/>
        <w:spacing w:before="100" w:beforeAutospacing="1" w:after="100" w:afterAutospacing="1"/>
        <w:rPr>
          <w:rFonts w:cs="Arial"/>
          <w:sz w:val="22"/>
          <w:szCs w:val="22"/>
          <w:lang w:val="es-CO"/>
        </w:rPr>
      </w:pPr>
      <w:r w:rsidRPr="007528E0">
        <w:rPr>
          <w:rFonts w:cs="Arial"/>
          <w:sz w:val="22"/>
          <w:szCs w:val="22"/>
          <w:lang w:val="es-CO"/>
        </w:rPr>
        <w:t xml:space="preserve">Un plaguicida se define como cualquier sustancia o mezcla de sustancias o microorganismos, diseñadas para repeler, destruir o controlar cualquier plaga, incluyendo vectores de enfermedades humanas y animales, enfermedades molestas, especies no deseadas de plantas o animales, que de alguna manera causen daño o interfieran con la producción, procesamiento, almacenamiento, transporte o comercialización de alimentos, productos agrícolas y forestales, o alimentos para animales, o que puedan ser administrados a animales para el control de insectos, arácnidos u otras plagas internas o externas. El término incluye las sustancias destinadas al uso como </w:t>
      </w:r>
      <w:proofErr w:type="spellStart"/>
      <w:r w:rsidRPr="007528E0">
        <w:rPr>
          <w:rFonts w:cs="Arial"/>
          <w:sz w:val="22"/>
          <w:szCs w:val="22"/>
          <w:lang w:val="es-CO"/>
        </w:rPr>
        <w:t>fitoreguladores</w:t>
      </w:r>
      <w:proofErr w:type="spellEnd"/>
      <w:r w:rsidRPr="007528E0">
        <w:rPr>
          <w:rFonts w:cs="Arial"/>
          <w:sz w:val="22"/>
          <w:szCs w:val="22"/>
          <w:lang w:val="es-CO"/>
        </w:rPr>
        <w:t xml:space="preserve">, defoliantes, desecantes o agentes para el raleo de frutos o para prevenir la caída prematura de frutos, y las sustancias aplicadas a los cultivos, sea antes o después de la </w:t>
      </w:r>
      <w:r w:rsidRPr="007528E0">
        <w:rPr>
          <w:rFonts w:cs="Arial"/>
          <w:sz w:val="22"/>
          <w:szCs w:val="22"/>
          <w:lang w:val="es-CO"/>
        </w:rPr>
        <w:lastRenderedPageBreak/>
        <w:t xml:space="preserve">cosecha, para proteger el producto del deterioro durante el almacenamiento y transporte, los </w:t>
      </w:r>
      <w:proofErr w:type="spellStart"/>
      <w:r w:rsidRPr="007528E0">
        <w:rPr>
          <w:rFonts w:cs="Arial"/>
          <w:sz w:val="22"/>
          <w:szCs w:val="22"/>
          <w:lang w:val="es-CO"/>
        </w:rPr>
        <w:t>sinergistas</w:t>
      </w:r>
      <w:proofErr w:type="spellEnd"/>
      <w:r w:rsidRPr="007528E0">
        <w:rPr>
          <w:rFonts w:cs="Arial"/>
          <w:sz w:val="22"/>
          <w:szCs w:val="22"/>
          <w:lang w:val="es-CO"/>
        </w:rPr>
        <w:t xml:space="preserve"> y elementos de seguridad que son indispensables para el desempeño satisfactorio del plaguicida</w:t>
      </w:r>
      <w:r w:rsidRPr="007528E0">
        <w:rPr>
          <w:rFonts w:cs="Arial"/>
          <w:sz w:val="22"/>
          <w:szCs w:val="22"/>
          <w:lang w:val="es-CO"/>
        </w:rPr>
        <w:fldChar w:fldCharType="begin" w:fldLock="1"/>
      </w:r>
      <w:r w:rsidRPr="007528E0">
        <w:rPr>
          <w:rFonts w:cs="Arial"/>
          <w:sz w:val="22"/>
          <w:szCs w:val="22"/>
          <w:lang w:val="es-CO"/>
        </w:rPr>
        <w:instrText>ADDIN CSL_CITATION { "citationItems" : [ { "id" : "ITEM-1", "itemData" : { "author" : [ { "dropping-particle" : "", "family" : "Reuni\u00f3n Conjunta FAO/OMS para las Especificaciones de Plaguicidas (JPMS).", "given" : "", "non-dropping-particle" : "", "parse-names" : false, "suffix" : "" } ], "id" : "ITEM-1", "issued" : { "date-parts" : [ [ "2004" ] ] }, "title" : "Manual sobre elaboraci\u00f3n y empleo de las especificaciones de la FAO y de la OMS para plaguicidas.", "type" : "report" }, "uris" : [ "http://www.mendeley.com/documents/?uuid=c8718223-67c1-47c3-bd3b-ce7d432bb72b" ] } ], "mendeley" : { "formattedCitation" : "(28)", "plainTextFormattedCitation" : "(28)", "previouslyFormattedCitation" : "(28)" }, "properties" : { "noteIndex" : 0 }, "schema" : "https://github.com/citation-style-language/schema/raw/master/csl-citation.json" }</w:instrText>
      </w:r>
      <w:r w:rsidRPr="007528E0">
        <w:rPr>
          <w:rFonts w:cs="Arial"/>
          <w:sz w:val="22"/>
          <w:szCs w:val="22"/>
          <w:lang w:val="es-CO"/>
        </w:rPr>
        <w:fldChar w:fldCharType="separate"/>
      </w:r>
      <w:r w:rsidRPr="007528E0">
        <w:rPr>
          <w:rFonts w:cs="Arial"/>
          <w:noProof/>
          <w:sz w:val="22"/>
          <w:szCs w:val="22"/>
          <w:lang w:val="es-CO"/>
        </w:rPr>
        <w:t>(28)</w:t>
      </w:r>
      <w:r w:rsidRPr="007528E0">
        <w:rPr>
          <w:rFonts w:cs="Arial"/>
          <w:sz w:val="22"/>
          <w:szCs w:val="22"/>
          <w:lang w:val="es-CO"/>
        </w:rPr>
        <w:fldChar w:fldCharType="end"/>
      </w:r>
      <w:r w:rsidRPr="007528E0">
        <w:rPr>
          <w:rFonts w:cs="Arial"/>
          <w:sz w:val="22"/>
          <w:szCs w:val="22"/>
          <w:lang w:val="es-CO"/>
        </w:rPr>
        <w:t xml:space="preserve">. </w:t>
      </w:r>
    </w:p>
    <w:p w14:paraId="29215438" w14:textId="77777777" w:rsidR="0037398A" w:rsidRPr="007528E0" w:rsidRDefault="0037398A" w:rsidP="0037398A">
      <w:pPr>
        <w:spacing w:before="100" w:beforeAutospacing="1" w:after="100" w:afterAutospacing="1"/>
        <w:rPr>
          <w:rFonts w:cs="Arial"/>
          <w:sz w:val="22"/>
          <w:szCs w:val="22"/>
          <w:lang w:val="es-CO"/>
        </w:rPr>
      </w:pPr>
      <w:r w:rsidRPr="007528E0">
        <w:rPr>
          <w:rFonts w:cs="Arial"/>
          <w:sz w:val="22"/>
          <w:szCs w:val="22"/>
          <w:lang w:val="es-CO"/>
        </w:rPr>
        <w:t xml:space="preserve">La palabra plaguicida o pesticida se utiliza con frecuencia en forma indistinta para nombrar todos los productos químicos utilizados para destruir o controlar a las plagas, el desarrollo y aplicación de plaguicidas en la agricultura ha sido un factor decisivo para combatir una gran variedad de plagas insectívoras y herbáceas que en caso de no ser controladas o eliminadas, disminuirán el volumen y calidad de la producción alimentaria; se calcula que sin la aplicación de plaguicidas se producirían pérdidas de hasta el 50% de las cosechas, esto ha llevado a que desde que se comenzaron a utilizar, alrededor de los años 50, la producción y utilización se haya ido incrementando en todo el mundo </w:t>
      </w:r>
      <w:r w:rsidRPr="007528E0">
        <w:rPr>
          <w:rFonts w:cs="Arial"/>
          <w:sz w:val="22"/>
          <w:szCs w:val="22"/>
          <w:lang w:val="es-CO"/>
        </w:rPr>
        <w:fldChar w:fldCharType="begin" w:fldLock="1"/>
      </w:r>
      <w:r w:rsidRPr="007528E0">
        <w:rPr>
          <w:rFonts w:cs="Arial"/>
          <w:sz w:val="22"/>
          <w:szCs w:val="22"/>
          <w:lang w:val="es-CO"/>
        </w:rPr>
        <w:instrText>ADDIN CSL_CITATION { "citationItems" : [ { "id" : "ITEM-1", "itemData" : { "author" : [ { "dropping-particle" : "", "family" : "Adriana Zamora Suarez", "given" : "MD", "non-dropping-particle" : "", "parse-names" : false, "suffix" : "" } ], "editor" : [ { "dropping-particle" : "", "family" : "Distribuna", "given" : "Editorial", "non-dropping-particle" : "", "parse-names" : false, "suffix" : "" } ], "id" : "ITEM-1", "issued" : { "date-parts" : [ [ "2014" ] ] }, "number-of-pages" : "3-5", "title" : "Intoxicaciones en la practica clinica", "type" : "book" }, "uris" : [ "http://www.mendeley.com/documents/?uuid=dab63e2e-2c1a-41eb-8bca-65988c1d6830" ] } ], "mendeley" : { "formattedCitation" : "(22)", "plainTextFormattedCitation" : "(22)", "previouslyFormattedCitation" : "(22)" }, "properties" : { "noteIndex" : 0 }, "schema" : "https://github.com/citation-style-language/schema/raw/master/csl-citation.json" }</w:instrText>
      </w:r>
      <w:r w:rsidRPr="007528E0">
        <w:rPr>
          <w:rFonts w:cs="Arial"/>
          <w:sz w:val="22"/>
          <w:szCs w:val="22"/>
          <w:lang w:val="es-CO"/>
        </w:rPr>
        <w:fldChar w:fldCharType="separate"/>
      </w:r>
      <w:r w:rsidRPr="007528E0">
        <w:rPr>
          <w:rFonts w:cs="Arial"/>
          <w:noProof/>
          <w:sz w:val="22"/>
          <w:szCs w:val="22"/>
          <w:lang w:val="es-CO"/>
        </w:rPr>
        <w:t>(22)</w:t>
      </w:r>
      <w:r w:rsidRPr="007528E0">
        <w:rPr>
          <w:rFonts w:cs="Arial"/>
          <w:sz w:val="22"/>
          <w:szCs w:val="22"/>
          <w:lang w:val="es-CO"/>
        </w:rPr>
        <w:fldChar w:fldCharType="end"/>
      </w:r>
      <w:r w:rsidRPr="007528E0">
        <w:rPr>
          <w:rFonts w:cs="Arial"/>
          <w:sz w:val="22"/>
          <w:szCs w:val="22"/>
          <w:lang w:val="es-CO"/>
        </w:rPr>
        <w:t>.</w:t>
      </w:r>
    </w:p>
    <w:p w14:paraId="7EA8B943" w14:textId="77777777" w:rsidR="0037398A" w:rsidRPr="007528E0" w:rsidRDefault="0037398A" w:rsidP="0037398A">
      <w:pPr>
        <w:spacing w:before="100" w:beforeAutospacing="1" w:after="100" w:afterAutospacing="1"/>
        <w:rPr>
          <w:rFonts w:cs="Arial"/>
          <w:sz w:val="22"/>
          <w:szCs w:val="22"/>
          <w:lang w:val="es-CO"/>
        </w:rPr>
      </w:pPr>
      <w:r w:rsidRPr="007528E0">
        <w:rPr>
          <w:rFonts w:cs="Arial"/>
          <w:sz w:val="22"/>
          <w:szCs w:val="22"/>
          <w:lang w:val="es-CO"/>
        </w:rPr>
        <w:t xml:space="preserve">Algunos plaguicidas se han usado en la lucha </w:t>
      </w:r>
      <w:proofErr w:type="spellStart"/>
      <w:r w:rsidRPr="007528E0">
        <w:rPr>
          <w:rFonts w:cs="Arial"/>
          <w:sz w:val="22"/>
          <w:szCs w:val="22"/>
          <w:lang w:val="es-CO"/>
        </w:rPr>
        <w:t>antivectorial</w:t>
      </w:r>
      <w:proofErr w:type="spellEnd"/>
      <w:r w:rsidRPr="007528E0">
        <w:rPr>
          <w:rFonts w:cs="Arial"/>
          <w:sz w:val="22"/>
          <w:szCs w:val="22"/>
          <w:lang w:val="es-CO"/>
        </w:rPr>
        <w:t xml:space="preserve"> en los programas de salud pública encaminados al control de las enfermedades transmisibles como por ejemplo la malaria.</w:t>
      </w:r>
    </w:p>
    <w:p w14:paraId="29D84623" w14:textId="77777777" w:rsidR="0037398A" w:rsidRPr="007528E0" w:rsidRDefault="0037398A" w:rsidP="0037398A">
      <w:pPr>
        <w:spacing w:before="100" w:beforeAutospacing="1" w:after="100" w:afterAutospacing="1"/>
        <w:rPr>
          <w:rFonts w:eastAsia="Calibri" w:cs="Arial"/>
          <w:sz w:val="22"/>
          <w:szCs w:val="22"/>
          <w:lang w:val="es-CO" w:eastAsia="es-CO"/>
        </w:rPr>
      </w:pPr>
      <w:r w:rsidRPr="007528E0">
        <w:rPr>
          <w:rFonts w:cs="Arial"/>
          <w:sz w:val="22"/>
          <w:szCs w:val="22"/>
          <w:lang w:val="es-CO"/>
        </w:rPr>
        <w:t xml:space="preserve">A pesar de los beneficios que obtiene el hombre de los plaguicidas también puede sufrir efectos indeseables sobre la salud y el ecosistema no podemos afirmar que existan plaguicidas completamente seguros. Particularmente en nuestro país se ha identificado que los plaguicidas son causa frecuente de intoxicaciones accidentales en los hogares a causa de mal uso o al dejarse al alcance de los niños, así como de intoxicaciones ocupacionales asociadas a inadecuada prevención laboral, falta de medidas de higiene o de uso abusivo. A nivel mundial existe gran preocupación sobre el hecho de que muchas de estas sustancias puedan ejercer efectos tóxicos crónicos que de hecho ya se han documentado en muchos grupos de alto uso como son inhibidores de colinesterasa y organoclorados. También el problema de que por el uso inadecuado aumenten los residuos de pesticidas en los alimentos que son cultivados </w:t>
      </w:r>
      <w:r w:rsidRPr="007528E0">
        <w:rPr>
          <w:rFonts w:cs="Arial"/>
          <w:sz w:val="22"/>
          <w:szCs w:val="22"/>
          <w:lang w:val="es-CO"/>
        </w:rPr>
        <w:fldChar w:fldCharType="begin" w:fldLock="1"/>
      </w:r>
      <w:r w:rsidRPr="007528E0">
        <w:rPr>
          <w:rFonts w:cs="Arial"/>
          <w:sz w:val="22"/>
          <w:szCs w:val="22"/>
          <w:lang w:val="es-CO"/>
        </w:rPr>
        <w:instrText>ADDIN CSL_CITATION { "citationItems" : [ { "id" : "ITEM-1", "itemData" : { "author" : [ { "dropping-particle" : "", "family" : "Adriana Zamora Suarez", "given" : "MD", "non-dropping-particle" : "", "parse-names" : false, "suffix" : "" } ], "editor" : [ { "dropping-particle" : "", "family" : "Distribuna", "given" : "Editorial", "non-dropping-particle" : "", "parse-names" : false, "suffix" : "" } ], "id" : "ITEM-1", "issued" : { "date-parts" : [ [ "2014" ] ] }, "number-of-pages" : "3-5", "title" : "Intoxicaciones en la practica clinica", "type" : "book" }, "uris" : [ "http://www.mendeley.com/documents/?uuid=dab63e2e-2c1a-41eb-8bca-65988c1d6830" ] } ], "mendeley" : { "formattedCitation" : "(22)", "plainTextFormattedCitation" : "(22)", "previouslyFormattedCitation" : "(22)" }, "properties" : { "noteIndex" : 0 }, "schema" : "https://github.com/citation-style-language/schema/raw/master/csl-citation.json" }</w:instrText>
      </w:r>
      <w:r w:rsidRPr="007528E0">
        <w:rPr>
          <w:rFonts w:cs="Arial"/>
          <w:sz w:val="22"/>
          <w:szCs w:val="22"/>
          <w:lang w:val="es-CO"/>
        </w:rPr>
        <w:fldChar w:fldCharType="separate"/>
      </w:r>
      <w:r w:rsidRPr="007528E0">
        <w:rPr>
          <w:rFonts w:cs="Arial"/>
          <w:noProof/>
          <w:sz w:val="22"/>
          <w:szCs w:val="22"/>
          <w:lang w:val="es-CO"/>
        </w:rPr>
        <w:t>(22)</w:t>
      </w:r>
      <w:r w:rsidRPr="007528E0">
        <w:rPr>
          <w:rFonts w:cs="Arial"/>
          <w:sz w:val="22"/>
          <w:szCs w:val="22"/>
          <w:lang w:val="es-CO"/>
        </w:rPr>
        <w:fldChar w:fldCharType="end"/>
      </w:r>
      <w:r w:rsidRPr="007528E0">
        <w:rPr>
          <w:rFonts w:cs="Arial"/>
          <w:sz w:val="22"/>
          <w:szCs w:val="22"/>
          <w:lang w:val="es-CO"/>
        </w:rPr>
        <w:t>.</w:t>
      </w:r>
      <w:r w:rsidRPr="007528E0">
        <w:rPr>
          <w:rFonts w:eastAsia="Calibri" w:cs="Arial"/>
          <w:sz w:val="22"/>
          <w:szCs w:val="22"/>
          <w:lang w:val="es-CO" w:eastAsia="es-CO"/>
        </w:rPr>
        <w:t xml:space="preserve"> Como se mencionó para los medicamentos, se espera que la notificación de la intoxicación por plaguicidas disminuya, ya que los plaguicidas son ampliamente usados con intencionalidad suicida, por lo cual ahora se verán notificados en el evento intento de suicidio.</w:t>
      </w:r>
    </w:p>
    <w:p w14:paraId="69077DDC" w14:textId="77777777" w:rsidR="0037398A" w:rsidRPr="007528E0" w:rsidRDefault="0037398A" w:rsidP="0037398A">
      <w:pPr>
        <w:spacing w:before="100" w:beforeAutospacing="1" w:after="100" w:afterAutospacing="1"/>
        <w:rPr>
          <w:rFonts w:eastAsia="Calibri" w:cs="Arial"/>
          <w:sz w:val="22"/>
          <w:szCs w:val="22"/>
          <w:lang w:val="es-CO" w:eastAsia="es-CO"/>
        </w:rPr>
      </w:pPr>
      <w:r w:rsidRPr="007528E0">
        <w:rPr>
          <w:rFonts w:eastAsia="Calibri" w:cs="Arial"/>
          <w:sz w:val="22"/>
          <w:szCs w:val="22"/>
          <w:lang w:val="es-CO" w:eastAsia="es-CO"/>
        </w:rPr>
        <w:t xml:space="preserve">La formulación es la mezcla de ingredientes activos e inactivos en un pesticida para su uso práctico, el ingrediente activo es el compuesto químico responsable de la acción de control o eliminación de la plaga correspondiente por ejemplo </w:t>
      </w:r>
      <w:proofErr w:type="spellStart"/>
      <w:r w:rsidRPr="007528E0">
        <w:rPr>
          <w:rFonts w:eastAsia="Calibri" w:cs="Arial"/>
          <w:sz w:val="22"/>
          <w:szCs w:val="22"/>
          <w:lang w:val="es-CO" w:eastAsia="es-CO"/>
        </w:rPr>
        <w:t>organfosforados</w:t>
      </w:r>
      <w:proofErr w:type="spellEnd"/>
      <w:r w:rsidRPr="007528E0">
        <w:rPr>
          <w:rFonts w:eastAsia="Calibri" w:cs="Arial"/>
          <w:sz w:val="22"/>
          <w:szCs w:val="22"/>
          <w:lang w:val="es-CO" w:eastAsia="es-CO"/>
        </w:rPr>
        <w:t xml:space="preserve">, glifosato, </w:t>
      </w:r>
      <w:proofErr w:type="spellStart"/>
      <w:r w:rsidRPr="007528E0">
        <w:rPr>
          <w:rFonts w:eastAsia="Calibri" w:cs="Arial"/>
          <w:sz w:val="22"/>
          <w:szCs w:val="22"/>
          <w:lang w:val="es-CO" w:eastAsia="es-CO"/>
        </w:rPr>
        <w:t>warfarinicos</w:t>
      </w:r>
      <w:proofErr w:type="spellEnd"/>
      <w:r w:rsidRPr="007528E0">
        <w:rPr>
          <w:rFonts w:eastAsia="Calibri" w:cs="Arial"/>
          <w:sz w:val="22"/>
          <w:szCs w:val="22"/>
          <w:lang w:val="es-CO" w:eastAsia="es-CO"/>
        </w:rPr>
        <w:t xml:space="preserve">. Los ingredientes inertes o no activos son varias clases de sustancias que aunque no tienen efectos sobre las plagas que se quieren controlar, mejoran la acción, evitan la degradación, </w:t>
      </w:r>
      <w:proofErr w:type="spellStart"/>
      <w:r w:rsidRPr="007528E0">
        <w:rPr>
          <w:rFonts w:eastAsia="Calibri" w:cs="Arial"/>
          <w:sz w:val="22"/>
          <w:szCs w:val="22"/>
          <w:lang w:val="es-CO" w:eastAsia="es-CO"/>
        </w:rPr>
        <w:t>etc</w:t>
      </w:r>
      <w:proofErr w:type="spellEnd"/>
      <w:r w:rsidRPr="007528E0">
        <w:rPr>
          <w:rFonts w:eastAsia="Calibri" w:cs="Arial"/>
          <w:sz w:val="22"/>
          <w:szCs w:val="22"/>
          <w:lang w:val="es-CO" w:eastAsia="es-CO"/>
        </w:rPr>
        <w:t xml:space="preserve">, sin embargo, no son necesariamente inocuos y representan un riesgo potencial sobre la salud humana y los ecosistemas. De todos ellos los más importantes, desde el punto de vista toxicológico son lo disolventes, principalmente hidrocarburos que pueden ser agentes o causar la neumonía química por aspiración. Otros ejemplos de ingredientes inertes son: surfactantes, portadores, humectantes, adherentes, </w:t>
      </w:r>
      <w:proofErr w:type="spellStart"/>
      <w:r w:rsidRPr="007528E0">
        <w:rPr>
          <w:rFonts w:eastAsia="Calibri" w:cs="Arial"/>
          <w:sz w:val="22"/>
          <w:szCs w:val="22"/>
          <w:lang w:val="es-CO" w:eastAsia="es-CO"/>
        </w:rPr>
        <w:t>odorizantes</w:t>
      </w:r>
      <w:proofErr w:type="spellEnd"/>
      <w:r w:rsidRPr="007528E0">
        <w:rPr>
          <w:rFonts w:eastAsia="Calibri" w:cs="Arial"/>
          <w:sz w:val="22"/>
          <w:szCs w:val="22"/>
          <w:lang w:val="es-CO" w:eastAsia="es-CO"/>
        </w:rPr>
        <w:t>, emetizantes, colorantes y conservantes.</w:t>
      </w:r>
    </w:p>
    <w:p w14:paraId="5F745642" w14:textId="77777777" w:rsidR="0037398A" w:rsidRPr="007528E0" w:rsidRDefault="0037398A" w:rsidP="0037398A">
      <w:pPr>
        <w:spacing w:before="100" w:beforeAutospacing="1" w:after="100" w:afterAutospacing="1"/>
        <w:rPr>
          <w:rFonts w:eastAsia="Calibri" w:cs="Arial"/>
          <w:sz w:val="22"/>
          <w:szCs w:val="22"/>
          <w:lang w:val="es-CO" w:eastAsia="es-CO"/>
        </w:rPr>
      </w:pPr>
      <w:r w:rsidRPr="007528E0">
        <w:rPr>
          <w:rFonts w:eastAsia="Calibri" w:cs="Arial"/>
          <w:sz w:val="22"/>
          <w:szCs w:val="22"/>
          <w:lang w:val="es-CO" w:eastAsia="es-CO"/>
        </w:rPr>
        <w:lastRenderedPageBreak/>
        <w:t xml:space="preserve">El sinergismo o potenciación es el efecto que se produce cuando son coadministradas sustancias químicas incrementando su toxicidad; un ejemplo de sinergismo se presenta en la formulaciones que utilizan piretroides asociados a inhibidores de colinesterasa </w:t>
      </w:r>
      <w:r w:rsidRPr="007528E0">
        <w:rPr>
          <w:rFonts w:eastAsia="Calibri" w:cs="Arial"/>
          <w:sz w:val="22"/>
          <w:szCs w:val="22"/>
          <w:lang w:val="es-CO" w:eastAsia="es-CO"/>
        </w:rPr>
        <w:fldChar w:fldCharType="begin" w:fldLock="1"/>
      </w:r>
      <w:r w:rsidRPr="007528E0">
        <w:rPr>
          <w:rFonts w:eastAsia="Calibri" w:cs="Arial"/>
          <w:sz w:val="22"/>
          <w:szCs w:val="22"/>
          <w:lang w:val="es-CO" w:eastAsia="es-CO"/>
        </w:rPr>
        <w:instrText>ADDIN CSL_CITATION { "citationItems" : [ { "id" : "ITEM-1", "itemData" : { "author" : [ { "dropping-particle" : "", "family" : "Adriana Zamora Suarez", "given" : "MD", "non-dropping-particle" : "", "parse-names" : false, "suffix" : "" } ], "editor" : [ { "dropping-particle" : "", "family" : "Distribuna", "given" : "Editorial", "non-dropping-particle" : "", "parse-names" : false, "suffix" : "" } ], "id" : "ITEM-1", "issued" : { "date-parts" : [ [ "2014" ] ] }, "number-of-pages" : "3-5", "title" : "Intoxicaciones en la practica clinica", "type" : "book" }, "uris" : [ "http://www.mendeley.com/documents/?uuid=dab63e2e-2c1a-41eb-8bca-65988c1d6830" ] } ], "mendeley" : { "formattedCitation" : "(22)", "plainTextFormattedCitation" : "(22)", "previouslyFormattedCitation" : "(22)" }, "properties" : { "noteIndex" : 0 }, "schema" : "https://github.com/citation-style-language/schema/raw/master/csl-citation.json" }</w:instrText>
      </w:r>
      <w:r w:rsidRPr="007528E0">
        <w:rPr>
          <w:rFonts w:eastAsia="Calibri" w:cs="Arial"/>
          <w:sz w:val="22"/>
          <w:szCs w:val="22"/>
          <w:lang w:val="es-CO" w:eastAsia="es-CO"/>
        </w:rPr>
        <w:fldChar w:fldCharType="separate"/>
      </w:r>
      <w:r w:rsidRPr="007528E0">
        <w:rPr>
          <w:rFonts w:eastAsia="Calibri" w:cs="Arial"/>
          <w:noProof/>
          <w:sz w:val="22"/>
          <w:szCs w:val="22"/>
          <w:lang w:val="es-CO" w:eastAsia="es-CO"/>
        </w:rPr>
        <w:t>(22)</w:t>
      </w:r>
      <w:r w:rsidRPr="007528E0">
        <w:rPr>
          <w:rFonts w:eastAsia="Calibri" w:cs="Arial"/>
          <w:sz w:val="22"/>
          <w:szCs w:val="22"/>
          <w:lang w:val="es-CO" w:eastAsia="es-CO"/>
        </w:rPr>
        <w:fldChar w:fldCharType="end"/>
      </w:r>
      <w:r w:rsidRPr="007528E0">
        <w:rPr>
          <w:rFonts w:eastAsia="Calibri" w:cs="Arial"/>
          <w:sz w:val="22"/>
          <w:szCs w:val="22"/>
          <w:lang w:val="es-CO" w:eastAsia="es-CO"/>
        </w:rPr>
        <w:t xml:space="preserve">. </w:t>
      </w:r>
    </w:p>
    <w:p w14:paraId="0D1E0D0D" w14:textId="77777777" w:rsidR="0037398A" w:rsidRPr="007528E0" w:rsidRDefault="0037398A" w:rsidP="0037398A">
      <w:pPr>
        <w:spacing w:before="100" w:beforeAutospacing="1" w:after="100" w:afterAutospacing="1"/>
        <w:rPr>
          <w:rFonts w:cs="Arial"/>
          <w:sz w:val="22"/>
          <w:szCs w:val="22"/>
        </w:rPr>
      </w:pPr>
      <w:r w:rsidRPr="007528E0">
        <w:rPr>
          <w:rFonts w:cs="Arial"/>
          <w:sz w:val="22"/>
          <w:szCs w:val="22"/>
        </w:rPr>
        <w:t xml:space="preserve">La intoxicación aguda por plaguicidas es cualquier enfermedad, manifestación o efecto que se produce dentro de las 48 horas posteriores a la exposición a un plaguicida. Los plaguicidas anticoagulantes son la excepción ya que las alteraciones de laboratorio o los síntomas pueden aparecer después de este tiempo. Las intoxicaciones pueden ser de origen ocupacional, accidental, homicida o suicida </w:t>
      </w:r>
      <w:r w:rsidRPr="007528E0">
        <w:rPr>
          <w:rFonts w:cs="Arial"/>
          <w:sz w:val="22"/>
          <w:szCs w:val="22"/>
        </w:rPr>
        <w:fldChar w:fldCharType="begin" w:fldLock="1"/>
      </w:r>
      <w:r w:rsidRPr="007528E0">
        <w:rPr>
          <w:rFonts w:cs="Arial"/>
          <w:sz w:val="22"/>
          <w:szCs w:val="22"/>
        </w:rPr>
        <w:instrText>ADDIN CSL_CITATION { "citationItems" : [ { "id" : "ITEM-1", "itemData" : { "author" : [ { "dropping-particle" : "", "family" : "Thundiyil, J., et al.", "given" : "Bulletin of the World Health Organization", "non-dropping-particle" : "", "parse-names" : false, "suffix" : "" } ], "id" : "ITEM-1", "issued" : { "date-parts" : [ [ "2008" ] ] }, "number-of-pages" : "86 p. 205-209", "title" : "Acute pesticide poisoning: a proposed classification tool.", "type" : "report" }, "uris" : [ "http://www.mendeley.com/documents/?uuid=245dea63-6ab6-4803-84f0-a4bf8a8fd359" ] } ], "mendeley" : { "formattedCitation" : "(29)", "plainTextFormattedCitation" : "(29)", "previouslyFormattedCitation" : "(29)" }, "properties" : { "noteIndex" : 0 }, "schema" : "https://github.com/citation-style-language/schema/raw/master/csl-citation.json" }</w:instrText>
      </w:r>
      <w:r w:rsidRPr="007528E0">
        <w:rPr>
          <w:rFonts w:cs="Arial"/>
          <w:sz w:val="22"/>
          <w:szCs w:val="22"/>
        </w:rPr>
        <w:fldChar w:fldCharType="separate"/>
      </w:r>
      <w:r w:rsidRPr="007528E0">
        <w:rPr>
          <w:rFonts w:cs="Arial"/>
          <w:noProof/>
          <w:sz w:val="22"/>
          <w:szCs w:val="22"/>
        </w:rPr>
        <w:t>(29)</w:t>
      </w:r>
      <w:r w:rsidRPr="007528E0">
        <w:rPr>
          <w:rFonts w:cs="Arial"/>
          <w:sz w:val="22"/>
          <w:szCs w:val="22"/>
        </w:rPr>
        <w:fldChar w:fldCharType="end"/>
      </w:r>
      <w:r w:rsidRPr="007528E0">
        <w:rPr>
          <w:rFonts w:cs="Arial"/>
          <w:sz w:val="22"/>
          <w:szCs w:val="22"/>
        </w:rPr>
        <w:t>. Los efectos pueden ser locales (cutáneos u oculares) y/o sistémicos (respiratorios, neurológicos, cardiovasculares, endocrinos, gastrointestinales, renales o alérgicos).</w:t>
      </w:r>
    </w:p>
    <w:p w14:paraId="54E774DA" w14:textId="77777777" w:rsidR="0037398A" w:rsidRPr="007528E0" w:rsidRDefault="0037398A" w:rsidP="0037398A">
      <w:pPr>
        <w:pStyle w:val="Normal1"/>
        <w:spacing w:before="100" w:beforeAutospacing="1" w:after="100" w:afterAutospacing="1"/>
        <w:jc w:val="both"/>
        <w:rPr>
          <w:rFonts w:ascii="Arial" w:eastAsia="MS Mincho" w:hAnsi="Arial" w:cs="Arial"/>
          <w:color w:val="auto"/>
          <w:sz w:val="22"/>
          <w:szCs w:val="22"/>
          <w:lang w:eastAsia="es-ES"/>
        </w:rPr>
      </w:pPr>
      <w:r w:rsidRPr="007528E0">
        <w:rPr>
          <w:rFonts w:ascii="Arial" w:eastAsia="MS Mincho" w:hAnsi="Arial" w:cs="Arial"/>
          <w:color w:val="auto"/>
          <w:sz w:val="22"/>
          <w:szCs w:val="22"/>
          <w:lang w:eastAsia="es-ES"/>
        </w:rPr>
        <w:t>Los efectos negativos a la salud producidos por los plaguicidas dependen de:</w:t>
      </w:r>
    </w:p>
    <w:p w14:paraId="4E7AB3D3" w14:textId="77777777" w:rsidR="0037398A" w:rsidRPr="007528E0" w:rsidRDefault="0037398A" w:rsidP="0037398A">
      <w:pPr>
        <w:pStyle w:val="Normal1"/>
        <w:numPr>
          <w:ilvl w:val="0"/>
          <w:numId w:val="5"/>
        </w:numPr>
        <w:spacing w:before="100" w:beforeAutospacing="1" w:after="100" w:afterAutospacing="1"/>
        <w:ind w:left="426"/>
        <w:jc w:val="both"/>
        <w:rPr>
          <w:rFonts w:ascii="Arial" w:eastAsia="MS Mincho" w:hAnsi="Arial" w:cs="Arial"/>
          <w:color w:val="auto"/>
          <w:sz w:val="22"/>
          <w:szCs w:val="22"/>
          <w:lang w:eastAsia="es-ES"/>
        </w:rPr>
      </w:pPr>
      <w:r w:rsidRPr="007528E0">
        <w:rPr>
          <w:rFonts w:ascii="Arial" w:eastAsia="MS Mincho" w:hAnsi="Arial" w:cs="Arial"/>
          <w:color w:val="auto"/>
          <w:sz w:val="22"/>
          <w:szCs w:val="22"/>
          <w:lang w:eastAsia="es-ES"/>
        </w:rPr>
        <w:t>Las propiedades del plaguicida, como su mecanismo de acción, las características físicas de la formulación y la presencia de otros componentes (aditivos, coadyuvantes, surfactantes, emulsificantes).</w:t>
      </w:r>
    </w:p>
    <w:p w14:paraId="54517D51" w14:textId="77777777" w:rsidR="0037398A" w:rsidRPr="007528E0" w:rsidRDefault="0037398A" w:rsidP="0037398A">
      <w:pPr>
        <w:pStyle w:val="Normal1"/>
        <w:numPr>
          <w:ilvl w:val="0"/>
          <w:numId w:val="5"/>
        </w:numPr>
        <w:spacing w:before="100" w:beforeAutospacing="1" w:after="100" w:afterAutospacing="1"/>
        <w:ind w:left="426"/>
        <w:jc w:val="both"/>
        <w:rPr>
          <w:rFonts w:ascii="Arial" w:eastAsia="MS Mincho" w:hAnsi="Arial" w:cs="Arial"/>
          <w:color w:val="auto"/>
          <w:sz w:val="22"/>
          <w:szCs w:val="22"/>
          <w:lang w:eastAsia="es-ES"/>
        </w:rPr>
      </w:pPr>
      <w:r w:rsidRPr="007528E0">
        <w:rPr>
          <w:rFonts w:ascii="Arial" w:eastAsia="MS Mincho" w:hAnsi="Arial" w:cs="Arial"/>
          <w:color w:val="auto"/>
          <w:sz w:val="22"/>
          <w:szCs w:val="22"/>
          <w:lang w:eastAsia="es-ES"/>
        </w:rPr>
        <w:t xml:space="preserve">Las circunstancias de la exposición como dosis (concentración y cantidad), la ruta, la duración y frecuencia de exposición, las condiciones ambientales (temperatura, humedad, equipos de protección personal) y la exposición a otras sustancias (alcohol, otros plaguicidas, medicamentos, drogas de abuso).  </w:t>
      </w:r>
    </w:p>
    <w:p w14:paraId="55417A32" w14:textId="77777777" w:rsidR="0037398A" w:rsidRPr="007528E0" w:rsidRDefault="0037398A" w:rsidP="0037398A">
      <w:pPr>
        <w:pStyle w:val="Normal1"/>
        <w:numPr>
          <w:ilvl w:val="0"/>
          <w:numId w:val="5"/>
        </w:numPr>
        <w:spacing w:before="100" w:beforeAutospacing="1" w:after="100" w:afterAutospacing="1"/>
        <w:ind w:left="426"/>
        <w:jc w:val="both"/>
        <w:rPr>
          <w:rFonts w:ascii="Arial" w:eastAsia="MS Mincho" w:hAnsi="Arial" w:cs="Arial"/>
          <w:color w:val="auto"/>
          <w:sz w:val="22"/>
          <w:szCs w:val="22"/>
          <w:lang w:eastAsia="es-ES"/>
        </w:rPr>
      </w:pPr>
      <w:r w:rsidRPr="007528E0">
        <w:rPr>
          <w:rFonts w:ascii="Arial" w:eastAsia="MS Mincho" w:hAnsi="Arial" w:cs="Arial"/>
          <w:color w:val="auto"/>
          <w:sz w:val="22"/>
          <w:szCs w:val="22"/>
          <w:lang w:eastAsia="es-ES"/>
        </w:rPr>
        <w:t xml:space="preserve">La susceptibilidad individual que se ve influenciada por la edad, sexo, dieta, estado de salud y predisposición genética.  </w:t>
      </w:r>
    </w:p>
    <w:p w14:paraId="4BF9ADF9" w14:textId="77777777" w:rsidR="0037398A" w:rsidRPr="007528E0" w:rsidRDefault="0037398A" w:rsidP="0037398A">
      <w:pPr>
        <w:pStyle w:val="Normal1"/>
        <w:spacing w:before="100" w:beforeAutospacing="1" w:after="100" w:afterAutospacing="1"/>
        <w:jc w:val="both"/>
        <w:rPr>
          <w:rFonts w:ascii="Arial" w:eastAsia="MS Mincho" w:hAnsi="Arial" w:cs="Arial"/>
          <w:color w:val="auto"/>
          <w:sz w:val="22"/>
          <w:szCs w:val="22"/>
          <w:lang w:eastAsia="es-ES"/>
        </w:rPr>
      </w:pPr>
      <w:r w:rsidRPr="007528E0">
        <w:rPr>
          <w:rFonts w:ascii="Arial" w:eastAsia="MS Mincho" w:hAnsi="Arial" w:cs="Arial"/>
          <w:color w:val="auto"/>
          <w:sz w:val="22"/>
          <w:szCs w:val="22"/>
          <w:lang w:eastAsia="es-ES"/>
        </w:rPr>
        <w:t>Las manifestaciones clínicas de una intoxicación variarán en función de la dosis, el mecanismo de acción, ruta y tipo de exposición (aguda o crónica)</w:t>
      </w:r>
      <w:r w:rsidRPr="007528E0">
        <w:rPr>
          <w:rFonts w:ascii="Arial" w:eastAsia="MS Mincho" w:hAnsi="Arial" w:cs="Arial"/>
          <w:color w:val="auto"/>
          <w:sz w:val="22"/>
          <w:szCs w:val="22"/>
          <w:lang w:eastAsia="es-ES"/>
        </w:rPr>
        <w:fldChar w:fldCharType="begin" w:fldLock="1"/>
      </w:r>
      <w:r w:rsidRPr="007528E0">
        <w:rPr>
          <w:rFonts w:ascii="Arial" w:eastAsia="MS Mincho" w:hAnsi="Arial" w:cs="Arial"/>
          <w:color w:val="auto"/>
          <w:sz w:val="22"/>
          <w:szCs w:val="22"/>
          <w:lang w:eastAsia="es-ES"/>
        </w:rPr>
        <w:instrText>ADDIN CSL_CITATION { "citationItems" : [ { "id" : "ITEM-1", "itemData" : { "DOI" : "10.1192/bjp.bp.105.020834.Deaths", "author" : [ { "dropping-particle" : "", "family" : "Bertolote", "given" : "J M", "non-dropping-particle" : "", "parse-names" : false, "suffix" : "" }, { "dropping-particle" : "", "family" : "Fleischmann", "given" : "A", "non-dropping-particle" : "", "parse-names" : false, "suffix" : "" }, { "dropping-particle" : "", "family" : "Eddleston", "given" : "M", "non-dropping-particle" : "", "parse-names" : false, "suffix" : "" }, { "dropping-particle" : "", "family" : "Gunnell", "given" : "D", "non-dropping-particle" : "", "parse-names" : false, "suffix" : "" } ], "id" : "ITEM-1", "issued" : { "date-parts" : [ [ "2008" ] ] }, "page" : "201-203", "title" : "Europe PMC Funders Group Deaths from Pesticide Poisoning", "type" : "article-journal" }, "uris" : [ "http://www.mendeley.com/documents/?uuid=1f6dcc0f-f0c0-4909-a79f-b579350ec896" ] } ], "mendeley" : { "formattedCitation" : "(30)", "plainTextFormattedCitation" : "(30)", "previouslyFormattedCitation" : "(30)" }, "properties" : { "noteIndex" : 0 }, "schema" : "https://github.com/citation-style-language/schema/raw/master/csl-citation.json" }</w:instrText>
      </w:r>
      <w:r w:rsidRPr="007528E0">
        <w:rPr>
          <w:rFonts w:ascii="Arial" w:eastAsia="MS Mincho" w:hAnsi="Arial" w:cs="Arial"/>
          <w:color w:val="auto"/>
          <w:sz w:val="22"/>
          <w:szCs w:val="22"/>
          <w:lang w:eastAsia="es-ES"/>
        </w:rPr>
        <w:fldChar w:fldCharType="separate"/>
      </w:r>
      <w:r w:rsidRPr="007528E0">
        <w:rPr>
          <w:rFonts w:ascii="Arial" w:eastAsia="MS Mincho" w:hAnsi="Arial" w:cs="Arial"/>
          <w:noProof/>
          <w:color w:val="auto"/>
          <w:sz w:val="22"/>
          <w:szCs w:val="22"/>
          <w:lang w:eastAsia="es-ES"/>
        </w:rPr>
        <w:t>(30)</w:t>
      </w:r>
      <w:r w:rsidRPr="007528E0">
        <w:rPr>
          <w:rFonts w:ascii="Arial" w:eastAsia="MS Mincho" w:hAnsi="Arial" w:cs="Arial"/>
          <w:color w:val="auto"/>
          <w:sz w:val="22"/>
          <w:szCs w:val="22"/>
          <w:lang w:eastAsia="es-ES"/>
        </w:rPr>
        <w:fldChar w:fldCharType="end"/>
      </w:r>
      <w:r w:rsidRPr="007528E0">
        <w:rPr>
          <w:rFonts w:ascii="Arial" w:eastAsia="MS Mincho" w:hAnsi="Arial" w:cs="Arial"/>
          <w:color w:val="auto"/>
          <w:sz w:val="22"/>
          <w:szCs w:val="22"/>
          <w:lang w:eastAsia="es-ES"/>
        </w:rPr>
        <w:t>. Para la categoría toxicológica se utilizan las recomendaciones de clasificación de la  OMS</w:t>
      </w:r>
      <w:r w:rsidRPr="007528E0">
        <w:rPr>
          <w:rFonts w:ascii="Arial" w:eastAsia="MS Mincho" w:hAnsi="Arial" w:cs="Arial"/>
          <w:color w:val="auto"/>
          <w:sz w:val="22"/>
          <w:szCs w:val="22"/>
          <w:lang w:eastAsia="es-ES"/>
        </w:rPr>
        <w:fldChar w:fldCharType="begin" w:fldLock="1"/>
      </w:r>
      <w:r w:rsidRPr="007528E0">
        <w:rPr>
          <w:rFonts w:ascii="Arial" w:eastAsia="MS Mincho" w:hAnsi="Arial" w:cs="Arial"/>
          <w:color w:val="auto"/>
          <w:sz w:val="22"/>
          <w:szCs w:val="22"/>
          <w:lang w:eastAsia="es-ES"/>
        </w:rPr>
        <w:instrText>ADDIN CSL_CITATION { "citationItems" : [ { "id" : "ITEM-1", "itemData" : { "author" : [ { "dropping-particle" : "", "family" : "Pan-Germany", "given" : "", "non-dropping-particle" : "", "parse-names" : false, "suffix" : "" } ], "id" : "ITEM-1", "issued" : { "date-parts" : [ [ "2012" ] ] }, "page" : "1-16", "title" : "Pesticide and health hazards. Facts and figures", "type" : "article-journal" }, "uris" : [ "http://www.mendeley.com/documents/?uuid=ee96a0e9-581e-4169-9925-1297b6135b43" ] } ], "mendeley" : { "formattedCitation" : "(31)", "plainTextFormattedCitation" : "(31)", "previouslyFormattedCitation" : "(31)" }, "properties" : { "noteIndex" : 0 }, "schema" : "https://github.com/citation-style-language/schema/raw/master/csl-citation.json" }</w:instrText>
      </w:r>
      <w:r w:rsidRPr="007528E0">
        <w:rPr>
          <w:rFonts w:ascii="Arial" w:eastAsia="MS Mincho" w:hAnsi="Arial" w:cs="Arial"/>
          <w:color w:val="auto"/>
          <w:sz w:val="22"/>
          <w:szCs w:val="22"/>
          <w:lang w:eastAsia="es-ES"/>
        </w:rPr>
        <w:fldChar w:fldCharType="separate"/>
      </w:r>
      <w:r w:rsidRPr="007528E0">
        <w:rPr>
          <w:rFonts w:ascii="Arial" w:eastAsia="MS Mincho" w:hAnsi="Arial" w:cs="Arial"/>
          <w:noProof/>
          <w:color w:val="auto"/>
          <w:sz w:val="22"/>
          <w:szCs w:val="22"/>
          <w:lang w:eastAsia="es-ES"/>
        </w:rPr>
        <w:t>(31)</w:t>
      </w:r>
      <w:r w:rsidRPr="007528E0">
        <w:rPr>
          <w:rFonts w:ascii="Arial" w:eastAsia="MS Mincho" w:hAnsi="Arial" w:cs="Arial"/>
          <w:color w:val="auto"/>
          <w:sz w:val="22"/>
          <w:szCs w:val="22"/>
          <w:lang w:eastAsia="es-ES"/>
        </w:rPr>
        <w:fldChar w:fldCharType="end"/>
      </w:r>
      <w:r w:rsidRPr="007528E0">
        <w:rPr>
          <w:rFonts w:ascii="Arial" w:eastAsia="MS Mincho" w:hAnsi="Arial" w:cs="Arial"/>
          <w:color w:val="auto"/>
          <w:sz w:val="22"/>
          <w:szCs w:val="22"/>
          <w:lang w:eastAsia="es-ES"/>
        </w:rPr>
        <w:t>, el Manual Técnico Andino y el Decreto 1843 de 1991.</w:t>
      </w:r>
    </w:p>
    <w:p w14:paraId="4494132E" w14:textId="77777777" w:rsidR="0037398A" w:rsidRPr="007528E0" w:rsidRDefault="0037398A" w:rsidP="0037398A">
      <w:pPr>
        <w:pStyle w:val="Normal1"/>
        <w:spacing w:before="100" w:beforeAutospacing="1" w:after="100" w:afterAutospacing="1"/>
        <w:jc w:val="both"/>
        <w:rPr>
          <w:rFonts w:ascii="Arial" w:hAnsi="Arial" w:cs="Arial"/>
          <w:color w:val="auto"/>
          <w:sz w:val="22"/>
          <w:szCs w:val="22"/>
        </w:rPr>
      </w:pPr>
      <w:r w:rsidRPr="007528E0">
        <w:rPr>
          <w:rFonts w:ascii="Arial" w:eastAsia="Calibri" w:hAnsi="Arial" w:cs="Arial"/>
          <w:color w:val="auto"/>
          <w:sz w:val="22"/>
          <w:szCs w:val="22"/>
        </w:rPr>
        <w:t>Los plaguicidas pueden ser clasificados según su toxicidad (</w:t>
      </w:r>
      <w:r w:rsidRPr="007528E0">
        <w:rPr>
          <w:rFonts w:ascii="Arial" w:eastAsia="Calibri" w:hAnsi="Arial" w:cs="Arial"/>
          <w:bCs/>
          <w:color w:val="auto"/>
          <w:sz w:val="22"/>
          <w:szCs w:val="22"/>
        </w:rPr>
        <w:t>Tabla 2</w:t>
      </w:r>
      <w:r w:rsidRPr="007528E0">
        <w:rPr>
          <w:rFonts w:ascii="Arial" w:eastAsia="Calibri" w:hAnsi="Arial" w:cs="Arial"/>
          <w:color w:val="auto"/>
          <w:sz w:val="22"/>
          <w:szCs w:val="22"/>
        </w:rPr>
        <w:t>), la plaga a la que controlan, su ámbito de aplicación (agrícola, doméstico, salud pública, industrial) y la familia química a la que pertenecen (</w:t>
      </w:r>
      <w:r w:rsidRPr="007528E0">
        <w:rPr>
          <w:rFonts w:ascii="Arial" w:eastAsia="Calibri" w:hAnsi="Arial" w:cs="Arial"/>
          <w:bCs/>
          <w:color w:val="auto"/>
          <w:sz w:val="22"/>
          <w:szCs w:val="22"/>
        </w:rPr>
        <w:t>Tabla 3</w:t>
      </w:r>
      <w:r w:rsidRPr="007528E0">
        <w:rPr>
          <w:rFonts w:ascii="Arial" w:eastAsia="Calibri" w:hAnsi="Arial" w:cs="Arial"/>
          <w:color w:val="auto"/>
          <w:sz w:val="22"/>
          <w:szCs w:val="22"/>
        </w:rPr>
        <w:t xml:space="preserve">). </w:t>
      </w:r>
    </w:p>
    <w:p w14:paraId="7FB0B0DC" w14:textId="77777777" w:rsidR="0037398A" w:rsidRPr="007528E0" w:rsidRDefault="0037398A" w:rsidP="0037398A">
      <w:pPr>
        <w:pStyle w:val="Descripcin"/>
        <w:keepNext/>
        <w:spacing w:before="100" w:beforeAutospacing="1" w:after="100" w:afterAutospacing="1"/>
        <w:jc w:val="center"/>
        <w:rPr>
          <w:rFonts w:cs="Arial"/>
          <w:color w:val="auto"/>
          <w:sz w:val="22"/>
          <w:szCs w:val="22"/>
        </w:rPr>
      </w:pPr>
      <w:bookmarkStart w:id="12" w:name="_Toc505456248"/>
      <w:r w:rsidRPr="007528E0">
        <w:rPr>
          <w:rFonts w:cs="Arial"/>
          <w:b/>
          <w:color w:val="auto"/>
          <w:sz w:val="22"/>
          <w:szCs w:val="22"/>
        </w:rPr>
        <w:t xml:space="preserve">Tabla </w:t>
      </w:r>
      <w:r w:rsidRPr="007528E0">
        <w:rPr>
          <w:rFonts w:cs="Arial"/>
          <w:b/>
          <w:color w:val="auto"/>
          <w:sz w:val="22"/>
          <w:szCs w:val="22"/>
        </w:rPr>
        <w:fldChar w:fldCharType="begin"/>
      </w:r>
      <w:r w:rsidRPr="007528E0">
        <w:rPr>
          <w:rFonts w:cs="Arial"/>
          <w:b/>
          <w:color w:val="auto"/>
          <w:sz w:val="22"/>
          <w:szCs w:val="22"/>
        </w:rPr>
        <w:instrText xml:space="preserve"> SEQ Tabla \* ARABIC </w:instrText>
      </w:r>
      <w:r w:rsidRPr="007528E0">
        <w:rPr>
          <w:rFonts w:cs="Arial"/>
          <w:b/>
          <w:color w:val="auto"/>
          <w:sz w:val="22"/>
          <w:szCs w:val="22"/>
        </w:rPr>
        <w:fldChar w:fldCharType="separate"/>
      </w:r>
      <w:r w:rsidRPr="007528E0">
        <w:rPr>
          <w:rFonts w:cs="Arial"/>
          <w:b/>
          <w:noProof/>
          <w:color w:val="auto"/>
          <w:sz w:val="22"/>
          <w:szCs w:val="22"/>
        </w:rPr>
        <w:t>2</w:t>
      </w:r>
      <w:r w:rsidRPr="007528E0">
        <w:rPr>
          <w:rFonts w:cs="Arial"/>
          <w:b/>
          <w:color w:val="auto"/>
          <w:sz w:val="22"/>
          <w:szCs w:val="22"/>
        </w:rPr>
        <w:fldChar w:fldCharType="end"/>
      </w:r>
      <w:r w:rsidRPr="007528E0">
        <w:rPr>
          <w:rFonts w:cs="Arial"/>
          <w:b/>
          <w:color w:val="auto"/>
          <w:sz w:val="22"/>
          <w:szCs w:val="22"/>
        </w:rPr>
        <w:t>.</w:t>
      </w:r>
      <w:r w:rsidRPr="007528E0">
        <w:rPr>
          <w:rFonts w:cs="Arial"/>
          <w:color w:val="auto"/>
          <w:sz w:val="22"/>
          <w:szCs w:val="22"/>
        </w:rPr>
        <w:t xml:space="preserve"> Clasificación de los plaguicidas según categoría toxicológica</w:t>
      </w:r>
      <w:bookmarkEnd w:id="12"/>
    </w:p>
    <w:tbl>
      <w:tblPr>
        <w:tblW w:w="49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7"/>
        <w:gridCol w:w="2210"/>
        <w:gridCol w:w="1982"/>
        <w:gridCol w:w="2977"/>
      </w:tblGrid>
      <w:tr w:rsidR="007528E0" w:rsidRPr="007528E0" w14:paraId="5733CDD7" w14:textId="77777777" w:rsidTr="007528E0">
        <w:tc>
          <w:tcPr>
            <w:tcW w:w="2213" w:type="pct"/>
            <w:gridSpan w:val="2"/>
            <w:vAlign w:val="center"/>
          </w:tcPr>
          <w:p w14:paraId="387DF05E" w14:textId="77777777" w:rsidR="0037398A" w:rsidRPr="007528E0" w:rsidRDefault="0037398A" w:rsidP="007528E0">
            <w:pPr>
              <w:spacing w:before="100" w:beforeAutospacing="1" w:after="100" w:afterAutospacing="1"/>
              <w:jc w:val="center"/>
              <w:rPr>
                <w:rFonts w:eastAsia="Calibri" w:cs="Arial"/>
                <w:b/>
                <w:sz w:val="20"/>
                <w:szCs w:val="20"/>
                <w:lang w:val="es-CO"/>
              </w:rPr>
            </w:pPr>
            <w:r w:rsidRPr="007528E0">
              <w:rPr>
                <w:rFonts w:eastAsia="Calibri" w:cs="Arial"/>
                <w:b/>
                <w:sz w:val="20"/>
                <w:szCs w:val="20"/>
                <w:lang w:val="es-CO"/>
              </w:rPr>
              <w:t>Decreto 1843 de 1991</w:t>
            </w:r>
          </w:p>
        </w:tc>
        <w:tc>
          <w:tcPr>
            <w:tcW w:w="2787" w:type="pct"/>
            <w:gridSpan w:val="2"/>
            <w:vAlign w:val="center"/>
          </w:tcPr>
          <w:p w14:paraId="527B1725" w14:textId="77777777" w:rsidR="0037398A" w:rsidRPr="007528E0" w:rsidRDefault="0037398A" w:rsidP="007528E0">
            <w:pPr>
              <w:spacing w:before="100" w:beforeAutospacing="1" w:after="100" w:afterAutospacing="1"/>
              <w:jc w:val="center"/>
              <w:rPr>
                <w:rFonts w:eastAsia="Calibri" w:cs="Arial"/>
                <w:b/>
                <w:sz w:val="20"/>
                <w:szCs w:val="20"/>
                <w:lang w:val="es-CO"/>
              </w:rPr>
            </w:pPr>
            <w:r w:rsidRPr="007528E0">
              <w:rPr>
                <w:rFonts w:eastAsia="Calibri" w:cs="Arial"/>
                <w:b/>
                <w:sz w:val="20"/>
                <w:szCs w:val="20"/>
                <w:lang w:val="es-CO"/>
              </w:rPr>
              <w:t>Clasificación OMS (Norma Andina)</w:t>
            </w:r>
          </w:p>
        </w:tc>
      </w:tr>
      <w:tr w:rsidR="007528E0" w:rsidRPr="007528E0" w14:paraId="1F43F983" w14:textId="77777777" w:rsidTr="007528E0">
        <w:tc>
          <w:tcPr>
            <w:tcW w:w="971" w:type="pct"/>
            <w:vAlign w:val="center"/>
          </w:tcPr>
          <w:p w14:paraId="796CA46B" w14:textId="77777777" w:rsidR="0037398A" w:rsidRPr="007528E0" w:rsidRDefault="0037398A" w:rsidP="007528E0">
            <w:pPr>
              <w:spacing w:before="100" w:beforeAutospacing="1" w:after="100" w:afterAutospacing="1"/>
              <w:jc w:val="center"/>
              <w:rPr>
                <w:rFonts w:eastAsia="Calibri" w:cs="Arial"/>
                <w:b/>
                <w:sz w:val="20"/>
                <w:szCs w:val="20"/>
                <w:lang w:val="es-CO"/>
              </w:rPr>
            </w:pPr>
            <w:r w:rsidRPr="007528E0">
              <w:rPr>
                <w:rFonts w:eastAsia="Calibri" w:cs="Arial"/>
                <w:b/>
                <w:sz w:val="20"/>
                <w:szCs w:val="20"/>
                <w:lang w:val="es-CO"/>
              </w:rPr>
              <w:t>Categorías (bandas de color)</w:t>
            </w:r>
          </w:p>
        </w:tc>
        <w:tc>
          <w:tcPr>
            <w:tcW w:w="1242" w:type="pct"/>
            <w:vAlign w:val="center"/>
          </w:tcPr>
          <w:p w14:paraId="57EC8B9D" w14:textId="77777777" w:rsidR="0037398A" w:rsidRPr="007528E0" w:rsidRDefault="0037398A" w:rsidP="007528E0">
            <w:pPr>
              <w:spacing w:before="100" w:beforeAutospacing="1" w:after="100" w:afterAutospacing="1"/>
              <w:jc w:val="center"/>
              <w:rPr>
                <w:rFonts w:eastAsia="Calibri" w:cs="Arial"/>
                <w:b/>
                <w:sz w:val="20"/>
                <w:szCs w:val="20"/>
                <w:lang w:val="es-CO"/>
              </w:rPr>
            </w:pPr>
            <w:r w:rsidRPr="007528E0">
              <w:rPr>
                <w:rFonts w:eastAsia="Calibri" w:cs="Arial"/>
                <w:b/>
                <w:sz w:val="20"/>
                <w:szCs w:val="20"/>
                <w:lang w:val="es-CO"/>
              </w:rPr>
              <w:t>Definición</w:t>
            </w:r>
          </w:p>
        </w:tc>
        <w:tc>
          <w:tcPr>
            <w:tcW w:w="1114" w:type="pct"/>
            <w:vAlign w:val="center"/>
          </w:tcPr>
          <w:p w14:paraId="28B4F1DC" w14:textId="77777777" w:rsidR="0037398A" w:rsidRPr="007528E0" w:rsidRDefault="0037398A" w:rsidP="007528E0">
            <w:pPr>
              <w:spacing w:before="100" w:beforeAutospacing="1" w:after="100" w:afterAutospacing="1"/>
              <w:jc w:val="center"/>
              <w:rPr>
                <w:rFonts w:eastAsia="Calibri" w:cs="Arial"/>
                <w:b/>
                <w:sz w:val="20"/>
                <w:szCs w:val="20"/>
                <w:lang w:val="es-CO"/>
              </w:rPr>
            </w:pPr>
            <w:r w:rsidRPr="007528E0">
              <w:rPr>
                <w:rFonts w:eastAsia="Calibri" w:cs="Arial"/>
                <w:b/>
                <w:sz w:val="20"/>
                <w:szCs w:val="20"/>
                <w:lang w:val="es-CO"/>
              </w:rPr>
              <w:t>Categorías (bandas de color)</w:t>
            </w:r>
          </w:p>
        </w:tc>
        <w:tc>
          <w:tcPr>
            <w:tcW w:w="1673" w:type="pct"/>
            <w:vAlign w:val="center"/>
          </w:tcPr>
          <w:p w14:paraId="40AF4702" w14:textId="77777777" w:rsidR="0037398A" w:rsidRPr="007528E0" w:rsidRDefault="0037398A" w:rsidP="007528E0">
            <w:pPr>
              <w:spacing w:before="100" w:beforeAutospacing="1" w:after="100" w:afterAutospacing="1"/>
              <w:jc w:val="center"/>
              <w:rPr>
                <w:rFonts w:eastAsia="Calibri" w:cs="Arial"/>
                <w:b/>
                <w:sz w:val="20"/>
                <w:szCs w:val="20"/>
                <w:lang w:val="es-CO"/>
              </w:rPr>
            </w:pPr>
            <w:r w:rsidRPr="007528E0">
              <w:rPr>
                <w:rFonts w:eastAsia="Calibri" w:cs="Arial"/>
                <w:b/>
                <w:sz w:val="20"/>
                <w:szCs w:val="20"/>
                <w:lang w:val="es-CO"/>
              </w:rPr>
              <w:t>Definición</w:t>
            </w:r>
          </w:p>
        </w:tc>
      </w:tr>
      <w:tr w:rsidR="007528E0" w:rsidRPr="007528E0" w14:paraId="780C5725" w14:textId="77777777" w:rsidTr="007528E0">
        <w:tc>
          <w:tcPr>
            <w:tcW w:w="971" w:type="pct"/>
            <w:vAlign w:val="center"/>
          </w:tcPr>
          <w:p w14:paraId="0DC7CBA4" w14:textId="77777777" w:rsidR="0037398A" w:rsidRPr="007528E0" w:rsidRDefault="0037398A" w:rsidP="007528E0">
            <w:pPr>
              <w:spacing w:before="100" w:beforeAutospacing="1" w:after="100" w:afterAutospacing="1"/>
              <w:jc w:val="center"/>
              <w:rPr>
                <w:rFonts w:eastAsia="Calibri" w:cs="Arial"/>
                <w:sz w:val="20"/>
                <w:szCs w:val="20"/>
                <w:lang w:val="es-CO"/>
              </w:rPr>
            </w:pPr>
            <w:r w:rsidRPr="007528E0">
              <w:rPr>
                <w:rFonts w:eastAsia="Calibri" w:cs="Arial"/>
                <w:sz w:val="20"/>
                <w:szCs w:val="20"/>
                <w:lang w:val="es-CO"/>
              </w:rPr>
              <w:t xml:space="preserve">I </w:t>
            </w:r>
          </w:p>
          <w:p w14:paraId="44DC1D22" w14:textId="77777777" w:rsidR="0037398A" w:rsidRPr="007528E0" w:rsidRDefault="0037398A" w:rsidP="007528E0">
            <w:pPr>
              <w:spacing w:before="100" w:beforeAutospacing="1" w:after="100" w:afterAutospacing="1"/>
              <w:jc w:val="center"/>
              <w:rPr>
                <w:rFonts w:eastAsia="Calibri" w:cs="Arial"/>
                <w:sz w:val="20"/>
                <w:szCs w:val="20"/>
                <w:lang w:val="es-CO"/>
              </w:rPr>
            </w:pPr>
            <w:r w:rsidRPr="007528E0">
              <w:rPr>
                <w:rFonts w:eastAsia="Calibri" w:cs="Arial"/>
                <w:sz w:val="20"/>
                <w:szCs w:val="20"/>
                <w:lang w:val="es-CO"/>
              </w:rPr>
              <w:t>(roja)</w:t>
            </w:r>
          </w:p>
        </w:tc>
        <w:tc>
          <w:tcPr>
            <w:tcW w:w="1242" w:type="pct"/>
            <w:vAlign w:val="center"/>
          </w:tcPr>
          <w:p w14:paraId="4B5670ED" w14:textId="77777777" w:rsidR="0037398A" w:rsidRPr="007528E0" w:rsidRDefault="0037398A" w:rsidP="007528E0">
            <w:pPr>
              <w:spacing w:before="100" w:beforeAutospacing="1" w:after="100" w:afterAutospacing="1"/>
              <w:rPr>
                <w:rFonts w:eastAsia="Calibri" w:cs="Arial"/>
                <w:sz w:val="20"/>
                <w:szCs w:val="20"/>
                <w:lang w:val="es-CO"/>
              </w:rPr>
            </w:pPr>
            <w:r w:rsidRPr="007528E0">
              <w:rPr>
                <w:rFonts w:eastAsia="Calibri" w:cs="Arial"/>
                <w:sz w:val="20"/>
                <w:szCs w:val="20"/>
                <w:lang w:val="es-CO"/>
              </w:rPr>
              <w:t>Extremadamente tóxicos</w:t>
            </w:r>
          </w:p>
        </w:tc>
        <w:tc>
          <w:tcPr>
            <w:tcW w:w="1114" w:type="pct"/>
            <w:vAlign w:val="center"/>
          </w:tcPr>
          <w:p w14:paraId="4E370A31" w14:textId="77777777" w:rsidR="0037398A" w:rsidRPr="007528E0" w:rsidRDefault="0037398A" w:rsidP="007528E0">
            <w:pPr>
              <w:spacing w:before="100" w:beforeAutospacing="1" w:after="100" w:afterAutospacing="1"/>
              <w:jc w:val="center"/>
              <w:rPr>
                <w:rFonts w:eastAsia="Calibri" w:cs="Arial"/>
                <w:sz w:val="20"/>
                <w:szCs w:val="20"/>
                <w:lang w:val="es-CO"/>
              </w:rPr>
            </w:pPr>
            <w:proofErr w:type="spellStart"/>
            <w:r w:rsidRPr="007528E0">
              <w:rPr>
                <w:rFonts w:eastAsia="Calibri" w:cs="Arial"/>
                <w:sz w:val="20"/>
                <w:szCs w:val="20"/>
                <w:lang w:val="es-CO"/>
              </w:rPr>
              <w:t>Ia</w:t>
            </w:r>
            <w:proofErr w:type="spellEnd"/>
          </w:p>
          <w:p w14:paraId="308EC854" w14:textId="77777777" w:rsidR="0037398A" w:rsidRPr="007528E0" w:rsidRDefault="0037398A" w:rsidP="007528E0">
            <w:pPr>
              <w:spacing w:before="100" w:beforeAutospacing="1" w:after="100" w:afterAutospacing="1"/>
              <w:jc w:val="center"/>
              <w:rPr>
                <w:rFonts w:eastAsia="Calibri" w:cs="Arial"/>
                <w:sz w:val="20"/>
                <w:szCs w:val="20"/>
                <w:lang w:val="es-CO"/>
              </w:rPr>
            </w:pPr>
            <w:r w:rsidRPr="007528E0">
              <w:rPr>
                <w:rFonts w:eastAsia="Calibri" w:cs="Arial"/>
                <w:sz w:val="20"/>
                <w:szCs w:val="20"/>
                <w:lang w:val="es-CO"/>
              </w:rPr>
              <w:t>(roja)</w:t>
            </w:r>
          </w:p>
        </w:tc>
        <w:tc>
          <w:tcPr>
            <w:tcW w:w="1673" w:type="pct"/>
            <w:vAlign w:val="center"/>
          </w:tcPr>
          <w:p w14:paraId="70A7FFC7" w14:textId="77777777" w:rsidR="0037398A" w:rsidRPr="007528E0" w:rsidRDefault="0037398A" w:rsidP="007528E0">
            <w:pPr>
              <w:spacing w:before="100" w:beforeAutospacing="1" w:after="100" w:afterAutospacing="1"/>
              <w:rPr>
                <w:rFonts w:eastAsia="Calibri" w:cs="Arial"/>
                <w:sz w:val="20"/>
                <w:szCs w:val="20"/>
                <w:lang w:val="es-CO"/>
              </w:rPr>
            </w:pPr>
            <w:r w:rsidRPr="007528E0">
              <w:rPr>
                <w:rFonts w:eastAsia="Calibri" w:cs="Arial"/>
                <w:sz w:val="20"/>
                <w:szCs w:val="20"/>
                <w:lang w:val="es-CO"/>
              </w:rPr>
              <w:t>Extremadamente peligroso</w:t>
            </w:r>
          </w:p>
        </w:tc>
      </w:tr>
      <w:tr w:rsidR="007528E0" w:rsidRPr="007528E0" w14:paraId="27199355" w14:textId="77777777" w:rsidTr="007528E0">
        <w:tc>
          <w:tcPr>
            <w:tcW w:w="971" w:type="pct"/>
            <w:vAlign w:val="center"/>
          </w:tcPr>
          <w:p w14:paraId="0C782F57" w14:textId="77777777" w:rsidR="0037398A" w:rsidRPr="007528E0" w:rsidRDefault="0037398A" w:rsidP="007528E0">
            <w:pPr>
              <w:spacing w:before="100" w:beforeAutospacing="1" w:after="100" w:afterAutospacing="1"/>
              <w:jc w:val="center"/>
              <w:rPr>
                <w:rFonts w:eastAsia="Calibri" w:cs="Arial"/>
                <w:sz w:val="20"/>
                <w:szCs w:val="20"/>
                <w:lang w:val="es-CO"/>
              </w:rPr>
            </w:pPr>
            <w:r w:rsidRPr="007528E0">
              <w:rPr>
                <w:rFonts w:eastAsia="Calibri" w:cs="Arial"/>
                <w:sz w:val="20"/>
                <w:szCs w:val="20"/>
                <w:lang w:val="es-CO"/>
              </w:rPr>
              <w:lastRenderedPageBreak/>
              <w:t xml:space="preserve">II </w:t>
            </w:r>
          </w:p>
          <w:p w14:paraId="79BCCAAF" w14:textId="77777777" w:rsidR="0037398A" w:rsidRPr="007528E0" w:rsidRDefault="0037398A" w:rsidP="007528E0">
            <w:pPr>
              <w:spacing w:before="100" w:beforeAutospacing="1" w:after="100" w:afterAutospacing="1"/>
              <w:jc w:val="center"/>
              <w:rPr>
                <w:rFonts w:eastAsia="Calibri" w:cs="Arial"/>
                <w:sz w:val="20"/>
                <w:szCs w:val="20"/>
                <w:lang w:val="es-CO"/>
              </w:rPr>
            </w:pPr>
            <w:r w:rsidRPr="007528E0">
              <w:rPr>
                <w:rFonts w:eastAsia="Calibri" w:cs="Arial"/>
                <w:sz w:val="20"/>
                <w:szCs w:val="20"/>
                <w:lang w:val="es-CO"/>
              </w:rPr>
              <w:t>(amarilla)</w:t>
            </w:r>
          </w:p>
        </w:tc>
        <w:tc>
          <w:tcPr>
            <w:tcW w:w="1242" w:type="pct"/>
            <w:vAlign w:val="center"/>
          </w:tcPr>
          <w:p w14:paraId="5AB8909C" w14:textId="77777777" w:rsidR="0037398A" w:rsidRPr="007528E0" w:rsidRDefault="0037398A" w:rsidP="007528E0">
            <w:pPr>
              <w:spacing w:before="100" w:beforeAutospacing="1" w:after="100" w:afterAutospacing="1"/>
              <w:rPr>
                <w:rFonts w:eastAsia="Calibri" w:cs="Arial"/>
                <w:sz w:val="20"/>
                <w:szCs w:val="20"/>
                <w:lang w:val="es-CO"/>
              </w:rPr>
            </w:pPr>
            <w:r w:rsidRPr="007528E0">
              <w:rPr>
                <w:rFonts w:eastAsia="Calibri" w:cs="Arial"/>
                <w:sz w:val="20"/>
                <w:szCs w:val="20"/>
                <w:lang w:val="es-CO"/>
              </w:rPr>
              <w:t>Altamente tóxicos</w:t>
            </w:r>
          </w:p>
        </w:tc>
        <w:tc>
          <w:tcPr>
            <w:tcW w:w="1114" w:type="pct"/>
            <w:vAlign w:val="center"/>
          </w:tcPr>
          <w:p w14:paraId="7590A662" w14:textId="77777777" w:rsidR="0037398A" w:rsidRPr="007528E0" w:rsidRDefault="0037398A" w:rsidP="007528E0">
            <w:pPr>
              <w:spacing w:before="100" w:beforeAutospacing="1" w:after="100" w:afterAutospacing="1"/>
              <w:jc w:val="center"/>
              <w:rPr>
                <w:rFonts w:eastAsia="Calibri" w:cs="Arial"/>
                <w:sz w:val="20"/>
                <w:szCs w:val="20"/>
                <w:lang w:val="es-CO"/>
              </w:rPr>
            </w:pPr>
            <w:proofErr w:type="spellStart"/>
            <w:r w:rsidRPr="007528E0">
              <w:rPr>
                <w:rFonts w:eastAsia="Calibri" w:cs="Arial"/>
                <w:sz w:val="20"/>
                <w:szCs w:val="20"/>
                <w:lang w:val="es-CO"/>
              </w:rPr>
              <w:t>Ib</w:t>
            </w:r>
            <w:proofErr w:type="spellEnd"/>
          </w:p>
          <w:p w14:paraId="494BE527" w14:textId="77777777" w:rsidR="0037398A" w:rsidRPr="007528E0" w:rsidRDefault="0037398A" w:rsidP="007528E0">
            <w:pPr>
              <w:spacing w:before="100" w:beforeAutospacing="1" w:after="100" w:afterAutospacing="1"/>
              <w:jc w:val="center"/>
              <w:rPr>
                <w:rFonts w:eastAsia="Calibri" w:cs="Arial"/>
                <w:sz w:val="20"/>
                <w:szCs w:val="20"/>
                <w:lang w:val="es-CO"/>
              </w:rPr>
            </w:pPr>
            <w:r w:rsidRPr="007528E0">
              <w:rPr>
                <w:rFonts w:eastAsia="Calibri" w:cs="Arial"/>
                <w:sz w:val="20"/>
                <w:szCs w:val="20"/>
                <w:lang w:val="es-CO"/>
              </w:rPr>
              <w:t>(roja)</w:t>
            </w:r>
          </w:p>
        </w:tc>
        <w:tc>
          <w:tcPr>
            <w:tcW w:w="1673" w:type="pct"/>
            <w:vAlign w:val="center"/>
          </w:tcPr>
          <w:p w14:paraId="7FA2E434" w14:textId="77777777" w:rsidR="0037398A" w:rsidRPr="007528E0" w:rsidRDefault="0037398A" w:rsidP="007528E0">
            <w:pPr>
              <w:spacing w:before="100" w:beforeAutospacing="1" w:after="100" w:afterAutospacing="1"/>
              <w:rPr>
                <w:rFonts w:eastAsia="Calibri" w:cs="Arial"/>
                <w:sz w:val="20"/>
                <w:szCs w:val="20"/>
                <w:lang w:val="es-CO"/>
              </w:rPr>
            </w:pPr>
            <w:r w:rsidRPr="007528E0">
              <w:rPr>
                <w:rFonts w:eastAsia="Calibri" w:cs="Arial"/>
                <w:sz w:val="20"/>
                <w:szCs w:val="20"/>
                <w:lang w:val="es-CO"/>
              </w:rPr>
              <w:t>Altamente peligroso</w:t>
            </w:r>
          </w:p>
        </w:tc>
      </w:tr>
      <w:tr w:rsidR="007528E0" w:rsidRPr="007528E0" w14:paraId="4BFB7458" w14:textId="77777777" w:rsidTr="007528E0">
        <w:tc>
          <w:tcPr>
            <w:tcW w:w="971" w:type="pct"/>
            <w:vAlign w:val="center"/>
          </w:tcPr>
          <w:p w14:paraId="1B35E1D9" w14:textId="77777777" w:rsidR="0037398A" w:rsidRPr="007528E0" w:rsidRDefault="0037398A" w:rsidP="007528E0">
            <w:pPr>
              <w:spacing w:before="100" w:beforeAutospacing="1" w:after="100" w:afterAutospacing="1"/>
              <w:jc w:val="center"/>
              <w:rPr>
                <w:rFonts w:eastAsia="Calibri" w:cs="Arial"/>
                <w:sz w:val="20"/>
                <w:szCs w:val="20"/>
                <w:lang w:val="es-CO"/>
              </w:rPr>
            </w:pPr>
            <w:r w:rsidRPr="007528E0">
              <w:rPr>
                <w:rFonts w:eastAsia="Calibri" w:cs="Arial"/>
                <w:sz w:val="20"/>
                <w:szCs w:val="20"/>
                <w:lang w:val="es-CO"/>
              </w:rPr>
              <w:t xml:space="preserve">III </w:t>
            </w:r>
          </w:p>
          <w:p w14:paraId="7D25FD9F" w14:textId="77777777" w:rsidR="0037398A" w:rsidRPr="007528E0" w:rsidRDefault="0037398A" w:rsidP="007528E0">
            <w:pPr>
              <w:spacing w:before="100" w:beforeAutospacing="1" w:after="100" w:afterAutospacing="1"/>
              <w:jc w:val="center"/>
              <w:rPr>
                <w:rFonts w:eastAsia="Calibri" w:cs="Arial"/>
                <w:sz w:val="20"/>
                <w:szCs w:val="20"/>
                <w:lang w:val="es-CO"/>
              </w:rPr>
            </w:pPr>
            <w:r w:rsidRPr="007528E0">
              <w:rPr>
                <w:rFonts w:eastAsia="Calibri" w:cs="Arial"/>
                <w:sz w:val="20"/>
                <w:szCs w:val="20"/>
                <w:lang w:val="es-CO"/>
              </w:rPr>
              <w:t>(azul)</w:t>
            </w:r>
          </w:p>
        </w:tc>
        <w:tc>
          <w:tcPr>
            <w:tcW w:w="1242" w:type="pct"/>
            <w:vAlign w:val="center"/>
          </w:tcPr>
          <w:p w14:paraId="357FBB04" w14:textId="77777777" w:rsidR="0037398A" w:rsidRPr="007528E0" w:rsidRDefault="0037398A" w:rsidP="007528E0">
            <w:pPr>
              <w:spacing w:before="100" w:beforeAutospacing="1" w:after="100" w:afterAutospacing="1"/>
              <w:rPr>
                <w:rFonts w:eastAsia="Calibri" w:cs="Arial"/>
                <w:sz w:val="20"/>
                <w:szCs w:val="20"/>
                <w:lang w:val="es-CO"/>
              </w:rPr>
            </w:pPr>
            <w:r w:rsidRPr="007528E0">
              <w:rPr>
                <w:rFonts w:eastAsia="Calibri" w:cs="Arial"/>
                <w:sz w:val="20"/>
                <w:szCs w:val="20"/>
                <w:lang w:val="es-CO"/>
              </w:rPr>
              <w:t>Medianamente tóxicos</w:t>
            </w:r>
          </w:p>
        </w:tc>
        <w:tc>
          <w:tcPr>
            <w:tcW w:w="1114" w:type="pct"/>
            <w:vAlign w:val="center"/>
          </w:tcPr>
          <w:p w14:paraId="003664D8" w14:textId="77777777" w:rsidR="0037398A" w:rsidRPr="007528E0" w:rsidRDefault="0037398A" w:rsidP="007528E0">
            <w:pPr>
              <w:spacing w:before="100" w:beforeAutospacing="1" w:after="100" w:afterAutospacing="1"/>
              <w:jc w:val="center"/>
              <w:rPr>
                <w:rFonts w:eastAsia="Calibri" w:cs="Arial"/>
                <w:sz w:val="20"/>
                <w:szCs w:val="20"/>
                <w:lang w:val="es-CO"/>
              </w:rPr>
            </w:pPr>
            <w:r w:rsidRPr="007528E0">
              <w:rPr>
                <w:rFonts w:eastAsia="Calibri" w:cs="Arial"/>
                <w:sz w:val="20"/>
                <w:szCs w:val="20"/>
                <w:lang w:val="es-CO"/>
              </w:rPr>
              <w:t>II</w:t>
            </w:r>
          </w:p>
          <w:p w14:paraId="41C76485" w14:textId="77777777" w:rsidR="0037398A" w:rsidRPr="007528E0" w:rsidRDefault="0037398A" w:rsidP="007528E0">
            <w:pPr>
              <w:spacing w:before="100" w:beforeAutospacing="1" w:after="100" w:afterAutospacing="1"/>
              <w:jc w:val="center"/>
              <w:rPr>
                <w:rFonts w:eastAsia="Calibri" w:cs="Arial"/>
                <w:sz w:val="20"/>
                <w:szCs w:val="20"/>
                <w:lang w:val="es-CO"/>
              </w:rPr>
            </w:pPr>
            <w:r w:rsidRPr="007528E0">
              <w:rPr>
                <w:rFonts w:eastAsia="Calibri" w:cs="Arial"/>
                <w:sz w:val="20"/>
                <w:szCs w:val="20"/>
                <w:lang w:val="es-CO"/>
              </w:rPr>
              <w:t>(amarilla)</w:t>
            </w:r>
          </w:p>
        </w:tc>
        <w:tc>
          <w:tcPr>
            <w:tcW w:w="1673" w:type="pct"/>
            <w:vAlign w:val="center"/>
          </w:tcPr>
          <w:p w14:paraId="1968290C" w14:textId="77777777" w:rsidR="0037398A" w:rsidRPr="007528E0" w:rsidRDefault="0037398A" w:rsidP="007528E0">
            <w:pPr>
              <w:spacing w:before="100" w:beforeAutospacing="1" w:after="100" w:afterAutospacing="1"/>
              <w:rPr>
                <w:rFonts w:eastAsia="Calibri" w:cs="Arial"/>
                <w:sz w:val="20"/>
                <w:szCs w:val="20"/>
                <w:lang w:val="es-CO"/>
              </w:rPr>
            </w:pPr>
            <w:r w:rsidRPr="007528E0">
              <w:rPr>
                <w:rFonts w:eastAsia="Calibri" w:cs="Arial"/>
                <w:sz w:val="20"/>
                <w:szCs w:val="20"/>
                <w:lang w:val="es-CO"/>
              </w:rPr>
              <w:t>Medianamente peligroso</w:t>
            </w:r>
          </w:p>
        </w:tc>
      </w:tr>
      <w:tr w:rsidR="007528E0" w:rsidRPr="007528E0" w14:paraId="0C5A500C" w14:textId="77777777" w:rsidTr="007528E0">
        <w:tc>
          <w:tcPr>
            <w:tcW w:w="971" w:type="pct"/>
            <w:vAlign w:val="center"/>
          </w:tcPr>
          <w:p w14:paraId="08AB3CA6" w14:textId="77777777" w:rsidR="0037398A" w:rsidRPr="007528E0" w:rsidRDefault="0037398A" w:rsidP="007528E0">
            <w:pPr>
              <w:spacing w:before="100" w:beforeAutospacing="1" w:after="100" w:afterAutospacing="1"/>
              <w:jc w:val="center"/>
              <w:rPr>
                <w:rFonts w:eastAsia="Calibri" w:cs="Arial"/>
                <w:sz w:val="20"/>
                <w:szCs w:val="20"/>
                <w:lang w:val="es-CO"/>
              </w:rPr>
            </w:pPr>
            <w:r w:rsidRPr="007528E0">
              <w:rPr>
                <w:rFonts w:eastAsia="Calibri" w:cs="Arial"/>
                <w:sz w:val="20"/>
                <w:szCs w:val="20"/>
                <w:lang w:val="es-CO"/>
              </w:rPr>
              <w:t xml:space="preserve">IV </w:t>
            </w:r>
          </w:p>
          <w:p w14:paraId="2C425644" w14:textId="77777777" w:rsidR="0037398A" w:rsidRPr="007528E0" w:rsidRDefault="0037398A" w:rsidP="007528E0">
            <w:pPr>
              <w:spacing w:before="100" w:beforeAutospacing="1" w:after="100" w:afterAutospacing="1"/>
              <w:jc w:val="center"/>
              <w:rPr>
                <w:rFonts w:eastAsia="Calibri" w:cs="Arial"/>
                <w:sz w:val="20"/>
                <w:szCs w:val="20"/>
                <w:lang w:val="es-CO"/>
              </w:rPr>
            </w:pPr>
            <w:r w:rsidRPr="007528E0">
              <w:rPr>
                <w:rFonts w:eastAsia="Calibri" w:cs="Arial"/>
                <w:sz w:val="20"/>
                <w:szCs w:val="20"/>
                <w:lang w:val="es-CO"/>
              </w:rPr>
              <w:t>(verde)</w:t>
            </w:r>
          </w:p>
        </w:tc>
        <w:tc>
          <w:tcPr>
            <w:tcW w:w="1242" w:type="pct"/>
            <w:vAlign w:val="center"/>
          </w:tcPr>
          <w:p w14:paraId="07F43DC2" w14:textId="77777777" w:rsidR="0037398A" w:rsidRPr="007528E0" w:rsidRDefault="0037398A" w:rsidP="007528E0">
            <w:pPr>
              <w:spacing w:before="100" w:beforeAutospacing="1" w:after="100" w:afterAutospacing="1"/>
              <w:rPr>
                <w:rFonts w:eastAsia="Calibri" w:cs="Arial"/>
                <w:sz w:val="20"/>
                <w:szCs w:val="20"/>
                <w:lang w:val="es-CO"/>
              </w:rPr>
            </w:pPr>
            <w:r w:rsidRPr="007528E0">
              <w:rPr>
                <w:rFonts w:eastAsia="Calibri" w:cs="Arial"/>
                <w:sz w:val="20"/>
                <w:szCs w:val="20"/>
                <w:lang w:val="es-CO"/>
              </w:rPr>
              <w:t>Ligeramente tóxicos</w:t>
            </w:r>
          </w:p>
        </w:tc>
        <w:tc>
          <w:tcPr>
            <w:tcW w:w="1114" w:type="pct"/>
            <w:vAlign w:val="center"/>
          </w:tcPr>
          <w:p w14:paraId="3FF1E0CB" w14:textId="77777777" w:rsidR="0037398A" w:rsidRPr="007528E0" w:rsidRDefault="0037398A" w:rsidP="007528E0">
            <w:pPr>
              <w:spacing w:before="100" w:beforeAutospacing="1" w:after="100" w:afterAutospacing="1"/>
              <w:jc w:val="center"/>
              <w:rPr>
                <w:rFonts w:eastAsia="Calibri" w:cs="Arial"/>
                <w:sz w:val="20"/>
                <w:szCs w:val="20"/>
                <w:lang w:val="es-CO"/>
              </w:rPr>
            </w:pPr>
            <w:r w:rsidRPr="007528E0">
              <w:rPr>
                <w:rFonts w:eastAsia="Calibri" w:cs="Arial"/>
                <w:sz w:val="20"/>
                <w:szCs w:val="20"/>
                <w:lang w:val="es-CO"/>
              </w:rPr>
              <w:t>III</w:t>
            </w:r>
          </w:p>
          <w:p w14:paraId="3D4990C1" w14:textId="77777777" w:rsidR="0037398A" w:rsidRPr="007528E0" w:rsidRDefault="0037398A" w:rsidP="007528E0">
            <w:pPr>
              <w:spacing w:before="100" w:beforeAutospacing="1" w:after="100" w:afterAutospacing="1"/>
              <w:jc w:val="center"/>
              <w:rPr>
                <w:rFonts w:eastAsia="Calibri" w:cs="Arial"/>
                <w:sz w:val="20"/>
                <w:szCs w:val="20"/>
                <w:lang w:val="es-CO"/>
              </w:rPr>
            </w:pPr>
            <w:r w:rsidRPr="007528E0">
              <w:rPr>
                <w:rFonts w:eastAsia="Calibri" w:cs="Arial"/>
                <w:sz w:val="20"/>
                <w:szCs w:val="20"/>
                <w:lang w:val="es-CO"/>
              </w:rPr>
              <w:t>(azul)</w:t>
            </w:r>
          </w:p>
        </w:tc>
        <w:tc>
          <w:tcPr>
            <w:tcW w:w="1673" w:type="pct"/>
            <w:vAlign w:val="center"/>
          </w:tcPr>
          <w:p w14:paraId="4A43211E" w14:textId="77777777" w:rsidR="0037398A" w:rsidRPr="007528E0" w:rsidRDefault="0037398A" w:rsidP="007528E0">
            <w:pPr>
              <w:spacing w:before="100" w:beforeAutospacing="1" w:after="100" w:afterAutospacing="1"/>
              <w:rPr>
                <w:rFonts w:eastAsia="Calibri" w:cs="Arial"/>
                <w:sz w:val="20"/>
                <w:szCs w:val="20"/>
                <w:lang w:val="es-CO"/>
              </w:rPr>
            </w:pPr>
            <w:r w:rsidRPr="007528E0">
              <w:rPr>
                <w:rFonts w:eastAsia="Calibri" w:cs="Arial"/>
                <w:sz w:val="20"/>
                <w:szCs w:val="20"/>
                <w:lang w:val="es-CO"/>
              </w:rPr>
              <w:t>Ligeramente peligroso</w:t>
            </w:r>
          </w:p>
        </w:tc>
      </w:tr>
    </w:tbl>
    <w:p w14:paraId="7FBD8F28" w14:textId="77777777" w:rsidR="0037398A" w:rsidRPr="007528E0" w:rsidRDefault="0037398A" w:rsidP="0037398A">
      <w:pPr>
        <w:spacing w:before="100" w:beforeAutospacing="1" w:after="100" w:afterAutospacing="1"/>
        <w:jc w:val="center"/>
        <w:rPr>
          <w:rFonts w:eastAsia="Calibri" w:cs="Arial"/>
          <w:sz w:val="16"/>
          <w:szCs w:val="16"/>
          <w:lang w:val="es-CO"/>
        </w:rPr>
      </w:pPr>
      <w:r w:rsidRPr="007528E0">
        <w:rPr>
          <w:rFonts w:eastAsia="Calibri" w:cs="Arial"/>
          <w:sz w:val="16"/>
          <w:szCs w:val="16"/>
          <w:lang w:val="es-CO"/>
        </w:rPr>
        <w:t xml:space="preserve">Fuente: Elaborado a partir de las referencias </w:t>
      </w:r>
      <w:r w:rsidRPr="007528E0">
        <w:rPr>
          <w:rFonts w:eastAsia="Calibri" w:cs="Arial"/>
          <w:sz w:val="16"/>
          <w:szCs w:val="16"/>
          <w:lang w:val="es-CO"/>
        </w:rPr>
        <w:fldChar w:fldCharType="begin" w:fldLock="1"/>
      </w:r>
      <w:r w:rsidRPr="007528E0">
        <w:rPr>
          <w:rFonts w:eastAsia="Calibri" w:cs="Arial"/>
          <w:sz w:val="16"/>
          <w:szCs w:val="16"/>
          <w:lang w:val="es-CO"/>
        </w:rPr>
        <w:instrText>ADDIN CSL_CITATION { "citationItems" : [ { "id" : "ITEM-1", "itemData" : { "author" : [ { "dropping-particle" : "", "family" : "Ministerio de salud. Colombia.", "given" : "", "non-dropping-particle" : "", "parse-names" : false, "suffix" : "" } ], "id" : "ITEM-1", "issued" : { "date-parts" : [ [ "1991" ] ] }, "title" : "Decreto 1843 Por el cual se reglamentan parcialmente los t\u00edtulos III, V, VI, VII y IX de la Ley 09 de 1079, sobre uso y manejo de plaguicidas. 1991.", "type" : "report" }, "uris" : [ "http://www.mendeley.com/documents/?uuid=734c3f0d-eb43-4ddb-ab29-91506e53b616" ] } ], "mendeley" : { "formattedCitation" : "(32)", "plainTextFormattedCitation" : "(32)", "previouslyFormattedCitation" : "(32)" }, "properties" : { "noteIndex" : 0 }, "schema" : "https://github.com/citation-style-language/schema/raw/master/csl-citation.json" }</w:instrText>
      </w:r>
      <w:r w:rsidRPr="007528E0">
        <w:rPr>
          <w:rFonts w:eastAsia="Calibri" w:cs="Arial"/>
          <w:sz w:val="16"/>
          <w:szCs w:val="16"/>
          <w:lang w:val="es-CO"/>
        </w:rPr>
        <w:fldChar w:fldCharType="separate"/>
      </w:r>
      <w:r w:rsidRPr="007528E0">
        <w:rPr>
          <w:rFonts w:eastAsia="Calibri" w:cs="Arial"/>
          <w:noProof/>
          <w:sz w:val="16"/>
          <w:szCs w:val="16"/>
          <w:lang w:val="es-CO"/>
        </w:rPr>
        <w:t>(32)</w:t>
      </w:r>
      <w:r w:rsidRPr="007528E0">
        <w:rPr>
          <w:rFonts w:eastAsia="Calibri" w:cs="Arial"/>
          <w:sz w:val="16"/>
          <w:szCs w:val="16"/>
          <w:lang w:val="es-CO"/>
        </w:rPr>
        <w:fldChar w:fldCharType="end"/>
      </w:r>
      <w:r w:rsidRPr="007528E0">
        <w:rPr>
          <w:rFonts w:eastAsia="Calibri" w:cs="Arial"/>
          <w:sz w:val="16"/>
          <w:szCs w:val="16"/>
          <w:lang w:val="es-CO"/>
        </w:rPr>
        <w:fldChar w:fldCharType="begin" w:fldLock="1"/>
      </w:r>
      <w:r w:rsidRPr="007528E0">
        <w:rPr>
          <w:rFonts w:eastAsia="Calibri" w:cs="Arial"/>
          <w:sz w:val="16"/>
          <w:szCs w:val="16"/>
          <w:lang w:val="es-CO"/>
        </w:rPr>
        <w:instrText>ADDIN CSL_CITATION { "citationItems" : [ { "id" : "ITEM-1", "itemData" : { "author" : [ { "dropping-particle" : "", "family" : "Secretar\u00eda General de la Comunidad Andina.", "given" : "", "non-dropping-particle" : "", "parse-names" : false, "suffix" : "" } ], "id" : "ITEM-1", "issued" : { "date-parts" : [ [ "2002" ] ] }, "title" : "Resoluci\u00f3n 630. Manual T\u00e9cnico Andino para el registro y control de plaguicidas qu\u00edmicos de uso agr\u00edcola", "type" : "report" }, "uris" : [ "http://www.mendeley.com/documents/?uuid=e7c9798b-bc55-4fc8-bf0a-6faa952b3e93" ] } ], "mendeley" : { "formattedCitation" : "(33)", "plainTextFormattedCitation" : "(33)", "previouslyFormattedCitation" : "(33)" }, "properties" : { "noteIndex" : 0 }, "schema" : "https://github.com/citation-style-language/schema/raw/master/csl-citation.json" }</w:instrText>
      </w:r>
      <w:r w:rsidRPr="007528E0">
        <w:rPr>
          <w:rFonts w:eastAsia="Calibri" w:cs="Arial"/>
          <w:sz w:val="16"/>
          <w:szCs w:val="16"/>
          <w:lang w:val="es-CO"/>
        </w:rPr>
        <w:fldChar w:fldCharType="separate"/>
      </w:r>
      <w:r w:rsidRPr="007528E0">
        <w:rPr>
          <w:rFonts w:eastAsia="Calibri" w:cs="Arial"/>
          <w:noProof/>
          <w:sz w:val="16"/>
          <w:szCs w:val="16"/>
          <w:lang w:val="es-CO"/>
        </w:rPr>
        <w:t>(33)</w:t>
      </w:r>
      <w:r w:rsidRPr="007528E0">
        <w:rPr>
          <w:rFonts w:eastAsia="Calibri" w:cs="Arial"/>
          <w:sz w:val="16"/>
          <w:szCs w:val="16"/>
          <w:lang w:val="es-CO"/>
        </w:rPr>
        <w:fldChar w:fldCharType="end"/>
      </w:r>
      <w:r w:rsidRPr="007528E0">
        <w:rPr>
          <w:rFonts w:eastAsia="Calibri" w:cs="Arial"/>
          <w:sz w:val="16"/>
          <w:szCs w:val="16"/>
          <w:lang w:val="es-CO"/>
        </w:rPr>
        <w:fldChar w:fldCharType="begin" w:fldLock="1"/>
      </w:r>
      <w:r w:rsidRPr="007528E0">
        <w:rPr>
          <w:rFonts w:eastAsia="Calibri" w:cs="Arial"/>
          <w:sz w:val="16"/>
          <w:szCs w:val="16"/>
          <w:lang w:val="es-CO"/>
        </w:rPr>
        <w:instrText>ADDIN CSL_CITATION { "citationItems" : [ { "id" : "ITEM-1", "itemData" : { "author" : [ { "dropping-particle" : "", "family" : "Organization, W.H.", "given" : "The WHO", "non-dropping-particle" : "", "parse-names" : false, "suffix" : "" } ], "id" : "ITEM-1", "issued" : { "date-parts" : [ [ "2009" ] ] }, "number-of-pages" : "1 - 78", "title" : "recommended classification of pesticides by hazard and guidelines to classification 2009. WHO Library Cataloguing in Publication Data,", "type" : "report" }, "uris" : [ "http://www.mendeley.com/documents/?uuid=ba3ebe8b-6af1-45d0-9907-1cfc95d94aa1" ] } ], "mendeley" : { "formattedCitation" : "(34)", "plainTextFormattedCitation" : "(34)", "previouslyFormattedCitation" : "(34)" }, "properties" : { "noteIndex" : 0 }, "schema" : "https://github.com/citation-style-language/schema/raw/master/csl-citation.json" }</w:instrText>
      </w:r>
      <w:r w:rsidRPr="007528E0">
        <w:rPr>
          <w:rFonts w:eastAsia="Calibri" w:cs="Arial"/>
          <w:sz w:val="16"/>
          <w:szCs w:val="16"/>
          <w:lang w:val="es-CO"/>
        </w:rPr>
        <w:fldChar w:fldCharType="separate"/>
      </w:r>
      <w:r w:rsidRPr="007528E0">
        <w:rPr>
          <w:rFonts w:eastAsia="Calibri" w:cs="Arial"/>
          <w:noProof/>
          <w:sz w:val="16"/>
          <w:szCs w:val="16"/>
          <w:lang w:val="es-CO"/>
        </w:rPr>
        <w:t>(34)</w:t>
      </w:r>
      <w:r w:rsidRPr="007528E0">
        <w:rPr>
          <w:rFonts w:eastAsia="Calibri" w:cs="Arial"/>
          <w:sz w:val="16"/>
          <w:szCs w:val="16"/>
          <w:lang w:val="es-CO"/>
        </w:rPr>
        <w:fldChar w:fldCharType="end"/>
      </w:r>
      <w:r w:rsidRPr="007528E0">
        <w:rPr>
          <w:rFonts w:eastAsia="Calibri" w:cs="Arial"/>
          <w:sz w:val="16"/>
          <w:szCs w:val="16"/>
          <w:lang w:val="es-CO"/>
        </w:rPr>
        <w:t xml:space="preserve"> </w:t>
      </w:r>
    </w:p>
    <w:p w14:paraId="2629F794" w14:textId="77777777" w:rsidR="0037398A" w:rsidRPr="007528E0" w:rsidRDefault="0037398A" w:rsidP="0037398A">
      <w:pPr>
        <w:pStyle w:val="Descripcin"/>
        <w:spacing w:before="100" w:beforeAutospacing="1" w:after="100" w:afterAutospacing="1"/>
        <w:jc w:val="center"/>
        <w:rPr>
          <w:rFonts w:cs="Arial"/>
          <w:color w:val="auto"/>
          <w:sz w:val="22"/>
          <w:szCs w:val="22"/>
        </w:rPr>
      </w:pPr>
      <w:bookmarkStart w:id="13" w:name="_Toc505456249"/>
      <w:r w:rsidRPr="007528E0">
        <w:rPr>
          <w:rFonts w:cs="Arial"/>
          <w:b/>
          <w:color w:val="auto"/>
          <w:sz w:val="22"/>
          <w:szCs w:val="22"/>
        </w:rPr>
        <w:t xml:space="preserve">Tabla </w:t>
      </w:r>
      <w:r w:rsidRPr="007528E0">
        <w:rPr>
          <w:rFonts w:cs="Arial"/>
          <w:b/>
          <w:color w:val="auto"/>
          <w:sz w:val="22"/>
          <w:szCs w:val="22"/>
        </w:rPr>
        <w:fldChar w:fldCharType="begin"/>
      </w:r>
      <w:r w:rsidRPr="007528E0">
        <w:rPr>
          <w:rFonts w:cs="Arial"/>
          <w:b/>
          <w:color w:val="auto"/>
          <w:sz w:val="22"/>
          <w:szCs w:val="22"/>
        </w:rPr>
        <w:instrText xml:space="preserve"> SEQ Tabla \* ARABIC </w:instrText>
      </w:r>
      <w:r w:rsidRPr="007528E0">
        <w:rPr>
          <w:rFonts w:cs="Arial"/>
          <w:b/>
          <w:color w:val="auto"/>
          <w:sz w:val="22"/>
          <w:szCs w:val="22"/>
        </w:rPr>
        <w:fldChar w:fldCharType="separate"/>
      </w:r>
      <w:r w:rsidRPr="007528E0">
        <w:rPr>
          <w:rFonts w:cs="Arial"/>
          <w:b/>
          <w:noProof/>
          <w:color w:val="auto"/>
          <w:sz w:val="22"/>
          <w:szCs w:val="22"/>
        </w:rPr>
        <w:t>3</w:t>
      </w:r>
      <w:r w:rsidRPr="007528E0">
        <w:rPr>
          <w:rFonts w:cs="Arial"/>
          <w:b/>
          <w:color w:val="auto"/>
          <w:sz w:val="22"/>
          <w:szCs w:val="22"/>
        </w:rPr>
        <w:fldChar w:fldCharType="end"/>
      </w:r>
      <w:r w:rsidRPr="007528E0">
        <w:rPr>
          <w:rFonts w:cs="Arial"/>
          <w:color w:val="auto"/>
          <w:sz w:val="22"/>
          <w:szCs w:val="22"/>
        </w:rPr>
        <w:t>. Principales familias de plaguicidas por grupos químicos</w:t>
      </w:r>
      <w:bookmarkEnd w:id="13"/>
    </w:p>
    <w:tbl>
      <w:tblPr>
        <w:tblStyle w:val="Tablaconcuadrcula"/>
        <w:tblW w:w="9507" w:type="dxa"/>
        <w:tblLayout w:type="fixed"/>
        <w:tblLook w:val="0000" w:firstRow="0" w:lastRow="0" w:firstColumn="0" w:lastColumn="0" w:noHBand="0" w:noVBand="0"/>
      </w:tblPr>
      <w:tblGrid>
        <w:gridCol w:w="1711"/>
        <w:gridCol w:w="1985"/>
        <w:gridCol w:w="3118"/>
        <w:gridCol w:w="2693"/>
      </w:tblGrid>
      <w:tr w:rsidR="007528E0" w:rsidRPr="007528E0" w14:paraId="1F480A20" w14:textId="77777777" w:rsidTr="007528E0">
        <w:trPr>
          <w:trHeight w:val="57"/>
        </w:trPr>
        <w:tc>
          <w:tcPr>
            <w:tcW w:w="1711" w:type="dxa"/>
          </w:tcPr>
          <w:p w14:paraId="330BC0F5" w14:textId="77777777" w:rsidR="0037398A" w:rsidRPr="007528E0" w:rsidRDefault="0037398A" w:rsidP="007528E0">
            <w:pPr>
              <w:pStyle w:val="Normal1"/>
              <w:spacing w:before="100" w:beforeAutospacing="1" w:after="100" w:afterAutospacing="1"/>
              <w:jc w:val="center"/>
              <w:rPr>
                <w:rFonts w:ascii="Arial" w:hAnsi="Arial" w:cs="Arial"/>
                <w:color w:val="auto"/>
                <w:sz w:val="20"/>
                <w:szCs w:val="20"/>
              </w:rPr>
            </w:pPr>
            <w:r w:rsidRPr="007528E0">
              <w:rPr>
                <w:rFonts w:ascii="Arial" w:eastAsia="Calibri" w:hAnsi="Arial" w:cs="Arial"/>
                <w:b/>
                <w:color w:val="auto"/>
                <w:sz w:val="20"/>
                <w:szCs w:val="20"/>
              </w:rPr>
              <w:t>Familia química</w:t>
            </w:r>
          </w:p>
        </w:tc>
        <w:tc>
          <w:tcPr>
            <w:tcW w:w="1985" w:type="dxa"/>
          </w:tcPr>
          <w:p w14:paraId="64F648D3" w14:textId="77777777" w:rsidR="0037398A" w:rsidRPr="007528E0" w:rsidRDefault="0037398A" w:rsidP="007528E0">
            <w:pPr>
              <w:pStyle w:val="Normal1"/>
              <w:spacing w:before="100" w:beforeAutospacing="1" w:after="100" w:afterAutospacing="1"/>
              <w:jc w:val="center"/>
              <w:rPr>
                <w:rFonts w:ascii="Arial" w:hAnsi="Arial" w:cs="Arial"/>
                <w:color w:val="auto"/>
                <w:sz w:val="20"/>
                <w:szCs w:val="20"/>
              </w:rPr>
            </w:pPr>
            <w:r w:rsidRPr="007528E0">
              <w:rPr>
                <w:rFonts w:ascii="Arial" w:eastAsia="Calibri" w:hAnsi="Arial" w:cs="Arial"/>
                <w:b/>
                <w:color w:val="auto"/>
                <w:sz w:val="20"/>
                <w:szCs w:val="20"/>
              </w:rPr>
              <w:t>Ejemplos</w:t>
            </w:r>
          </w:p>
        </w:tc>
        <w:tc>
          <w:tcPr>
            <w:tcW w:w="3118" w:type="dxa"/>
          </w:tcPr>
          <w:p w14:paraId="5754ADFA" w14:textId="77777777" w:rsidR="0037398A" w:rsidRPr="007528E0" w:rsidRDefault="0037398A" w:rsidP="007528E0">
            <w:pPr>
              <w:pStyle w:val="Normal1"/>
              <w:spacing w:before="100" w:beforeAutospacing="1" w:after="100" w:afterAutospacing="1"/>
              <w:jc w:val="center"/>
              <w:rPr>
                <w:rFonts w:ascii="Arial" w:hAnsi="Arial" w:cs="Arial"/>
                <w:color w:val="auto"/>
                <w:sz w:val="20"/>
                <w:szCs w:val="20"/>
              </w:rPr>
            </w:pPr>
            <w:r w:rsidRPr="007528E0">
              <w:rPr>
                <w:rFonts w:ascii="Arial" w:eastAsia="Calibri" w:hAnsi="Arial" w:cs="Arial"/>
                <w:b/>
                <w:color w:val="auto"/>
                <w:sz w:val="20"/>
                <w:szCs w:val="20"/>
              </w:rPr>
              <w:t>Manifestaciones clínicas</w:t>
            </w:r>
          </w:p>
        </w:tc>
        <w:tc>
          <w:tcPr>
            <w:tcW w:w="2693" w:type="dxa"/>
          </w:tcPr>
          <w:p w14:paraId="66A33C2A" w14:textId="77777777" w:rsidR="0037398A" w:rsidRPr="007528E0" w:rsidRDefault="0037398A" w:rsidP="007528E0">
            <w:pPr>
              <w:pStyle w:val="Normal1"/>
              <w:spacing w:before="100" w:beforeAutospacing="1" w:after="100" w:afterAutospacing="1"/>
              <w:jc w:val="center"/>
              <w:rPr>
                <w:rFonts w:ascii="Arial" w:hAnsi="Arial" w:cs="Arial"/>
                <w:color w:val="auto"/>
                <w:sz w:val="20"/>
                <w:szCs w:val="20"/>
              </w:rPr>
            </w:pPr>
            <w:r w:rsidRPr="007528E0">
              <w:rPr>
                <w:rFonts w:ascii="Arial" w:eastAsia="Calibri" w:hAnsi="Arial" w:cs="Arial"/>
                <w:b/>
                <w:color w:val="auto"/>
                <w:sz w:val="20"/>
                <w:szCs w:val="20"/>
              </w:rPr>
              <w:t>Ruta de exposición</w:t>
            </w:r>
          </w:p>
        </w:tc>
      </w:tr>
      <w:tr w:rsidR="007528E0" w:rsidRPr="007528E0" w14:paraId="556DCFE6" w14:textId="77777777" w:rsidTr="007528E0">
        <w:trPr>
          <w:trHeight w:val="57"/>
        </w:trPr>
        <w:tc>
          <w:tcPr>
            <w:tcW w:w="1711" w:type="dxa"/>
          </w:tcPr>
          <w:p w14:paraId="29B93290" w14:textId="77777777" w:rsidR="0037398A" w:rsidRPr="007528E0" w:rsidRDefault="0037398A" w:rsidP="007528E0">
            <w:pPr>
              <w:pStyle w:val="Normal1"/>
              <w:spacing w:before="100" w:beforeAutospacing="1" w:after="100" w:afterAutospacing="1"/>
              <w:jc w:val="center"/>
              <w:rPr>
                <w:rFonts w:ascii="Arial" w:hAnsi="Arial" w:cs="Arial"/>
                <w:color w:val="auto"/>
                <w:sz w:val="20"/>
                <w:szCs w:val="20"/>
              </w:rPr>
            </w:pPr>
            <w:r w:rsidRPr="007528E0">
              <w:rPr>
                <w:rFonts w:ascii="Arial" w:eastAsia="Calibri" w:hAnsi="Arial" w:cs="Arial"/>
                <w:color w:val="auto"/>
                <w:sz w:val="20"/>
                <w:szCs w:val="20"/>
              </w:rPr>
              <w:t>Acetanilidas (herbicida)</w:t>
            </w:r>
          </w:p>
        </w:tc>
        <w:tc>
          <w:tcPr>
            <w:tcW w:w="1985" w:type="dxa"/>
          </w:tcPr>
          <w:p w14:paraId="40D575FC" w14:textId="77777777" w:rsidR="0037398A" w:rsidRPr="007528E0" w:rsidRDefault="0037398A" w:rsidP="007528E0">
            <w:pPr>
              <w:pStyle w:val="Normal1"/>
              <w:spacing w:before="100" w:beforeAutospacing="1" w:after="100" w:afterAutospacing="1"/>
              <w:jc w:val="center"/>
              <w:rPr>
                <w:rFonts w:ascii="Arial" w:hAnsi="Arial" w:cs="Arial"/>
                <w:color w:val="auto"/>
                <w:sz w:val="20"/>
                <w:szCs w:val="20"/>
              </w:rPr>
            </w:pPr>
            <w:r w:rsidRPr="007528E0">
              <w:rPr>
                <w:rFonts w:ascii="Arial" w:eastAsia="Calibri" w:hAnsi="Arial" w:cs="Arial"/>
                <w:color w:val="auto"/>
                <w:sz w:val="20"/>
                <w:szCs w:val="20"/>
              </w:rPr>
              <w:t>Propanil</w:t>
            </w:r>
          </w:p>
        </w:tc>
        <w:tc>
          <w:tcPr>
            <w:tcW w:w="3118" w:type="dxa"/>
          </w:tcPr>
          <w:p w14:paraId="581C1CD0" w14:textId="77777777" w:rsidR="0037398A" w:rsidRPr="007528E0" w:rsidRDefault="0037398A" w:rsidP="007528E0">
            <w:pPr>
              <w:pStyle w:val="Normal1"/>
              <w:spacing w:before="100" w:beforeAutospacing="1" w:after="100" w:afterAutospacing="1"/>
              <w:jc w:val="center"/>
              <w:rPr>
                <w:rFonts w:ascii="Arial" w:hAnsi="Arial" w:cs="Arial"/>
                <w:color w:val="auto"/>
                <w:sz w:val="20"/>
                <w:szCs w:val="20"/>
              </w:rPr>
            </w:pPr>
            <w:r w:rsidRPr="007528E0">
              <w:rPr>
                <w:rFonts w:ascii="Arial" w:eastAsia="Calibri" w:hAnsi="Arial" w:cs="Arial"/>
                <w:color w:val="auto"/>
                <w:sz w:val="20"/>
                <w:szCs w:val="20"/>
              </w:rPr>
              <w:t>Irritación de piel y mucosas, metahemoglobinemia, anemia hemolítica.</w:t>
            </w:r>
          </w:p>
        </w:tc>
        <w:tc>
          <w:tcPr>
            <w:tcW w:w="2693" w:type="dxa"/>
          </w:tcPr>
          <w:p w14:paraId="498A305A" w14:textId="77777777" w:rsidR="0037398A" w:rsidRPr="007528E0" w:rsidRDefault="0037398A" w:rsidP="007528E0">
            <w:pPr>
              <w:pStyle w:val="Normal1"/>
              <w:spacing w:before="100" w:beforeAutospacing="1" w:after="100" w:afterAutospacing="1"/>
              <w:jc w:val="center"/>
              <w:rPr>
                <w:rFonts w:ascii="Arial" w:hAnsi="Arial" w:cs="Arial"/>
                <w:color w:val="auto"/>
                <w:sz w:val="20"/>
                <w:szCs w:val="20"/>
              </w:rPr>
            </w:pPr>
            <w:r w:rsidRPr="007528E0">
              <w:rPr>
                <w:rFonts w:ascii="Arial" w:eastAsia="Calibri" w:hAnsi="Arial" w:cs="Arial"/>
                <w:color w:val="auto"/>
                <w:sz w:val="20"/>
                <w:szCs w:val="20"/>
              </w:rPr>
              <w:t>Oral, cutánea, respiratoria</w:t>
            </w:r>
          </w:p>
        </w:tc>
      </w:tr>
      <w:tr w:rsidR="007528E0" w:rsidRPr="007528E0" w14:paraId="25C7EF15" w14:textId="77777777" w:rsidTr="007528E0">
        <w:trPr>
          <w:trHeight w:val="57"/>
        </w:trPr>
        <w:tc>
          <w:tcPr>
            <w:tcW w:w="1711" w:type="dxa"/>
          </w:tcPr>
          <w:p w14:paraId="70CD9746" w14:textId="77777777" w:rsidR="0037398A" w:rsidRPr="007528E0" w:rsidRDefault="0037398A" w:rsidP="007528E0">
            <w:pPr>
              <w:pStyle w:val="Normal1"/>
              <w:spacing w:before="100" w:beforeAutospacing="1" w:after="100" w:afterAutospacing="1"/>
              <w:jc w:val="center"/>
              <w:rPr>
                <w:rFonts w:ascii="Arial" w:hAnsi="Arial" w:cs="Arial"/>
                <w:color w:val="auto"/>
                <w:sz w:val="20"/>
                <w:szCs w:val="20"/>
              </w:rPr>
            </w:pPr>
            <w:proofErr w:type="spellStart"/>
            <w:r w:rsidRPr="007528E0">
              <w:rPr>
                <w:rFonts w:ascii="Arial" w:eastAsia="Calibri" w:hAnsi="Arial" w:cs="Arial"/>
                <w:color w:val="auto"/>
                <w:sz w:val="20"/>
                <w:szCs w:val="20"/>
              </w:rPr>
              <w:t>Bipiridilos</w:t>
            </w:r>
            <w:proofErr w:type="spellEnd"/>
            <w:r w:rsidRPr="007528E0">
              <w:rPr>
                <w:rFonts w:ascii="Arial" w:eastAsia="Calibri" w:hAnsi="Arial" w:cs="Arial"/>
                <w:color w:val="auto"/>
                <w:sz w:val="20"/>
                <w:szCs w:val="20"/>
              </w:rPr>
              <w:t xml:space="preserve"> (herbicidas)</w:t>
            </w:r>
          </w:p>
        </w:tc>
        <w:tc>
          <w:tcPr>
            <w:tcW w:w="1985" w:type="dxa"/>
          </w:tcPr>
          <w:p w14:paraId="1A3147C7" w14:textId="77777777" w:rsidR="0037398A" w:rsidRPr="007528E0" w:rsidRDefault="0037398A" w:rsidP="007528E0">
            <w:pPr>
              <w:pStyle w:val="Normal1"/>
              <w:spacing w:before="100" w:beforeAutospacing="1" w:after="100" w:afterAutospacing="1"/>
              <w:jc w:val="center"/>
              <w:rPr>
                <w:rFonts w:ascii="Arial" w:hAnsi="Arial" w:cs="Arial"/>
                <w:color w:val="auto"/>
                <w:sz w:val="20"/>
                <w:szCs w:val="20"/>
              </w:rPr>
            </w:pPr>
            <w:proofErr w:type="spellStart"/>
            <w:r w:rsidRPr="007528E0">
              <w:rPr>
                <w:rFonts w:ascii="Arial" w:eastAsia="Calibri" w:hAnsi="Arial" w:cs="Arial"/>
                <w:color w:val="auto"/>
                <w:sz w:val="20"/>
                <w:szCs w:val="20"/>
              </w:rPr>
              <w:t>Paraquat</w:t>
            </w:r>
            <w:proofErr w:type="spellEnd"/>
          </w:p>
          <w:p w14:paraId="6F9B4DC5" w14:textId="77777777" w:rsidR="0037398A" w:rsidRPr="007528E0" w:rsidRDefault="0037398A" w:rsidP="007528E0">
            <w:pPr>
              <w:pStyle w:val="Normal1"/>
              <w:spacing w:before="100" w:beforeAutospacing="1" w:after="100" w:afterAutospacing="1"/>
              <w:jc w:val="center"/>
              <w:rPr>
                <w:rFonts w:ascii="Arial" w:hAnsi="Arial" w:cs="Arial"/>
                <w:color w:val="auto"/>
                <w:sz w:val="20"/>
                <w:szCs w:val="20"/>
              </w:rPr>
            </w:pPr>
            <w:proofErr w:type="spellStart"/>
            <w:r w:rsidRPr="007528E0">
              <w:rPr>
                <w:rFonts w:ascii="Arial" w:eastAsia="Calibri" w:hAnsi="Arial" w:cs="Arial"/>
                <w:color w:val="auto"/>
                <w:sz w:val="20"/>
                <w:szCs w:val="20"/>
              </w:rPr>
              <w:t>Diquat</w:t>
            </w:r>
            <w:proofErr w:type="spellEnd"/>
          </w:p>
        </w:tc>
        <w:tc>
          <w:tcPr>
            <w:tcW w:w="3118" w:type="dxa"/>
          </w:tcPr>
          <w:p w14:paraId="34036C6A" w14:textId="77777777" w:rsidR="0037398A" w:rsidRPr="007528E0" w:rsidRDefault="0037398A" w:rsidP="007528E0">
            <w:pPr>
              <w:pStyle w:val="Normal1"/>
              <w:spacing w:before="100" w:beforeAutospacing="1" w:after="100" w:afterAutospacing="1"/>
              <w:jc w:val="center"/>
              <w:rPr>
                <w:rFonts w:ascii="Arial" w:hAnsi="Arial" w:cs="Arial"/>
                <w:color w:val="auto"/>
                <w:sz w:val="20"/>
                <w:szCs w:val="20"/>
              </w:rPr>
            </w:pPr>
            <w:r w:rsidRPr="007528E0">
              <w:rPr>
                <w:rFonts w:ascii="Arial" w:eastAsia="Calibri" w:hAnsi="Arial" w:cs="Arial"/>
                <w:color w:val="auto"/>
                <w:sz w:val="20"/>
                <w:szCs w:val="20"/>
              </w:rPr>
              <w:t>Quemaduras de piel y mucosas, dolor abdominal, sangrado y perforación gastrointestinal, fibrosis pulmonar, falla renal, hepatitis, convulsiones, coma, muerte.</w:t>
            </w:r>
          </w:p>
        </w:tc>
        <w:tc>
          <w:tcPr>
            <w:tcW w:w="2693" w:type="dxa"/>
          </w:tcPr>
          <w:p w14:paraId="0262DD14" w14:textId="77777777" w:rsidR="0037398A" w:rsidRPr="007528E0" w:rsidRDefault="0037398A" w:rsidP="007528E0">
            <w:pPr>
              <w:pStyle w:val="Normal1"/>
              <w:spacing w:before="100" w:beforeAutospacing="1" w:after="100" w:afterAutospacing="1"/>
              <w:jc w:val="center"/>
              <w:rPr>
                <w:rFonts w:ascii="Arial" w:hAnsi="Arial" w:cs="Arial"/>
                <w:color w:val="auto"/>
                <w:sz w:val="20"/>
                <w:szCs w:val="20"/>
              </w:rPr>
            </w:pPr>
            <w:r w:rsidRPr="007528E0">
              <w:rPr>
                <w:rFonts w:ascii="Arial" w:eastAsia="Calibri" w:hAnsi="Arial" w:cs="Arial"/>
                <w:color w:val="auto"/>
                <w:sz w:val="20"/>
                <w:szCs w:val="20"/>
              </w:rPr>
              <w:t>Oral, cutánea, respiratoria</w:t>
            </w:r>
          </w:p>
        </w:tc>
      </w:tr>
      <w:tr w:rsidR="007528E0" w:rsidRPr="007528E0" w14:paraId="39F80743" w14:textId="77777777" w:rsidTr="007528E0">
        <w:trPr>
          <w:trHeight w:val="57"/>
        </w:trPr>
        <w:tc>
          <w:tcPr>
            <w:tcW w:w="1711" w:type="dxa"/>
          </w:tcPr>
          <w:p w14:paraId="022BAF8F" w14:textId="77777777" w:rsidR="0037398A" w:rsidRPr="007528E0" w:rsidRDefault="0037398A" w:rsidP="007528E0">
            <w:pPr>
              <w:pStyle w:val="Normal1"/>
              <w:spacing w:before="100" w:beforeAutospacing="1" w:after="100" w:afterAutospacing="1"/>
              <w:jc w:val="center"/>
              <w:rPr>
                <w:rFonts w:ascii="Arial" w:hAnsi="Arial" w:cs="Arial"/>
                <w:color w:val="auto"/>
                <w:sz w:val="20"/>
                <w:szCs w:val="20"/>
              </w:rPr>
            </w:pPr>
            <w:proofErr w:type="spellStart"/>
            <w:r w:rsidRPr="007528E0">
              <w:rPr>
                <w:rFonts w:ascii="Arial" w:eastAsia="Calibri" w:hAnsi="Arial" w:cs="Arial"/>
                <w:color w:val="auto"/>
                <w:sz w:val="20"/>
                <w:szCs w:val="20"/>
              </w:rPr>
              <w:t>Fosfonatos</w:t>
            </w:r>
            <w:proofErr w:type="spellEnd"/>
            <w:r w:rsidRPr="007528E0">
              <w:rPr>
                <w:rFonts w:ascii="Arial" w:eastAsia="Calibri" w:hAnsi="Arial" w:cs="Arial"/>
                <w:color w:val="auto"/>
                <w:sz w:val="20"/>
                <w:szCs w:val="20"/>
              </w:rPr>
              <w:t xml:space="preserve"> (herbicida)</w:t>
            </w:r>
          </w:p>
        </w:tc>
        <w:tc>
          <w:tcPr>
            <w:tcW w:w="1985" w:type="dxa"/>
          </w:tcPr>
          <w:p w14:paraId="60FAAA88" w14:textId="77777777" w:rsidR="0037398A" w:rsidRPr="007528E0" w:rsidRDefault="0037398A" w:rsidP="007528E0">
            <w:pPr>
              <w:pStyle w:val="Normal1"/>
              <w:spacing w:before="100" w:beforeAutospacing="1" w:after="100" w:afterAutospacing="1"/>
              <w:jc w:val="center"/>
              <w:rPr>
                <w:rFonts w:ascii="Arial" w:hAnsi="Arial" w:cs="Arial"/>
                <w:color w:val="auto"/>
                <w:sz w:val="20"/>
                <w:szCs w:val="20"/>
              </w:rPr>
            </w:pPr>
            <w:r w:rsidRPr="007528E0">
              <w:rPr>
                <w:rFonts w:ascii="Arial" w:eastAsia="Calibri" w:hAnsi="Arial" w:cs="Arial"/>
                <w:color w:val="auto"/>
                <w:sz w:val="20"/>
                <w:szCs w:val="20"/>
              </w:rPr>
              <w:t>Glifosato</w:t>
            </w:r>
          </w:p>
        </w:tc>
        <w:tc>
          <w:tcPr>
            <w:tcW w:w="3118" w:type="dxa"/>
          </w:tcPr>
          <w:p w14:paraId="0B6D1C59" w14:textId="77777777" w:rsidR="0037398A" w:rsidRPr="007528E0" w:rsidRDefault="0037398A" w:rsidP="007528E0">
            <w:pPr>
              <w:pStyle w:val="Normal1"/>
              <w:spacing w:before="100" w:beforeAutospacing="1" w:after="100" w:afterAutospacing="1"/>
              <w:jc w:val="center"/>
              <w:rPr>
                <w:rFonts w:ascii="Arial" w:hAnsi="Arial" w:cs="Arial"/>
                <w:color w:val="auto"/>
                <w:sz w:val="20"/>
                <w:szCs w:val="20"/>
              </w:rPr>
            </w:pPr>
            <w:r w:rsidRPr="007528E0">
              <w:rPr>
                <w:rFonts w:ascii="Arial" w:eastAsia="Calibri" w:hAnsi="Arial" w:cs="Arial"/>
                <w:color w:val="auto"/>
                <w:sz w:val="20"/>
                <w:szCs w:val="20"/>
              </w:rPr>
              <w:t>Irritación de piel y mucosas, dolor abdominal, náuseas, vómito, disnea, falla respiratoria, choque.</w:t>
            </w:r>
          </w:p>
        </w:tc>
        <w:tc>
          <w:tcPr>
            <w:tcW w:w="2693" w:type="dxa"/>
          </w:tcPr>
          <w:p w14:paraId="73E52CE3" w14:textId="77777777" w:rsidR="0037398A" w:rsidRPr="007528E0" w:rsidRDefault="0037398A" w:rsidP="007528E0">
            <w:pPr>
              <w:pStyle w:val="Normal1"/>
              <w:spacing w:before="100" w:beforeAutospacing="1" w:after="100" w:afterAutospacing="1"/>
              <w:jc w:val="center"/>
              <w:rPr>
                <w:rFonts w:ascii="Arial" w:hAnsi="Arial" w:cs="Arial"/>
                <w:color w:val="auto"/>
                <w:sz w:val="20"/>
                <w:szCs w:val="20"/>
              </w:rPr>
            </w:pPr>
            <w:r w:rsidRPr="007528E0">
              <w:rPr>
                <w:rFonts w:ascii="Arial" w:eastAsia="Calibri" w:hAnsi="Arial" w:cs="Arial"/>
                <w:color w:val="auto"/>
                <w:sz w:val="20"/>
                <w:szCs w:val="20"/>
              </w:rPr>
              <w:t>Oral, cutánea, respiratoria</w:t>
            </w:r>
          </w:p>
        </w:tc>
      </w:tr>
      <w:tr w:rsidR="007528E0" w:rsidRPr="007528E0" w14:paraId="4E00D23B" w14:textId="77777777" w:rsidTr="007528E0">
        <w:trPr>
          <w:trHeight w:val="57"/>
        </w:trPr>
        <w:tc>
          <w:tcPr>
            <w:tcW w:w="1711" w:type="dxa"/>
          </w:tcPr>
          <w:p w14:paraId="7B3B667C" w14:textId="77777777" w:rsidR="0037398A" w:rsidRPr="007528E0" w:rsidRDefault="0037398A" w:rsidP="007528E0">
            <w:pPr>
              <w:pStyle w:val="Normal1"/>
              <w:spacing w:before="100" w:beforeAutospacing="1" w:after="100" w:afterAutospacing="1"/>
              <w:jc w:val="center"/>
              <w:rPr>
                <w:rFonts w:ascii="Arial" w:hAnsi="Arial" w:cs="Arial"/>
                <w:color w:val="auto"/>
                <w:sz w:val="20"/>
                <w:szCs w:val="20"/>
              </w:rPr>
            </w:pPr>
            <w:proofErr w:type="spellStart"/>
            <w:r w:rsidRPr="007528E0">
              <w:rPr>
                <w:rFonts w:ascii="Arial" w:eastAsia="Calibri" w:hAnsi="Arial" w:cs="Arial"/>
                <w:color w:val="auto"/>
                <w:sz w:val="20"/>
                <w:szCs w:val="20"/>
              </w:rPr>
              <w:t>Clorofenoxy</w:t>
            </w:r>
            <w:proofErr w:type="spellEnd"/>
            <w:r w:rsidRPr="007528E0">
              <w:rPr>
                <w:rFonts w:ascii="Arial" w:eastAsia="Calibri" w:hAnsi="Arial" w:cs="Arial"/>
                <w:color w:val="auto"/>
                <w:sz w:val="20"/>
                <w:szCs w:val="20"/>
              </w:rPr>
              <w:t xml:space="preserve"> (herbicidas)</w:t>
            </w:r>
          </w:p>
        </w:tc>
        <w:tc>
          <w:tcPr>
            <w:tcW w:w="1985" w:type="dxa"/>
          </w:tcPr>
          <w:p w14:paraId="30D79863" w14:textId="77777777" w:rsidR="0037398A" w:rsidRPr="007528E0" w:rsidRDefault="0037398A" w:rsidP="007528E0">
            <w:pPr>
              <w:pStyle w:val="Normal1"/>
              <w:spacing w:before="100" w:beforeAutospacing="1" w:after="100" w:afterAutospacing="1"/>
              <w:jc w:val="center"/>
              <w:rPr>
                <w:rFonts w:ascii="Arial" w:hAnsi="Arial" w:cs="Arial"/>
                <w:color w:val="auto"/>
                <w:sz w:val="20"/>
                <w:szCs w:val="20"/>
              </w:rPr>
            </w:pPr>
            <w:r w:rsidRPr="007528E0">
              <w:rPr>
                <w:rFonts w:ascii="Arial" w:eastAsia="Calibri" w:hAnsi="Arial" w:cs="Arial"/>
                <w:color w:val="auto"/>
                <w:sz w:val="20"/>
                <w:szCs w:val="20"/>
              </w:rPr>
              <w:t>2,4,diclorofenoxiacético</w:t>
            </w:r>
          </w:p>
        </w:tc>
        <w:tc>
          <w:tcPr>
            <w:tcW w:w="3118" w:type="dxa"/>
          </w:tcPr>
          <w:p w14:paraId="59FDD2D3" w14:textId="77777777" w:rsidR="0037398A" w:rsidRPr="007528E0" w:rsidRDefault="0037398A" w:rsidP="007528E0">
            <w:pPr>
              <w:pStyle w:val="Normal1"/>
              <w:spacing w:before="100" w:beforeAutospacing="1" w:after="100" w:afterAutospacing="1"/>
              <w:jc w:val="center"/>
              <w:rPr>
                <w:rFonts w:ascii="Arial" w:hAnsi="Arial" w:cs="Arial"/>
                <w:color w:val="auto"/>
                <w:sz w:val="20"/>
                <w:szCs w:val="20"/>
              </w:rPr>
            </w:pPr>
            <w:r w:rsidRPr="007528E0">
              <w:rPr>
                <w:rFonts w:ascii="Arial" w:eastAsia="Calibri" w:hAnsi="Arial" w:cs="Arial"/>
                <w:color w:val="auto"/>
                <w:sz w:val="20"/>
                <w:szCs w:val="20"/>
              </w:rPr>
              <w:t>Irritación de piel y mucosas, vómito, dolor abdominal, taquicardia, coma, debilidad, acidosis, choque, espasmos musculares, ataxia, cefalea, falla renal convulsiones, taquicardia.</w:t>
            </w:r>
          </w:p>
        </w:tc>
        <w:tc>
          <w:tcPr>
            <w:tcW w:w="2693" w:type="dxa"/>
          </w:tcPr>
          <w:p w14:paraId="798DBFB7" w14:textId="77777777" w:rsidR="0037398A" w:rsidRPr="007528E0" w:rsidRDefault="0037398A" w:rsidP="007528E0">
            <w:pPr>
              <w:pStyle w:val="Normal1"/>
              <w:spacing w:before="100" w:beforeAutospacing="1" w:after="100" w:afterAutospacing="1"/>
              <w:jc w:val="center"/>
              <w:rPr>
                <w:rFonts w:ascii="Arial" w:hAnsi="Arial" w:cs="Arial"/>
                <w:color w:val="auto"/>
                <w:sz w:val="20"/>
                <w:szCs w:val="20"/>
              </w:rPr>
            </w:pPr>
            <w:r w:rsidRPr="007528E0">
              <w:rPr>
                <w:rFonts w:ascii="Arial" w:eastAsia="Calibri" w:hAnsi="Arial" w:cs="Arial"/>
                <w:color w:val="auto"/>
                <w:sz w:val="20"/>
                <w:szCs w:val="20"/>
              </w:rPr>
              <w:t>Oral, cutánea</w:t>
            </w:r>
          </w:p>
        </w:tc>
      </w:tr>
      <w:tr w:rsidR="007528E0" w:rsidRPr="007528E0" w14:paraId="68C87834" w14:textId="77777777" w:rsidTr="007528E0">
        <w:trPr>
          <w:trHeight w:val="57"/>
        </w:trPr>
        <w:tc>
          <w:tcPr>
            <w:tcW w:w="1711" w:type="dxa"/>
          </w:tcPr>
          <w:p w14:paraId="108DF9ED" w14:textId="77777777" w:rsidR="0037398A" w:rsidRPr="007528E0" w:rsidRDefault="0037398A" w:rsidP="007528E0">
            <w:pPr>
              <w:pStyle w:val="Normal1"/>
              <w:spacing w:before="100" w:beforeAutospacing="1" w:after="100" w:afterAutospacing="1"/>
              <w:jc w:val="center"/>
              <w:rPr>
                <w:rFonts w:ascii="Arial" w:hAnsi="Arial" w:cs="Arial"/>
                <w:color w:val="auto"/>
                <w:sz w:val="20"/>
                <w:szCs w:val="20"/>
              </w:rPr>
            </w:pPr>
            <w:proofErr w:type="spellStart"/>
            <w:r w:rsidRPr="007528E0">
              <w:rPr>
                <w:rFonts w:ascii="Arial" w:eastAsia="Calibri" w:hAnsi="Arial" w:cs="Arial"/>
                <w:color w:val="auto"/>
                <w:sz w:val="20"/>
                <w:szCs w:val="20"/>
              </w:rPr>
              <w:t>Triazinas</w:t>
            </w:r>
            <w:proofErr w:type="spellEnd"/>
            <w:r w:rsidRPr="007528E0">
              <w:rPr>
                <w:rFonts w:ascii="Arial" w:eastAsia="Calibri" w:hAnsi="Arial" w:cs="Arial"/>
                <w:color w:val="auto"/>
                <w:sz w:val="20"/>
                <w:szCs w:val="20"/>
              </w:rPr>
              <w:t xml:space="preserve"> (herbicidas)</w:t>
            </w:r>
          </w:p>
        </w:tc>
        <w:tc>
          <w:tcPr>
            <w:tcW w:w="1985" w:type="dxa"/>
          </w:tcPr>
          <w:p w14:paraId="31B9C06E" w14:textId="77777777" w:rsidR="0037398A" w:rsidRPr="007528E0" w:rsidRDefault="0037398A" w:rsidP="007528E0">
            <w:pPr>
              <w:pStyle w:val="Normal1"/>
              <w:spacing w:before="100" w:beforeAutospacing="1" w:after="100" w:afterAutospacing="1"/>
              <w:jc w:val="center"/>
              <w:rPr>
                <w:rFonts w:ascii="Arial" w:hAnsi="Arial" w:cs="Arial"/>
                <w:color w:val="auto"/>
                <w:sz w:val="20"/>
                <w:szCs w:val="20"/>
              </w:rPr>
            </w:pPr>
            <w:r w:rsidRPr="007528E0">
              <w:rPr>
                <w:rFonts w:ascii="Arial" w:eastAsia="Calibri" w:hAnsi="Arial" w:cs="Arial"/>
                <w:color w:val="auto"/>
                <w:sz w:val="20"/>
                <w:szCs w:val="20"/>
              </w:rPr>
              <w:t>Atrazina</w:t>
            </w:r>
          </w:p>
        </w:tc>
        <w:tc>
          <w:tcPr>
            <w:tcW w:w="3118" w:type="dxa"/>
          </w:tcPr>
          <w:p w14:paraId="3E1812CE" w14:textId="77777777" w:rsidR="0037398A" w:rsidRPr="007528E0" w:rsidRDefault="0037398A" w:rsidP="007528E0">
            <w:pPr>
              <w:pStyle w:val="Normal1"/>
              <w:spacing w:before="100" w:beforeAutospacing="1" w:after="100" w:afterAutospacing="1"/>
              <w:jc w:val="center"/>
              <w:rPr>
                <w:rFonts w:ascii="Arial" w:hAnsi="Arial" w:cs="Arial"/>
                <w:color w:val="auto"/>
                <w:sz w:val="20"/>
                <w:szCs w:val="20"/>
              </w:rPr>
            </w:pPr>
            <w:r w:rsidRPr="007528E0">
              <w:rPr>
                <w:rFonts w:ascii="Arial" w:eastAsia="Calibri" w:hAnsi="Arial" w:cs="Arial"/>
                <w:color w:val="auto"/>
                <w:sz w:val="20"/>
                <w:szCs w:val="20"/>
              </w:rPr>
              <w:t>Irritación ocular, cutánea y de mucosas</w:t>
            </w:r>
          </w:p>
        </w:tc>
        <w:tc>
          <w:tcPr>
            <w:tcW w:w="2693" w:type="dxa"/>
          </w:tcPr>
          <w:p w14:paraId="3C963051" w14:textId="77777777" w:rsidR="0037398A" w:rsidRPr="007528E0" w:rsidRDefault="0037398A" w:rsidP="007528E0">
            <w:pPr>
              <w:pStyle w:val="Normal1"/>
              <w:spacing w:before="100" w:beforeAutospacing="1" w:after="100" w:afterAutospacing="1"/>
              <w:jc w:val="center"/>
              <w:rPr>
                <w:rFonts w:ascii="Arial" w:hAnsi="Arial" w:cs="Arial"/>
                <w:color w:val="auto"/>
                <w:sz w:val="20"/>
                <w:szCs w:val="20"/>
              </w:rPr>
            </w:pPr>
            <w:r w:rsidRPr="007528E0">
              <w:rPr>
                <w:rFonts w:ascii="Arial" w:eastAsia="Calibri" w:hAnsi="Arial" w:cs="Arial"/>
                <w:color w:val="auto"/>
                <w:sz w:val="20"/>
                <w:szCs w:val="20"/>
              </w:rPr>
              <w:t>Oral, cutánea respiratoria,</w:t>
            </w:r>
          </w:p>
        </w:tc>
      </w:tr>
      <w:tr w:rsidR="007528E0" w:rsidRPr="007528E0" w14:paraId="564E2D94" w14:textId="77777777" w:rsidTr="007528E0">
        <w:trPr>
          <w:trHeight w:val="57"/>
        </w:trPr>
        <w:tc>
          <w:tcPr>
            <w:tcW w:w="1711" w:type="dxa"/>
          </w:tcPr>
          <w:p w14:paraId="6DB8487E" w14:textId="77777777" w:rsidR="0037398A" w:rsidRPr="007528E0" w:rsidRDefault="0037398A" w:rsidP="007528E0">
            <w:pPr>
              <w:pStyle w:val="Normal1"/>
              <w:spacing w:before="100" w:beforeAutospacing="1" w:after="100" w:afterAutospacing="1"/>
              <w:jc w:val="center"/>
              <w:rPr>
                <w:rFonts w:ascii="Arial" w:hAnsi="Arial" w:cs="Arial"/>
                <w:color w:val="auto"/>
                <w:sz w:val="20"/>
                <w:szCs w:val="20"/>
              </w:rPr>
            </w:pPr>
            <w:r w:rsidRPr="007528E0">
              <w:rPr>
                <w:rFonts w:ascii="Arial" w:eastAsia="Calibri" w:hAnsi="Arial" w:cs="Arial"/>
                <w:color w:val="auto"/>
                <w:sz w:val="20"/>
                <w:szCs w:val="20"/>
              </w:rPr>
              <w:t>Derivados  fenólicos</w:t>
            </w:r>
          </w:p>
          <w:p w14:paraId="51C1EF4D" w14:textId="77777777" w:rsidR="0037398A" w:rsidRPr="007528E0" w:rsidRDefault="0037398A" w:rsidP="007528E0">
            <w:pPr>
              <w:pStyle w:val="Normal1"/>
              <w:spacing w:before="100" w:beforeAutospacing="1" w:after="100" w:afterAutospacing="1"/>
              <w:jc w:val="center"/>
              <w:rPr>
                <w:rFonts w:ascii="Arial" w:hAnsi="Arial" w:cs="Arial"/>
                <w:color w:val="auto"/>
                <w:sz w:val="20"/>
                <w:szCs w:val="20"/>
              </w:rPr>
            </w:pPr>
            <w:r w:rsidRPr="007528E0">
              <w:rPr>
                <w:rFonts w:ascii="Arial" w:eastAsia="Calibri" w:hAnsi="Arial" w:cs="Arial"/>
                <w:color w:val="auto"/>
                <w:sz w:val="20"/>
                <w:szCs w:val="20"/>
              </w:rPr>
              <w:t>(preservantes de semillas, fungicidas, herbicidas)</w:t>
            </w:r>
          </w:p>
        </w:tc>
        <w:tc>
          <w:tcPr>
            <w:tcW w:w="1985" w:type="dxa"/>
          </w:tcPr>
          <w:p w14:paraId="18063B9C" w14:textId="77777777" w:rsidR="0037398A" w:rsidRPr="007528E0" w:rsidRDefault="0037398A" w:rsidP="007528E0">
            <w:pPr>
              <w:pStyle w:val="Normal1"/>
              <w:spacing w:before="100" w:beforeAutospacing="1" w:after="100" w:afterAutospacing="1"/>
              <w:jc w:val="center"/>
              <w:rPr>
                <w:rFonts w:ascii="Arial" w:hAnsi="Arial" w:cs="Arial"/>
                <w:color w:val="auto"/>
                <w:sz w:val="20"/>
                <w:szCs w:val="20"/>
              </w:rPr>
            </w:pPr>
            <w:proofErr w:type="spellStart"/>
            <w:r w:rsidRPr="007528E0">
              <w:rPr>
                <w:rFonts w:ascii="Arial" w:eastAsia="Calibri" w:hAnsi="Arial" w:cs="Arial"/>
                <w:color w:val="auto"/>
                <w:sz w:val="20"/>
                <w:szCs w:val="20"/>
              </w:rPr>
              <w:t>Pentaclorofenol</w:t>
            </w:r>
            <w:proofErr w:type="spellEnd"/>
          </w:p>
          <w:p w14:paraId="422992F5" w14:textId="77777777" w:rsidR="0037398A" w:rsidRPr="007528E0" w:rsidRDefault="0037398A" w:rsidP="007528E0">
            <w:pPr>
              <w:pStyle w:val="Normal1"/>
              <w:spacing w:before="100" w:beforeAutospacing="1" w:after="100" w:afterAutospacing="1"/>
              <w:jc w:val="center"/>
              <w:rPr>
                <w:rFonts w:ascii="Arial" w:hAnsi="Arial" w:cs="Arial"/>
                <w:color w:val="auto"/>
                <w:sz w:val="20"/>
                <w:szCs w:val="20"/>
              </w:rPr>
            </w:pPr>
            <w:proofErr w:type="spellStart"/>
            <w:r w:rsidRPr="007528E0">
              <w:rPr>
                <w:rFonts w:ascii="Arial" w:eastAsia="Calibri" w:hAnsi="Arial" w:cs="Arial"/>
                <w:color w:val="auto"/>
                <w:sz w:val="20"/>
                <w:szCs w:val="20"/>
              </w:rPr>
              <w:t>Dinitrofenol</w:t>
            </w:r>
            <w:proofErr w:type="spellEnd"/>
            <w:r w:rsidRPr="007528E0">
              <w:rPr>
                <w:rFonts w:ascii="Arial" w:eastAsia="Calibri" w:hAnsi="Arial" w:cs="Arial"/>
                <w:color w:val="auto"/>
                <w:sz w:val="20"/>
                <w:szCs w:val="20"/>
              </w:rPr>
              <w:t xml:space="preserve">  (</w:t>
            </w:r>
            <w:proofErr w:type="spellStart"/>
            <w:r w:rsidRPr="007528E0">
              <w:rPr>
                <w:rFonts w:ascii="Arial" w:eastAsia="Calibri" w:hAnsi="Arial" w:cs="Arial"/>
                <w:color w:val="auto"/>
                <w:sz w:val="20"/>
                <w:szCs w:val="20"/>
              </w:rPr>
              <w:t>dinoseb</w:t>
            </w:r>
            <w:proofErr w:type="spellEnd"/>
            <w:r w:rsidRPr="007528E0">
              <w:rPr>
                <w:rFonts w:ascii="Arial" w:eastAsia="Calibri" w:hAnsi="Arial" w:cs="Arial"/>
                <w:color w:val="auto"/>
                <w:sz w:val="20"/>
                <w:szCs w:val="20"/>
              </w:rPr>
              <w:t>)</w:t>
            </w:r>
          </w:p>
          <w:p w14:paraId="4FF79F30" w14:textId="77777777" w:rsidR="0037398A" w:rsidRPr="007528E0" w:rsidRDefault="0037398A" w:rsidP="007528E0">
            <w:pPr>
              <w:pStyle w:val="Normal1"/>
              <w:spacing w:before="100" w:beforeAutospacing="1" w:after="100" w:afterAutospacing="1"/>
              <w:jc w:val="center"/>
              <w:rPr>
                <w:rFonts w:ascii="Arial" w:hAnsi="Arial" w:cs="Arial"/>
                <w:color w:val="auto"/>
                <w:sz w:val="20"/>
                <w:szCs w:val="20"/>
              </w:rPr>
            </w:pPr>
            <w:r w:rsidRPr="007528E0">
              <w:rPr>
                <w:rFonts w:ascii="Arial" w:eastAsia="Calibri" w:hAnsi="Arial" w:cs="Arial"/>
                <w:color w:val="auto"/>
                <w:sz w:val="20"/>
                <w:szCs w:val="20"/>
              </w:rPr>
              <w:t>PROHIBIDOS EN COLOMBIA</w:t>
            </w:r>
          </w:p>
        </w:tc>
        <w:tc>
          <w:tcPr>
            <w:tcW w:w="3118" w:type="dxa"/>
          </w:tcPr>
          <w:p w14:paraId="69A2DAA3" w14:textId="77777777" w:rsidR="0037398A" w:rsidRPr="007528E0" w:rsidRDefault="0037398A" w:rsidP="007528E0">
            <w:pPr>
              <w:pStyle w:val="Normal1"/>
              <w:spacing w:before="100" w:beforeAutospacing="1" w:after="100" w:afterAutospacing="1"/>
              <w:jc w:val="center"/>
              <w:rPr>
                <w:rFonts w:ascii="Arial" w:hAnsi="Arial" w:cs="Arial"/>
                <w:color w:val="auto"/>
                <w:sz w:val="20"/>
                <w:szCs w:val="20"/>
              </w:rPr>
            </w:pPr>
            <w:r w:rsidRPr="007528E0">
              <w:rPr>
                <w:rFonts w:ascii="Arial" w:eastAsia="Calibri" w:hAnsi="Arial" w:cs="Arial"/>
                <w:color w:val="auto"/>
                <w:sz w:val="20"/>
                <w:szCs w:val="20"/>
              </w:rPr>
              <w:t>Irritación de piel y mucosas, dermatitis de contacto, disnea, diaforesis, urticaria, taquicardia, cefalea, fiebre, temblor, dolor abdominal.</w:t>
            </w:r>
          </w:p>
        </w:tc>
        <w:tc>
          <w:tcPr>
            <w:tcW w:w="2693" w:type="dxa"/>
          </w:tcPr>
          <w:p w14:paraId="27AA9621" w14:textId="77777777" w:rsidR="0037398A" w:rsidRPr="007528E0" w:rsidRDefault="0037398A" w:rsidP="007528E0">
            <w:pPr>
              <w:pStyle w:val="Normal1"/>
              <w:spacing w:before="100" w:beforeAutospacing="1" w:after="100" w:afterAutospacing="1"/>
              <w:jc w:val="center"/>
              <w:rPr>
                <w:rFonts w:ascii="Arial" w:hAnsi="Arial" w:cs="Arial"/>
                <w:color w:val="auto"/>
                <w:sz w:val="20"/>
                <w:szCs w:val="20"/>
              </w:rPr>
            </w:pPr>
            <w:r w:rsidRPr="007528E0">
              <w:rPr>
                <w:rFonts w:ascii="Arial" w:eastAsia="Calibri" w:hAnsi="Arial" w:cs="Arial"/>
                <w:color w:val="auto"/>
                <w:sz w:val="20"/>
                <w:szCs w:val="20"/>
              </w:rPr>
              <w:t>Oral, cutánea, respiratoria</w:t>
            </w:r>
          </w:p>
        </w:tc>
      </w:tr>
      <w:tr w:rsidR="007528E0" w:rsidRPr="007528E0" w14:paraId="3977A8F9" w14:textId="77777777" w:rsidTr="007528E0">
        <w:trPr>
          <w:trHeight w:val="57"/>
        </w:trPr>
        <w:tc>
          <w:tcPr>
            <w:tcW w:w="1711" w:type="dxa"/>
          </w:tcPr>
          <w:p w14:paraId="10376C72" w14:textId="77777777" w:rsidR="0037398A" w:rsidRPr="007528E0" w:rsidRDefault="0037398A" w:rsidP="007528E0">
            <w:pPr>
              <w:pStyle w:val="Normal1"/>
              <w:spacing w:before="100" w:beforeAutospacing="1" w:after="100" w:afterAutospacing="1"/>
              <w:jc w:val="center"/>
              <w:rPr>
                <w:rFonts w:ascii="Arial" w:hAnsi="Arial" w:cs="Arial"/>
                <w:color w:val="auto"/>
                <w:sz w:val="20"/>
                <w:szCs w:val="20"/>
              </w:rPr>
            </w:pPr>
            <w:r w:rsidRPr="007528E0">
              <w:rPr>
                <w:rFonts w:ascii="Arial" w:eastAsia="Calibri" w:hAnsi="Arial" w:cs="Arial"/>
                <w:color w:val="auto"/>
                <w:sz w:val="20"/>
                <w:szCs w:val="20"/>
              </w:rPr>
              <w:lastRenderedPageBreak/>
              <w:t>Carbamatos (insecticidas)</w:t>
            </w:r>
          </w:p>
        </w:tc>
        <w:tc>
          <w:tcPr>
            <w:tcW w:w="1985" w:type="dxa"/>
          </w:tcPr>
          <w:p w14:paraId="3948178C" w14:textId="77777777" w:rsidR="0037398A" w:rsidRPr="007528E0" w:rsidRDefault="0037398A" w:rsidP="007528E0">
            <w:pPr>
              <w:pStyle w:val="Normal1"/>
              <w:spacing w:before="100" w:beforeAutospacing="1" w:after="100" w:afterAutospacing="1"/>
              <w:jc w:val="center"/>
              <w:rPr>
                <w:rFonts w:ascii="Arial" w:hAnsi="Arial" w:cs="Arial"/>
                <w:color w:val="auto"/>
                <w:sz w:val="20"/>
                <w:szCs w:val="20"/>
              </w:rPr>
            </w:pPr>
            <w:proofErr w:type="spellStart"/>
            <w:r w:rsidRPr="007528E0">
              <w:rPr>
                <w:rFonts w:ascii="Arial" w:eastAsia="Calibri" w:hAnsi="Arial" w:cs="Arial"/>
                <w:color w:val="auto"/>
                <w:sz w:val="20"/>
                <w:szCs w:val="20"/>
              </w:rPr>
              <w:t>Metomil</w:t>
            </w:r>
            <w:proofErr w:type="spellEnd"/>
          </w:p>
          <w:p w14:paraId="1DBC304D" w14:textId="77777777" w:rsidR="0037398A" w:rsidRPr="007528E0" w:rsidRDefault="0037398A" w:rsidP="007528E0">
            <w:pPr>
              <w:pStyle w:val="Normal1"/>
              <w:spacing w:before="100" w:beforeAutospacing="1" w:after="100" w:afterAutospacing="1"/>
              <w:jc w:val="center"/>
              <w:rPr>
                <w:rFonts w:ascii="Arial" w:hAnsi="Arial" w:cs="Arial"/>
                <w:color w:val="auto"/>
                <w:sz w:val="20"/>
                <w:szCs w:val="20"/>
              </w:rPr>
            </w:pPr>
            <w:proofErr w:type="spellStart"/>
            <w:r w:rsidRPr="007528E0">
              <w:rPr>
                <w:rFonts w:ascii="Arial" w:eastAsia="Calibri" w:hAnsi="Arial" w:cs="Arial"/>
                <w:color w:val="auto"/>
                <w:sz w:val="20"/>
                <w:szCs w:val="20"/>
              </w:rPr>
              <w:t>Carbofuran</w:t>
            </w:r>
            <w:proofErr w:type="spellEnd"/>
          </w:p>
          <w:p w14:paraId="5795B6AA" w14:textId="77777777" w:rsidR="0037398A" w:rsidRPr="007528E0" w:rsidRDefault="0037398A" w:rsidP="007528E0">
            <w:pPr>
              <w:pStyle w:val="Normal1"/>
              <w:spacing w:before="100" w:beforeAutospacing="1" w:after="100" w:afterAutospacing="1"/>
              <w:jc w:val="center"/>
              <w:rPr>
                <w:rFonts w:ascii="Arial" w:hAnsi="Arial" w:cs="Arial"/>
                <w:color w:val="auto"/>
                <w:sz w:val="20"/>
                <w:szCs w:val="20"/>
              </w:rPr>
            </w:pPr>
            <w:proofErr w:type="spellStart"/>
            <w:r w:rsidRPr="007528E0">
              <w:rPr>
                <w:rFonts w:ascii="Arial" w:eastAsia="Calibri" w:hAnsi="Arial" w:cs="Arial"/>
                <w:color w:val="auto"/>
                <w:sz w:val="20"/>
                <w:szCs w:val="20"/>
              </w:rPr>
              <w:t>Metiocarb</w:t>
            </w:r>
            <w:proofErr w:type="spellEnd"/>
          </w:p>
          <w:p w14:paraId="258D768B" w14:textId="77777777" w:rsidR="0037398A" w:rsidRPr="007528E0" w:rsidRDefault="0037398A" w:rsidP="007528E0">
            <w:pPr>
              <w:pStyle w:val="Normal1"/>
              <w:spacing w:before="100" w:beforeAutospacing="1" w:after="100" w:afterAutospacing="1"/>
              <w:jc w:val="center"/>
              <w:rPr>
                <w:rFonts w:ascii="Arial" w:hAnsi="Arial" w:cs="Arial"/>
                <w:color w:val="auto"/>
                <w:sz w:val="20"/>
                <w:szCs w:val="20"/>
              </w:rPr>
            </w:pPr>
            <w:proofErr w:type="spellStart"/>
            <w:r w:rsidRPr="007528E0">
              <w:rPr>
                <w:rFonts w:ascii="Arial" w:eastAsia="Calibri" w:hAnsi="Arial" w:cs="Arial"/>
                <w:color w:val="auto"/>
                <w:sz w:val="20"/>
                <w:szCs w:val="20"/>
              </w:rPr>
              <w:t>Aldicarb</w:t>
            </w:r>
            <w:proofErr w:type="spellEnd"/>
          </w:p>
        </w:tc>
        <w:tc>
          <w:tcPr>
            <w:tcW w:w="3118" w:type="dxa"/>
          </w:tcPr>
          <w:p w14:paraId="3F0983B8" w14:textId="77777777" w:rsidR="0037398A" w:rsidRPr="007528E0" w:rsidRDefault="0037398A" w:rsidP="007528E0">
            <w:pPr>
              <w:pStyle w:val="Normal1"/>
              <w:spacing w:before="100" w:beforeAutospacing="1" w:after="100" w:afterAutospacing="1"/>
              <w:jc w:val="center"/>
              <w:rPr>
                <w:rFonts w:ascii="Arial" w:hAnsi="Arial" w:cs="Arial"/>
                <w:color w:val="auto"/>
                <w:sz w:val="20"/>
                <w:szCs w:val="20"/>
              </w:rPr>
            </w:pPr>
            <w:proofErr w:type="spellStart"/>
            <w:r w:rsidRPr="007528E0">
              <w:rPr>
                <w:rFonts w:ascii="Arial" w:eastAsia="Calibri" w:hAnsi="Arial" w:cs="Arial"/>
                <w:color w:val="auto"/>
                <w:sz w:val="20"/>
                <w:szCs w:val="20"/>
              </w:rPr>
              <w:t>Toxidrome</w:t>
            </w:r>
            <w:proofErr w:type="spellEnd"/>
            <w:r w:rsidRPr="007528E0">
              <w:rPr>
                <w:rFonts w:ascii="Arial" w:eastAsia="Calibri" w:hAnsi="Arial" w:cs="Arial"/>
                <w:color w:val="auto"/>
                <w:sz w:val="20"/>
                <w:szCs w:val="20"/>
              </w:rPr>
              <w:t xml:space="preserve"> colinérgico.</w:t>
            </w:r>
          </w:p>
        </w:tc>
        <w:tc>
          <w:tcPr>
            <w:tcW w:w="2693" w:type="dxa"/>
          </w:tcPr>
          <w:p w14:paraId="6B0EFFC9" w14:textId="77777777" w:rsidR="0037398A" w:rsidRPr="007528E0" w:rsidRDefault="0037398A" w:rsidP="007528E0">
            <w:pPr>
              <w:pStyle w:val="Normal1"/>
              <w:spacing w:before="100" w:beforeAutospacing="1" w:after="100" w:afterAutospacing="1"/>
              <w:jc w:val="center"/>
              <w:rPr>
                <w:rFonts w:ascii="Arial" w:hAnsi="Arial" w:cs="Arial"/>
                <w:color w:val="auto"/>
                <w:sz w:val="20"/>
                <w:szCs w:val="20"/>
              </w:rPr>
            </w:pPr>
            <w:r w:rsidRPr="007528E0">
              <w:rPr>
                <w:rFonts w:ascii="Arial" w:eastAsia="Calibri" w:hAnsi="Arial" w:cs="Arial"/>
                <w:color w:val="auto"/>
                <w:sz w:val="20"/>
                <w:szCs w:val="20"/>
              </w:rPr>
              <w:t>Oral, cutánea, respiratoria</w:t>
            </w:r>
          </w:p>
        </w:tc>
      </w:tr>
      <w:tr w:rsidR="007528E0" w:rsidRPr="007528E0" w14:paraId="746BE192" w14:textId="77777777" w:rsidTr="007528E0">
        <w:trPr>
          <w:trHeight w:val="57"/>
        </w:trPr>
        <w:tc>
          <w:tcPr>
            <w:tcW w:w="1711" w:type="dxa"/>
          </w:tcPr>
          <w:p w14:paraId="3E9A221D" w14:textId="77777777" w:rsidR="0037398A" w:rsidRPr="007528E0" w:rsidRDefault="0037398A" w:rsidP="007528E0">
            <w:pPr>
              <w:pStyle w:val="Normal1"/>
              <w:spacing w:before="100" w:beforeAutospacing="1" w:after="100" w:afterAutospacing="1"/>
              <w:jc w:val="center"/>
              <w:rPr>
                <w:rFonts w:ascii="Arial" w:hAnsi="Arial" w:cs="Arial"/>
                <w:color w:val="auto"/>
                <w:sz w:val="20"/>
                <w:szCs w:val="20"/>
              </w:rPr>
            </w:pPr>
            <w:r w:rsidRPr="007528E0">
              <w:rPr>
                <w:rFonts w:ascii="Arial" w:eastAsia="Calibri" w:hAnsi="Arial" w:cs="Arial"/>
                <w:color w:val="auto"/>
                <w:sz w:val="20"/>
                <w:szCs w:val="20"/>
              </w:rPr>
              <w:t>Boratos (insecticidas)</w:t>
            </w:r>
          </w:p>
        </w:tc>
        <w:tc>
          <w:tcPr>
            <w:tcW w:w="1985" w:type="dxa"/>
          </w:tcPr>
          <w:p w14:paraId="3A1B7B37" w14:textId="77777777" w:rsidR="0037398A" w:rsidRPr="007528E0" w:rsidRDefault="0037398A" w:rsidP="007528E0">
            <w:pPr>
              <w:pStyle w:val="Normal1"/>
              <w:spacing w:before="100" w:beforeAutospacing="1" w:after="100" w:afterAutospacing="1"/>
              <w:jc w:val="center"/>
              <w:rPr>
                <w:rFonts w:ascii="Arial" w:hAnsi="Arial" w:cs="Arial"/>
                <w:color w:val="auto"/>
                <w:sz w:val="20"/>
                <w:szCs w:val="20"/>
              </w:rPr>
            </w:pPr>
            <w:r w:rsidRPr="007528E0">
              <w:rPr>
                <w:rFonts w:ascii="Arial" w:eastAsia="Calibri" w:hAnsi="Arial" w:cs="Arial"/>
                <w:color w:val="auto"/>
                <w:sz w:val="20"/>
                <w:szCs w:val="20"/>
              </w:rPr>
              <w:t>Ácido bórico,</w:t>
            </w:r>
          </w:p>
          <w:p w14:paraId="4B52CE29" w14:textId="77777777" w:rsidR="0037398A" w:rsidRPr="007528E0" w:rsidRDefault="0037398A" w:rsidP="007528E0">
            <w:pPr>
              <w:pStyle w:val="Normal1"/>
              <w:spacing w:before="100" w:beforeAutospacing="1" w:after="100" w:afterAutospacing="1"/>
              <w:jc w:val="center"/>
              <w:rPr>
                <w:rFonts w:ascii="Arial" w:hAnsi="Arial" w:cs="Arial"/>
                <w:color w:val="auto"/>
                <w:sz w:val="20"/>
                <w:szCs w:val="20"/>
              </w:rPr>
            </w:pPr>
            <w:r w:rsidRPr="007528E0">
              <w:rPr>
                <w:rFonts w:ascii="Arial" w:eastAsia="Calibri" w:hAnsi="Arial" w:cs="Arial"/>
                <w:color w:val="auto"/>
                <w:sz w:val="20"/>
                <w:szCs w:val="20"/>
              </w:rPr>
              <w:t>bórax</w:t>
            </w:r>
          </w:p>
        </w:tc>
        <w:tc>
          <w:tcPr>
            <w:tcW w:w="3118" w:type="dxa"/>
          </w:tcPr>
          <w:p w14:paraId="42BBEB4A" w14:textId="77777777" w:rsidR="0037398A" w:rsidRPr="007528E0" w:rsidRDefault="0037398A" w:rsidP="007528E0">
            <w:pPr>
              <w:pStyle w:val="Normal1"/>
              <w:spacing w:before="100" w:beforeAutospacing="1" w:after="100" w:afterAutospacing="1"/>
              <w:jc w:val="center"/>
              <w:rPr>
                <w:rFonts w:ascii="Arial" w:hAnsi="Arial" w:cs="Arial"/>
                <w:color w:val="auto"/>
                <w:sz w:val="20"/>
                <w:szCs w:val="20"/>
              </w:rPr>
            </w:pPr>
            <w:r w:rsidRPr="007528E0">
              <w:rPr>
                <w:rFonts w:ascii="Arial" w:eastAsia="Calibri" w:hAnsi="Arial" w:cs="Arial"/>
                <w:color w:val="auto"/>
                <w:sz w:val="20"/>
                <w:szCs w:val="20"/>
              </w:rPr>
              <w:t>Irritación de las vías aéreas, dolor abdominal, náuseas, vómito, diarrea, cefalea, temblor, insuficiencia renal, eritrodermia.</w:t>
            </w:r>
          </w:p>
        </w:tc>
        <w:tc>
          <w:tcPr>
            <w:tcW w:w="2693" w:type="dxa"/>
          </w:tcPr>
          <w:p w14:paraId="3E3E3B0B" w14:textId="77777777" w:rsidR="0037398A" w:rsidRPr="007528E0" w:rsidRDefault="0037398A" w:rsidP="007528E0">
            <w:pPr>
              <w:pStyle w:val="Normal1"/>
              <w:spacing w:before="100" w:beforeAutospacing="1" w:after="100" w:afterAutospacing="1"/>
              <w:jc w:val="center"/>
              <w:rPr>
                <w:rFonts w:ascii="Arial" w:hAnsi="Arial" w:cs="Arial"/>
                <w:color w:val="auto"/>
                <w:sz w:val="20"/>
                <w:szCs w:val="20"/>
              </w:rPr>
            </w:pPr>
            <w:r w:rsidRPr="007528E0">
              <w:rPr>
                <w:rFonts w:ascii="Arial" w:eastAsia="Calibri" w:hAnsi="Arial" w:cs="Arial"/>
                <w:color w:val="auto"/>
                <w:sz w:val="20"/>
                <w:szCs w:val="20"/>
              </w:rPr>
              <w:t>Oral, cutánea, respiratoria</w:t>
            </w:r>
          </w:p>
        </w:tc>
      </w:tr>
      <w:tr w:rsidR="007528E0" w:rsidRPr="007528E0" w14:paraId="266A4FF2" w14:textId="77777777" w:rsidTr="007528E0">
        <w:trPr>
          <w:trHeight w:val="57"/>
        </w:trPr>
        <w:tc>
          <w:tcPr>
            <w:tcW w:w="1711" w:type="dxa"/>
          </w:tcPr>
          <w:p w14:paraId="69B9904D" w14:textId="77777777" w:rsidR="0037398A" w:rsidRPr="007528E0" w:rsidRDefault="0037398A" w:rsidP="007528E0">
            <w:pPr>
              <w:pStyle w:val="Normal1"/>
              <w:spacing w:before="100" w:beforeAutospacing="1" w:after="100" w:afterAutospacing="1"/>
              <w:jc w:val="center"/>
              <w:rPr>
                <w:rFonts w:ascii="Arial" w:hAnsi="Arial" w:cs="Arial"/>
                <w:color w:val="auto"/>
                <w:sz w:val="20"/>
                <w:szCs w:val="20"/>
              </w:rPr>
            </w:pPr>
            <w:r w:rsidRPr="007528E0">
              <w:rPr>
                <w:rFonts w:ascii="Arial" w:eastAsia="Calibri" w:hAnsi="Arial" w:cs="Arial"/>
                <w:color w:val="auto"/>
                <w:sz w:val="20"/>
                <w:szCs w:val="20"/>
              </w:rPr>
              <w:t>Piretrinas / piretroides</w:t>
            </w:r>
          </w:p>
          <w:p w14:paraId="0EE1DA54" w14:textId="77777777" w:rsidR="0037398A" w:rsidRPr="007528E0" w:rsidRDefault="0037398A" w:rsidP="007528E0">
            <w:pPr>
              <w:pStyle w:val="Normal1"/>
              <w:spacing w:before="100" w:beforeAutospacing="1" w:after="100" w:afterAutospacing="1"/>
              <w:jc w:val="center"/>
              <w:rPr>
                <w:rFonts w:ascii="Arial" w:hAnsi="Arial" w:cs="Arial"/>
                <w:color w:val="auto"/>
                <w:sz w:val="20"/>
                <w:szCs w:val="20"/>
              </w:rPr>
            </w:pPr>
            <w:r w:rsidRPr="007528E0">
              <w:rPr>
                <w:rFonts w:ascii="Arial" w:eastAsia="Calibri" w:hAnsi="Arial" w:cs="Arial"/>
                <w:color w:val="auto"/>
                <w:sz w:val="20"/>
                <w:szCs w:val="20"/>
              </w:rPr>
              <w:t>(insecticidas)</w:t>
            </w:r>
          </w:p>
        </w:tc>
        <w:tc>
          <w:tcPr>
            <w:tcW w:w="1985" w:type="dxa"/>
          </w:tcPr>
          <w:p w14:paraId="098181C4" w14:textId="77777777" w:rsidR="0037398A" w:rsidRPr="007528E0" w:rsidRDefault="0037398A" w:rsidP="007528E0">
            <w:pPr>
              <w:pStyle w:val="Normal1"/>
              <w:spacing w:before="100" w:beforeAutospacing="1" w:after="100" w:afterAutospacing="1"/>
              <w:jc w:val="center"/>
              <w:rPr>
                <w:rFonts w:ascii="Arial" w:hAnsi="Arial" w:cs="Arial"/>
                <w:color w:val="auto"/>
                <w:sz w:val="20"/>
                <w:szCs w:val="20"/>
              </w:rPr>
            </w:pPr>
            <w:r w:rsidRPr="007528E0">
              <w:rPr>
                <w:rFonts w:ascii="Arial" w:eastAsia="Calibri" w:hAnsi="Arial" w:cs="Arial"/>
                <w:color w:val="auto"/>
                <w:sz w:val="20"/>
                <w:szCs w:val="20"/>
              </w:rPr>
              <w:t xml:space="preserve">Cipermetrina, </w:t>
            </w:r>
            <w:proofErr w:type="spellStart"/>
            <w:r w:rsidRPr="007528E0">
              <w:rPr>
                <w:rFonts w:ascii="Arial" w:eastAsia="Calibri" w:hAnsi="Arial" w:cs="Arial"/>
                <w:color w:val="auto"/>
                <w:sz w:val="20"/>
                <w:szCs w:val="20"/>
              </w:rPr>
              <w:t>Aletrina</w:t>
            </w:r>
            <w:proofErr w:type="spellEnd"/>
            <w:r w:rsidRPr="007528E0">
              <w:rPr>
                <w:rFonts w:ascii="Arial" w:eastAsia="Calibri" w:hAnsi="Arial" w:cs="Arial"/>
                <w:color w:val="auto"/>
                <w:sz w:val="20"/>
                <w:szCs w:val="20"/>
              </w:rPr>
              <w:t>,</w:t>
            </w:r>
          </w:p>
          <w:p w14:paraId="485BE6FD" w14:textId="77777777" w:rsidR="0037398A" w:rsidRPr="007528E0" w:rsidRDefault="0037398A" w:rsidP="007528E0">
            <w:pPr>
              <w:pStyle w:val="Normal1"/>
              <w:spacing w:before="100" w:beforeAutospacing="1" w:after="100" w:afterAutospacing="1"/>
              <w:jc w:val="center"/>
              <w:rPr>
                <w:rFonts w:ascii="Arial" w:hAnsi="Arial" w:cs="Arial"/>
                <w:color w:val="auto"/>
                <w:sz w:val="20"/>
                <w:szCs w:val="20"/>
              </w:rPr>
            </w:pPr>
            <w:proofErr w:type="spellStart"/>
            <w:r w:rsidRPr="007528E0">
              <w:rPr>
                <w:rFonts w:ascii="Arial" w:eastAsia="Calibri" w:hAnsi="Arial" w:cs="Arial"/>
                <w:color w:val="auto"/>
                <w:sz w:val="20"/>
                <w:szCs w:val="20"/>
              </w:rPr>
              <w:t>Ciflutrina</w:t>
            </w:r>
            <w:proofErr w:type="spellEnd"/>
            <w:r w:rsidRPr="007528E0">
              <w:rPr>
                <w:rFonts w:ascii="Arial" w:eastAsia="Calibri" w:hAnsi="Arial" w:cs="Arial"/>
                <w:color w:val="auto"/>
                <w:sz w:val="20"/>
                <w:szCs w:val="20"/>
              </w:rPr>
              <w:t>, Permetrina,</w:t>
            </w:r>
          </w:p>
          <w:p w14:paraId="08B946E3" w14:textId="77777777" w:rsidR="0037398A" w:rsidRPr="007528E0" w:rsidRDefault="0037398A" w:rsidP="007528E0">
            <w:pPr>
              <w:pStyle w:val="Normal1"/>
              <w:spacing w:before="100" w:beforeAutospacing="1" w:after="100" w:afterAutospacing="1"/>
              <w:jc w:val="center"/>
              <w:rPr>
                <w:rFonts w:ascii="Arial" w:hAnsi="Arial" w:cs="Arial"/>
                <w:color w:val="auto"/>
                <w:sz w:val="20"/>
                <w:szCs w:val="20"/>
              </w:rPr>
            </w:pPr>
            <w:proofErr w:type="spellStart"/>
            <w:r w:rsidRPr="007528E0">
              <w:rPr>
                <w:rFonts w:ascii="Arial" w:eastAsia="Calibri" w:hAnsi="Arial" w:cs="Arial"/>
                <w:color w:val="auto"/>
                <w:sz w:val="20"/>
                <w:szCs w:val="20"/>
              </w:rPr>
              <w:t>Deltametrina</w:t>
            </w:r>
            <w:proofErr w:type="spellEnd"/>
            <w:r w:rsidRPr="007528E0">
              <w:rPr>
                <w:rFonts w:ascii="Arial" w:eastAsia="Calibri" w:hAnsi="Arial" w:cs="Arial"/>
                <w:color w:val="auto"/>
                <w:sz w:val="20"/>
                <w:szCs w:val="20"/>
              </w:rPr>
              <w:t xml:space="preserve">, </w:t>
            </w:r>
            <w:proofErr w:type="spellStart"/>
            <w:r w:rsidRPr="007528E0">
              <w:rPr>
                <w:rFonts w:ascii="Arial" w:eastAsia="Calibri" w:hAnsi="Arial" w:cs="Arial"/>
                <w:color w:val="auto"/>
                <w:sz w:val="20"/>
                <w:szCs w:val="20"/>
              </w:rPr>
              <w:t>Cialotrina</w:t>
            </w:r>
            <w:proofErr w:type="spellEnd"/>
          </w:p>
        </w:tc>
        <w:tc>
          <w:tcPr>
            <w:tcW w:w="3118" w:type="dxa"/>
          </w:tcPr>
          <w:p w14:paraId="46E1372D" w14:textId="77777777" w:rsidR="0037398A" w:rsidRPr="007528E0" w:rsidRDefault="0037398A" w:rsidP="007528E0">
            <w:pPr>
              <w:pStyle w:val="Normal1"/>
              <w:spacing w:before="100" w:beforeAutospacing="1" w:after="100" w:afterAutospacing="1"/>
              <w:jc w:val="center"/>
              <w:rPr>
                <w:rFonts w:ascii="Arial" w:hAnsi="Arial" w:cs="Arial"/>
                <w:color w:val="auto"/>
                <w:sz w:val="20"/>
                <w:szCs w:val="20"/>
              </w:rPr>
            </w:pPr>
            <w:r w:rsidRPr="007528E0">
              <w:rPr>
                <w:rFonts w:ascii="Arial" w:eastAsia="Calibri" w:hAnsi="Arial" w:cs="Arial"/>
                <w:color w:val="auto"/>
                <w:sz w:val="20"/>
                <w:szCs w:val="20"/>
              </w:rPr>
              <w:t>Parestesias, diarrea, vómito, dolor abdominal, edema pulmonar, sibilancias, convulsiones, coma. Reacciones alérgicas, anafilaxia, dermatitis.</w:t>
            </w:r>
          </w:p>
        </w:tc>
        <w:tc>
          <w:tcPr>
            <w:tcW w:w="2693" w:type="dxa"/>
          </w:tcPr>
          <w:p w14:paraId="490E827A" w14:textId="77777777" w:rsidR="0037398A" w:rsidRPr="007528E0" w:rsidRDefault="0037398A" w:rsidP="007528E0">
            <w:pPr>
              <w:pStyle w:val="Normal1"/>
              <w:spacing w:before="100" w:beforeAutospacing="1" w:after="100" w:afterAutospacing="1"/>
              <w:jc w:val="center"/>
              <w:rPr>
                <w:rFonts w:ascii="Arial" w:hAnsi="Arial" w:cs="Arial"/>
                <w:color w:val="auto"/>
                <w:sz w:val="20"/>
                <w:szCs w:val="20"/>
              </w:rPr>
            </w:pPr>
            <w:r w:rsidRPr="007528E0">
              <w:rPr>
                <w:rFonts w:ascii="Arial" w:eastAsia="Calibri" w:hAnsi="Arial" w:cs="Arial"/>
                <w:color w:val="auto"/>
                <w:sz w:val="20"/>
                <w:szCs w:val="20"/>
              </w:rPr>
              <w:t>Oral, cutánea,</w:t>
            </w:r>
          </w:p>
          <w:p w14:paraId="4CB066F3" w14:textId="77777777" w:rsidR="0037398A" w:rsidRPr="007528E0" w:rsidRDefault="0037398A" w:rsidP="007528E0">
            <w:pPr>
              <w:pStyle w:val="Normal1"/>
              <w:spacing w:before="100" w:beforeAutospacing="1" w:after="100" w:afterAutospacing="1"/>
              <w:jc w:val="center"/>
              <w:rPr>
                <w:rFonts w:ascii="Arial" w:hAnsi="Arial" w:cs="Arial"/>
                <w:color w:val="auto"/>
                <w:sz w:val="20"/>
                <w:szCs w:val="20"/>
              </w:rPr>
            </w:pPr>
            <w:r w:rsidRPr="007528E0">
              <w:rPr>
                <w:rFonts w:ascii="Arial" w:eastAsia="Calibri" w:hAnsi="Arial" w:cs="Arial"/>
                <w:color w:val="auto"/>
                <w:sz w:val="20"/>
                <w:szCs w:val="20"/>
              </w:rPr>
              <w:t>Respiratoria</w:t>
            </w:r>
          </w:p>
        </w:tc>
      </w:tr>
      <w:tr w:rsidR="007528E0" w:rsidRPr="007528E0" w14:paraId="3819B13B" w14:textId="77777777" w:rsidTr="007528E0">
        <w:trPr>
          <w:trHeight w:val="57"/>
        </w:trPr>
        <w:tc>
          <w:tcPr>
            <w:tcW w:w="1711" w:type="dxa"/>
          </w:tcPr>
          <w:p w14:paraId="5789BE52" w14:textId="77777777" w:rsidR="0037398A" w:rsidRPr="007528E0" w:rsidRDefault="0037398A" w:rsidP="007528E0">
            <w:pPr>
              <w:pStyle w:val="Normal1"/>
              <w:spacing w:before="100" w:beforeAutospacing="1" w:after="100" w:afterAutospacing="1"/>
              <w:jc w:val="center"/>
              <w:rPr>
                <w:rFonts w:ascii="Arial" w:hAnsi="Arial" w:cs="Arial"/>
                <w:color w:val="auto"/>
                <w:sz w:val="20"/>
                <w:szCs w:val="20"/>
              </w:rPr>
            </w:pPr>
            <w:proofErr w:type="spellStart"/>
            <w:r w:rsidRPr="007528E0">
              <w:rPr>
                <w:rFonts w:ascii="Arial" w:eastAsia="Calibri" w:hAnsi="Arial" w:cs="Arial"/>
                <w:color w:val="auto"/>
                <w:sz w:val="20"/>
                <w:szCs w:val="20"/>
              </w:rPr>
              <w:t>Neonicotinoides</w:t>
            </w:r>
            <w:proofErr w:type="spellEnd"/>
            <w:r w:rsidRPr="007528E0">
              <w:rPr>
                <w:rFonts w:ascii="Arial" w:eastAsia="Calibri" w:hAnsi="Arial" w:cs="Arial"/>
                <w:color w:val="auto"/>
                <w:sz w:val="20"/>
                <w:szCs w:val="20"/>
              </w:rPr>
              <w:t xml:space="preserve">  (insecticidas)</w:t>
            </w:r>
          </w:p>
        </w:tc>
        <w:tc>
          <w:tcPr>
            <w:tcW w:w="1985" w:type="dxa"/>
          </w:tcPr>
          <w:p w14:paraId="5A572D99" w14:textId="77777777" w:rsidR="0037398A" w:rsidRPr="007528E0" w:rsidRDefault="0037398A" w:rsidP="007528E0">
            <w:pPr>
              <w:pStyle w:val="Normal1"/>
              <w:spacing w:before="100" w:beforeAutospacing="1" w:after="100" w:afterAutospacing="1"/>
              <w:jc w:val="center"/>
              <w:rPr>
                <w:rFonts w:ascii="Arial" w:hAnsi="Arial" w:cs="Arial"/>
                <w:color w:val="auto"/>
                <w:sz w:val="20"/>
                <w:szCs w:val="20"/>
              </w:rPr>
            </w:pPr>
            <w:r w:rsidRPr="007528E0">
              <w:rPr>
                <w:rFonts w:ascii="Arial" w:eastAsia="Calibri" w:hAnsi="Arial" w:cs="Arial"/>
                <w:color w:val="auto"/>
                <w:sz w:val="20"/>
                <w:szCs w:val="20"/>
              </w:rPr>
              <w:t>Imidacloprid</w:t>
            </w:r>
          </w:p>
          <w:p w14:paraId="5D7D304E" w14:textId="77777777" w:rsidR="0037398A" w:rsidRPr="007528E0" w:rsidRDefault="0037398A" w:rsidP="007528E0">
            <w:pPr>
              <w:pStyle w:val="Normal1"/>
              <w:spacing w:before="100" w:beforeAutospacing="1" w:after="100" w:afterAutospacing="1"/>
              <w:jc w:val="center"/>
              <w:rPr>
                <w:rFonts w:ascii="Arial" w:hAnsi="Arial" w:cs="Arial"/>
                <w:color w:val="auto"/>
                <w:sz w:val="20"/>
                <w:szCs w:val="20"/>
              </w:rPr>
            </w:pPr>
            <w:proofErr w:type="spellStart"/>
            <w:r w:rsidRPr="007528E0">
              <w:rPr>
                <w:rFonts w:ascii="Arial" w:eastAsia="Calibri" w:hAnsi="Arial" w:cs="Arial"/>
                <w:color w:val="auto"/>
                <w:sz w:val="20"/>
                <w:szCs w:val="20"/>
              </w:rPr>
              <w:t>Tiametoxam</w:t>
            </w:r>
            <w:proofErr w:type="spellEnd"/>
          </w:p>
          <w:p w14:paraId="26B3057E" w14:textId="77777777" w:rsidR="0037398A" w:rsidRPr="007528E0" w:rsidRDefault="0037398A" w:rsidP="007528E0">
            <w:pPr>
              <w:pStyle w:val="Normal1"/>
              <w:spacing w:before="100" w:beforeAutospacing="1" w:after="100" w:afterAutospacing="1"/>
              <w:jc w:val="center"/>
              <w:rPr>
                <w:rFonts w:ascii="Arial" w:hAnsi="Arial" w:cs="Arial"/>
                <w:color w:val="auto"/>
                <w:sz w:val="20"/>
                <w:szCs w:val="20"/>
              </w:rPr>
            </w:pPr>
            <w:proofErr w:type="spellStart"/>
            <w:r w:rsidRPr="007528E0">
              <w:rPr>
                <w:rFonts w:ascii="Arial" w:eastAsia="Calibri" w:hAnsi="Arial" w:cs="Arial"/>
                <w:color w:val="auto"/>
                <w:sz w:val="20"/>
                <w:szCs w:val="20"/>
              </w:rPr>
              <w:t>Clotianidina</w:t>
            </w:r>
            <w:proofErr w:type="spellEnd"/>
          </w:p>
          <w:p w14:paraId="3CE66E7E" w14:textId="77777777" w:rsidR="0037398A" w:rsidRPr="007528E0" w:rsidRDefault="0037398A" w:rsidP="007528E0">
            <w:pPr>
              <w:pStyle w:val="Normal1"/>
              <w:spacing w:before="100" w:beforeAutospacing="1" w:after="100" w:afterAutospacing="1"/>
              <w:jc w:val="center"/>
              <w:rPr>
                <w:rFonts w:ascii="Arial" w:hAnsi="Arial" w:cs="Arial"/>
                <w:color w:val="auto"/>
                <w:sz w:val="20"/>
                <w:szCs w:val="20"/>
              </w:rPr>
            </w:pPr>
            <w:proofErr w:type="spellStart"/>
            <w:r w:rsidRPr="007528E0">
              <w:rPr>
                <w:rFonts w:ascii="Arial" w:eastAsia="Calibri" w:hAnsi="Arial" w:cs="Arial"/>
                <w:color w:val="auto"/>
                <w:sz w:val="20"/>
                <w:szCs w:val="20"/>
              </w:rPr>
              <w:t>Tiacloprid</w:t>
            </w:r>
            <w:proofErr w:type="spellEnd"/>
          </w:p>
        </w:tc>
        <w:tc>
          <w:tcPr>
            <w:tcW w:w="3118" w:type="dxa"/>
          </w:tcPr>
          <w:p w14:paraId="6F29A8B2" w14:textId="77777777" w:rsidR="0037398A" w:rsidRPr="007528E0" w:rsidRDefault="0037398A" w:rsidP="007528E0">
            <w:pPr>
              <w:pStyle w:val="Normal1"/>
              <w:spacing w:before="100" w:beforeAutospacing="1" w:after="100" w:afterAutospacing="1"/>
              <w:jc w:val="center"/>
              <w:rPr>
                <w:rFonts w:ascii="Arial" w:hAnsi="Arial" w:cs="Arial"/>
                <w:color w:val="auto"/>
                <w:sz w:val="20"/>
                <w:szCs w:val="20"/>
              </w:rPr>
            </w:pPr>
            <w:r w:rsidRPr="007528E0">
              <w:rPr>
                <w:rFonts w:ascii="Arial" w:eastAsia="Calibri" w:hAnsi="Arial" w:cs="Arial"/>
                <w:color w:val="auto"/>
                <w:sz w:val="20"/>
                <w:szCs w:val="20"/>
              </w:rPr>
              <w:t>Irritación /quemadura en piel y mucosas, náuseas, vomito, sialorrea, palidez, broncorrea, dolor abdominal, agitación, taquicardia, convulsiones, fasciculaciones.</w:t>
            </w:r>
          </w:p>
        </w:tc>
        <w:tc>
          <w:tcPr>
            <w:tcW w:w="2693" w:type="dxa"/>
          </w:tcPr>
          <w:p w14:paraId="2C399519" w14:textId="77777777" w:rsidR="0037398A" w:rsidRPr="007528E0" w:rsidRDefault="0037398A" w:rsidP="007528E0">
            <w:pPr>
              <w:pStyle w:val="Normal1"/>
              <w:spacing w:before="100" w:beforeAutospacing="1" w:after="100" w:afterAutospacing="1"/>
              <w:jc w:val="center"/>
              <w:rPr>
                <w:rFonts w:ascii="Arial" w:hAnsi="Arial" w:cs="Arial"/>
                <w:color w:val="auto"/>
                <w:sz w:val="20"/>
                <w:szCs w:val="20"/>
              </w:rPr>
            </w:pPr>
            <w:r w:rsidRPr="007528E0">
              <w:rPr>
                <w:rFonts w:ascii="Arial" w:eastAsia="Calibri" w:hAnsi="Arial" w:cs="Arial"/>
                <w:color w:val="auto"/>
                <w:sz w:val="20"/>
                <w:szCs w:val="20"/>
              </w:rPr>
              <w:t>Oral, cutánea, respiratoria</w:t>
            </w:r>
          </w:p>
        </w:tc>
      </w:tr>
      <w:tr w:rsidR="007528E0" w:rsidRPr="007528E0" w14:paraId="2DC81358" w14:textId="77777777" w:rsidTr="007528E0">
        <w:trPr>
          <w:trHeight w:val="57"/>
        </w:trPr>
        <w:tc>
          <w:tcPr>
            <w:tcW w:w="1711" w:type="dxa"/>
          </w:tcPr>
          <w:p w14:paraId="4CB0F368" w14:textId="77777777" w:rsidR="0037398A" w:rsidRPr="007528E0" w:rsidRDefault="0037398A" w:rsidP="007528E0">
            <w:pPr>
              <w:pStyle w:val="Normal1"/>
              <w:spacing w:before="100" w:beforeAutospacing="1" w:after="100" w:afterAutospacing="1"/>
              <w:jc w:val="center"/>
              <w:rPr>
                <w:rFonts w:ascii="Arial" w:hAnsi="Arial" w:cs="Arial"/>
                <w:color w:val="auto"/>
                <w:sz w:val="20"/>
                <w:szCs w:val="20"/>
              </w:rPr>
            </w:pPr>
            <w:proofErr w:type="spellStart"/>
            <w:r w:rsidRPr="007528E0">
              <w:rPr>
                <w:rFonts w:ascii="Arial" w:eastAsia="Calibri" w:hAnsi="Arial" w:cs="Arial"/>
                <w:color w:val="auto"/>
                <w:sz w:val="20"/>
                <w:szCs w:val="20"/>
              </w:rPr>
              <w:t>Dietiltoluamida</w:t>
            </w:r>
            <w:proofErr w:type="spellEnd"/>
            <w:r w:rsidRPr="007528E0">
              <w:rPr>
                <w:rFonts w:ascii="Arial" w:eastAsia="Calibri" w:hAnsi="Arial" w:cs="Arial"/>
                <w:color w:val="auto"/>
                <w:sz w:val="20"/>
                <w:szCs w:val="20"/>
              </w:rPr>
              <w:t xml:space="preserve"> (repelente de insectos)</w:t>
            </w:r>
          </w:p>
        </w:tc>
        <w:tc>
          <w:tcPr>
            <w:tcW w:w="1985" w:type="dxa"/>
          </w:tcPr>
          <w:p w14:paraId="3B76C7DB" w14:textId="77777777" w:rsidR="0037398A" w:rsidRPr="007528E0" w:rsidRDefault="0037398A" w:rsidP="007528E0">
            <w:pPr>
              <w:pStyle w:val="Normal1"/>
              <w:spacing w:before="100" w:beforeAutospacing="1" w:after="100" w:afterAutospacing="1"/>
              <w:jc w:val="center"/>
              <w:rPr>
                <w:rFonts w:ascii="Arial" w:hAnsi="Arial" w:cs="Arial"/>
                <w:color w:val="auto"/>
                <w:sz w:val="20"/>
                <w:szCs w:val="20"/>
              </w:rPr>
            </w:pPr>
            <w:r w:rsidRPr="007528E0">
              <w:rPr>
                <w:rFonts w:ascii="Arial" w:eastAsia="Calibri" w:hAnsi="Arial" w:cs="Arial"/>
                <w:color w:val="auto"/>
                <w:sz w:val="20"/>
                <w:szCs w:val="20"/>
              </w:rPr>
              <w:t>DEET</w:t>
            </w:r>
          </w:p>
        </w:tc>
        <w:tc>
          <w:tcPr>
            <w:tcW w:w="3118" w:type="dxa"/>
          </w:tcPr>
          <w:p w14:paraId="56DDE5B0" w14:textId="77777777" w:rsidR="0037398A" w:rsidRPr="007528E0" w:rsidRDefault="0037398A" w:rsidP="007528E0">
            <w:pPr>
              <w:pStyle w:val="Normal1"/>
              <w:spacing w:before="100" w:beforeAutospacing="1" w:after="100" w:afterAutospacing="1"/>
              <w:jc w:val="center"/>
              <w:rPr>
                <w:rFonts w:ascii="Arial" w:hAnsi="Arial" w:cs="Arial"/>
                <w:color w:val="auto"/>
                <w:sz w:val="20"/>
                <w:szCs w:val="20"/>
              </w:rPr>
            </w:pPr>
            <w:r w:rsidRPr="007528E0">
              <w:rPr>
                <w:rFonts w:ascii="Arial" w:eastAsia="Calibri" w:hAnsi="Arial" w:cs="Arial"/>
                <w:color w:val="auto"/>
                <w:sz w:val="20"/>
                <w:szCs w:val="20"/>
              </w:rPr>
              <w:t>Dermatitis, irritación ocular, cefalea, ataxia, convulsiones, debilidad, urticaria.</w:t>
            </w:r>
          </w:p>
        </w:tc>
        <w:tc>
          <w:tcPr>
            <w:tcW w:w="2693" w:type="dxa"/>
          </w:tcPr>
          <w:p w14:paraId="19C17592" w14:textId="77777777" w:rsidR="0037398A" w:rsidRPr="007528E0" w:rsidRDefault="0037398A" w:rsidP="007528E0">
            <w:pPr>
              <w:pStyle w:val="Normal1"/>
              <w:spacing w:before="100" w:beforeAutospacing="1" w:after="100" w:afterAutospacing="1"/>
              <w:jc w:val="center"/>
              <w:rPr>
                <w:rFonts w:ascii="Arial" w:hAnsi="Arial" w:cs="Arial"/>
                <w:color w:val="auto"/>
                <w:sz w:val="20"/>
                <w:szCs w:val="20"/>
              </w:rPr>
            </w:pPr>
            <w:r w:rsidRPr="007528E0">
              <w:rPr>
                <w:rFonts w:ascii="Arial" w:eastAsia="Calibri" w:hAnsi="Arial" w:cs="Arial"/>
                <w:color w:val="auto"/>
                <w:sz w:val="20"/>
                <w:szCs w:val="20"/>
              </w:rPr>
              <w:t>Oral, cutánea</w:t>
            </w:r>
          </w:p>
        </w:tc>
      </w:tr>
      <w:tr w:rsidR="007528E0" w:rsidRPr="007528E0" w14:paraId="1F873BEC" w14:textId="77777777" w:rsidTr="007528E0">
        <w:trPr>
          <w:trHeight w:val="57"/>
        </w:trPr>
        <w:tc>
          <w:tcPr>
            <w:tcW w:w="1711" w:type="dxa"/>
          </w:tcPr>
          <w:p w14:paraId="6F9ADE5F" w14:textId="77777777" w:rsidR="0037398A" w:rsidRPr="007528E0" w:rsidRDefault="0037398A" w:rsidP="007528E0">
            <w:pPr>
              <w:pStyle w:val="Normal1"/>
              <w:spacing w:before="100" w:beforeAutospacing="1" w:after="100" w:afterAutospacing="1"/>
              <w:jc w:val="center"/>
              <w:rPr>
                <w:rFonts w:ascii="Arial" w:hAnsi="Arial" w:cs="Arial"/>
                <w:color w:val="auto"/>
                <w:sz w:val="20"/>
                <w:szCs w:val="20"/>
              </w:rPr>
            </w:pPr>
            <w:proofErr w:type="spellStart"/>
            <w:r w:rsidRPr="007528E0">
              <w:rPr>
                <w:rFonts w:ascii="Arial" w:eastAsia="Calibri" w:hAnsi="Arial" w:cs="Arial"/>
                <w:color w:val="auto"/>
                <w:sz w:val="20"/>
                <w:szCs w:val="20"/>
              </w:rPr>
              <w:t>Fenilpirazoles</w:t>
            </w:r>
            <w:proofErr w:type="spellEnd"/>
            <w:r w:rsidRPr="007528E0">
              <w:rPr>
                <w:rFonts w:ascii="Arial" w:eastAsia="Calibri" w:hAnsi="Arial" w:cs="Arial"/>
                <w:color w:val="auto"/>
                <w:sz w:val="20"/>
                <w:szCs w:val="20"/>
              </w:rPr>
              <w:t xml:space="preserve"> (insecticidas)</w:t>
            </w:r>
          </w:p>
        </w:tc>
        <w:tc>
          <w:tcPr>
            <w:tcW w:w="1985" w:type="dxa"/>
          </w:tcPr>
          <w:p w14:paraId="2351E6B0" w14:textId="77777777" w:rsidR="0037398A" w:rsidRPr="007528E0" w:rsidRDefault="0037398A" w:rsidP="007528E0">
            <w:pPr>
              <w:pStyle w:val="Normal1"/>
              <w:spacing w:before="100" w:beforeAutospacing="1" w:after="100" w:afterAutospacing="1"/>
              <w:jc w:val="center"/>
              <w:rPr>
                <w:rFonts w:ascii="Arial" w:hAnsi="Arial" w:cs="Arial"/>
                <w:color w:val="auto"/>
                <w:sz w:val="20"/>
                <w:szCs w:val="20"/>
              </w:rPr>
            </w:pPr>
            <w:proofErr w:type="spellStart"/>
            <w:r w:rsidRPr="007528E0">
              <w:rPr>
                <w:rFonts w:ascii="Arial" w:eastAsia="Calibri" w:hAnsi="Arial" w:cs="Arial"/>
                <w:color w:val="auto"/>
                <w:sz w:val="20"/>
                <w:szCs w:val="20"/>
              </w:rPr>
              <w:t>Fipronil</w:t>
            </w:r>
            <w:proofErr w:type="spellEnd"/>
          </w:p>
        </w:tc>
        <w:tc>
          <w:tcPr>
            <w:tcW w:w="3118" w:type="dxa"/>
          </w:tcPr>
          <w:p w14:paraId="180BB14D" w14:textId="77777777" w:rsidR="0037398A" w:rsidRPr="007528E0" w:rsidRDefault="0037398A" w:rsidP="007528E0">
            <w:pPr>
              <w:pStyle w:val="Normal1"/>
              <w:spacing w:before="100" w:beforeAutospacing="1" w:after="100" w:afterAutospacing="1"/>
              <w:jc w:val="center"/>
              <w:rPr>
                <w:rFonts w:ascii="Arial" w:hAnsi="Arial" w:cs="Arial"/>
                <w:color w:val="auto"/>
                <w:sz w:val="20"/>
                <w:szCs w:val="20"/>
              </w:rPr>
            </w:pPr>
            <w:r w:rsidRPr="007528E0">
              <w:rPr>
                <w:rFonts w:ascii="Arial" w:eastAsia="Calibri" w:hAnsi="Arial" w:cs="Arial"/>
                <w:color w:val="auto"/>
                <w:sz w:val="20"/>
                <w:szCs w:val="20"/>
              </w:rPr>
              <w:t xml:space="preserve">Sudoración, nauseas, vomito, dolor abdominal, agitación, convulsiones, estatus convulsivo, </w:t>
            </w:r>
            <w:proofErr w:type="spellStart"/>
            <w:r w:rsidRPr="007528E0">
              <w:rPr>
                <w:rFonts w:ascii="Arial" w:eastAsia="Calibri" w:hAnsi="Arial" w:cs="Arial"/>
                <w:color w:val="auto"/>
                <w:sz w:val="20"/>
                <w:szCs w:val="20"/>
              </w:rPr>
              <w:t>rabdomiolisis</w:t>
            </w:r>
            <w:proofErr w:type="spellEnd"/>
            <w:r w:rsidRPr="007528E0">
              <w:rPr>
                <w:rFonts w:ascii="Arial" w:eastAsia="Calibri" w:hAnsi="Arial" w:cs="Arial"/>
                <w:color w:val="auto"/>
                <w:sz w:val="20"/>
                <w:szCs w:val="20"/>
              </w:rPr>
              <w:t>.</w:t>
            </w:r>
          </w:p>
        </w:tc>
        <w:tc>
          <w:tcPr>
            <w:tcW w:w="2693" w:type="dxa"/>
          </w:tcPr>
          <w:p w14:paraId="139D95C4" w14:textId="77777777" w:rsidR="0037398A" w:rsidRPr="007528E0" w:rsidRDefault="0037398A" w:rsidP="007528E0">
            <w:pPr>
              <w:pStyle w:val="Normal1"/>
              <w:spacing w:before="100" w:beforeAutospacing="1" w:after="100" w:afterAutospacing="1"/>
              <w:jc w:val="center"/>
              <w:rPr>
                <w:rFonts w:ascii="Arial" w:hAnsi="Arial" w:cs="Arial"/>
                <w:color w:val="auto"/>
                <w:sz w:val="20"/>
                <w:szCs w:val="20"/>
              </w:rPr>
            </w:pPr>
            <w:r w:rsidRPr="007528E0">
              <w:rPr>
                <w:rFonts w:ascii="Arial" w:eastAsia="Calibri" w:hAnsi="Arial" w:cs="Arial"/>
                <w:color w:val="auto"/>
                <w:sz w:val="20"/>
                <w:szCs w:val="20"/>
              </w:rPr>
              <w:t>Oral, cutánea, respiratoria</w:t>
            </w:r>
          </w:p>
        </w:tc>
      </w:tr>
      <w:tr w:rsidR="007528E0" w:rsidRPr="007528E0" w14:paraId="1EB66A39" w14:textId="77777777" w:rsidTr="007528E0">
        <w:trPr>
          <w:trHeight w:val="57"/>
        </w:trPr>
        <w:tc>
          <w:tcPr>
            <w:tcW w:w="1711" w:type="dxa"/>
          </w:tcPr>
          <w:p w14:paraId="22129DA9" w14:textId="77777777" w:rsidR="0037398A" w:rsidRPr="007528E0" w:rsidRDefault="0037398A" w:rsidP="007528E0">
            <w:pPr>
              <w:pStyle w:val="Normal1"/>
              <w:spacing w:before="100" w:beforeAutospacing="1" w:after="100" w:afterAutospacing="1"/>
              <w:jc w:val="center"/>
              <w:rPr>
                <w:rFonts w:ascii="Arial" w:hAnsi="Arial" w:cs="Arial"/>
                <w:color w:val="auto"/>
                <w:sz w:val="20"/>
                <w:szCs w:val="20"/>
              </w:rPr>
            </w:pPr>
            <w:r w:rsidRPr="007528E0">
              <w:rPr>
                <w:rFonts w:ascii="Arial" w:eastAsia="Calibri" w:hAnsi="Arial" w:cs="Arial"/>
                <w:color w:val="auto"/>
                <w:sz w:val="20"/>
                <w:szCs w:val="20"/>
              </w:rPr>
              <w:t>Organofosforados  (insecticidas)</w:t>
            </w:r>
          </w:p>
        </w:tc>
        <w:tc>
          <w:tcPr>
            <w:tcW w:w="1985" w:type="dxa"/>
          </w:tcPr>
          <w:p w14:paraId="3F371677" w14:textId="77777777" w:rsidR="0037398A" w:rsidRPr="007528E0" w:rsidRDefault="0037398A" w:rsidP="007528E0">
            <w:pPr>
              <w:pStyle w:val="Normal1"/>
              <w:spacing w:before="100" w:beforeAutospacing="1" w:after="100" w:afterAutospacing="1"/>
              <w:jc w:val="center"/>
              <w:rPr>
                <w:rFonts w:ascii="Arial" w:hAnsi="Arial" w:cs="Arial"/>
                <w:color w:val="auto"/>
                <w:sz w:val="20"/>
                <w:szCs w:val="20"/>
              </w:rPr>
            </w:pPr>
            <w:proofErr w:type="spellStart"/>
            <w:r w:rsidRPr="007528E0">
              <w:rPr>
                <w:rFonts w:ascii="Arial" w:eastAsia="Calibri" w:hAnsi="Arial" w:cs="Arial"/>
                <w:color w:val="auto"/>
                <w:sz w:val="20"/>
                <w:szCs w:val="20"/>
              </w:rPr>
              <w:t>Clorpirifos</w:t>
            </w:r>
            <w:proofErr w:type="spellEnd"/>
          </w:p>
          <w:p w14:paraId="3F65A44E" w14:textId="77777777" w:rsidR="0037398A" w:rsidRPr="007528E0" w:rsidRDefault="0037398A" w:rsidP="007528E0">
            <w:pPr>
              <w:pStyle w:val="Normal1"/>
              <w:spacing w:before="100" w:beforeAutospacing="1" w:after="100" w:afterAutospacing="1"/>
              <w:jc w:val="center"/>
              <w:rPr>
                <w:rFonts w:ascii="Arial" w:hAnsi="Arial" w:cs="Arial"/>
                <w:color w:val="auto"/>
                <w:sz w:val="20"/>
                <w:szCs w:val="20"/>
              </w:rPr>
            </w:pPr>
            <w:proofErr w:type="spellStart"/>
            <w:r w:rsidRPr="007528E0">
              <w:rPr>
                <w:rFonts w:ascii="Arial" w:eastAsia="Calibri" w:hAnsi="Arial" w:cs="Arial"/>
                <w:color w:val="auto"/>
                <w:sz w:val="20"/>
                <w:szCs w:val="20"/>
              </w:rPr>
              <w:t>Dimetoato</w:t>
            </w:r>
            <w:proofErr w:type="spellEnd"/>
          </w:p>
          <w:p w14:paraId="395D0C58" w14:textId="77777777" w:rsidR="0037398A" w:rsidRPr="007528E0" w:rsidRDefault="0037398A" w:rsidP="007528E0">
            <w:pPr>
              <w:pStyle w:val="Normal1"/>
              <w:spacing w:before="100" w:beforeAutospacing="1" w:after="100" w:afterAutospacing="1"/>
              <w:jc w:val="center"/>
              <w:rPr>
                <w:rFonts w:ascii="Arial" w:hAnsi="Arial" w:cs="Arial"/>
                <w:color w:val="auto"/>
                <w:sz w:val="20"/>
                <w:szCs w:val="20"/>
              </w:rPr>
            </w:pPr>
            <w:proofErr w:type="spellStart"/>
            <w:r w:rsidRPr="007528E0">
              <w:rPr>
                <w:rFonts w:ascii="Arial" w:eastAsia="Calibri" w:hAnsi="Arial" w:cs="Arial"/>
                <w:color w:val="auto"/>
                <w:sz w:val="20"/>
                <w:szCs w:val="20"/>
              </w:rPr>
              <w:t>Propenofos</w:t>
            </w:r>
            <w:proofErr w:type="spellEnd"/>
          </w:p>
        </w:tc>
        <w:tc>
          <w:tcPr>
            <w:tcW w:w="3118" w:type="dxa"/>
          </w:tcPr>
          <w:p w14:paraId="41AF54CD" w14:textId="77777777" w:rsidR="0037398A" w:rsidRPr="007528E0" w:rsidRDefault="0037398A" w:rsidP="007528E0">
            <w:pPr>
              <w:pStyle w:val="Normal1"/>
              <w:spacing w:before="100" w:beforeAutospacing="1" w:after="100" w:afterAutospacing="1"/>
              <w:jc w:val="center"/>
              <w:rPr>
                <w:rFonts w:ascii="Arial" w:hAnsi="Arial" w:cs="Arial"/>
                <w:color w:val="auto"/>
                <w:sz w:val="20"/>
                <w:szCs w:val="20"/>
              </w:rPr>
            </w:pPr>
            <w:proofErr w:type="spellStart"/>
            <w:r w:rsidRPr="007528E0">
              <w:rPr>
                <w:rFonts w:ascii="Arial" w:eastAsia="Calibri" w:hAnsi="Arial" w:cs="Arial"/>
                <w:color w:val="auto"/>
                <w:sz w:val="20"/>
                <w:szCs w:val="20"/>
              </w:rPr>
              <w:t>Toxidrome</w:t>
            </w:r>
            <w:proofErr w:type="spellEnd"/>
            <w:r w:rsidRPr="007528E0">
              <w:rPr>
                <w:rFonts w:ascii="Arial" w:eastAsia="Calibri" w:hAnsi="Arial" w:cs="Arial"/>
                <w:color w:val="auto"/>
                <w:sz w:val="20"/>
                <w:szCs w:val="20"/>
              </w:rPr>
              <w:t xml:space="preserve"> colinérgico.</w:t>
            </w:r>
          </w:p>
        </w:tc>
        <w:tc>
          <w:tcPr>
            <w:tcW w:w="2693" w:type="dxa"/>
          </w:tcPr>
          <w:p w14:paraId="7E550539" w14:textId="77777777" w:rsidR="0037398A" w:rsidRPr="007528E0" w:rsidRDefault="0037398A" w:rsidP="007528E0">
            <w:pPr>
              <w:pStyle w:val="Normal1"/>
              <w:spacing w:before="100" w:beforeAutospacing="1" w:after="100" w:afterAutospacing="1"/>
              <w:jc w:val="center"/>
              <w:rPr>
                <w:rFonts w:ascii="Arial" w:hAnsi="Arial" w:cs="Arial"/>
                <w:color w:val="auto"/>
                <w:sz w:val="20"/>
                <w:szCs w:val="20"/>
              </w:rPr>
            </w:pPr>
            <w:r w:rsidRPr="007528E0">
              <w:rPr>
                <w:rFonts w:ascii="Arial" w:eastAsia="Calibri" w:hAnsi="Arial" w:cs="Arial"/>
                <w:color w:val="auto"/>
                <w:sz w:val="20"/>
                <w:szCs w:val="20"/>
              </w:rPr>
              <w:t>Oral, cutánea, respiratoria</w:t>
            </w:r>
          </w:p>
        </w:tc>
      </w:tr>
      <w:tr w:rsidR="007528E0" w:rsidRPr="007528E0" w14:paraId="1157CE90" w14:textId="77777777" w:rsidTr="007528E0">
        <w:trPr>
          <w:trHeight w:val="57"/>
        </w:trPr>
        <w:tc>
          <w:tcPr>
            <w:tcW w:w="1711" w:type="dxa"/>
          </w:tcPr>
          <w:p w14:paraId="5715D2C4" w14:textId="77777777" w:rsidR="0037398A" w:rsidRPr="007528E0" w:rsidRDefault="0037398A" w:rsidP="007528E0">
            <w:pPr>
              <w:pStyle w:val="Normal1"/>
              <w:spacing w:before="100" w:beforeAutospacing="1" w:after="100" w:afterAutospacing="1"/>
              <w:jc w:val="center"/>
              <w:rPr>
                <w:rFonts w:ascii="Arial" w:hAnsi="Arial" w:cs="Arial"/>
                <w:color w:val="auto"/>
                <w:sz w:val="20"/>
                <w:szCs w:val="20"/>
              </w:rPr>
            </w:pPr>
            <w:proofErr w:type="spellStart"/>
            <w:r w:rsidRPr="007528E0">
              <w:rPr>
                <w:rFonts w:ascii="Arial" w:eastAsia="Calibri" w:hAnsi="Arial" w:cs="Arial"/>
                <w:color w:val="auto"/>
                <w:sz w:val="20"/>
                <w:szCs w:val="20"/>
              </w:rPr>
              <w:t>Cumarinicos</w:t>
            </w:r>
            <w:proofErr w:type="spellEnd"/>
            <w:r w:rsidRPr="007528E0">
              <w:rPr>
                <w:rFonts w:ascii="Arial" w:eastAsia="Calibri" w:hAnsi="Arial" w:cs="Arial"/>
                <w:color w:val="auto"/>
                <w:sz w:val="20"/>
                <w:szCs w:val="20"/>
              </w:rPr>
              <w:t xml:space="preserve"> (raticidas)</w:t>
            </w:r>
          </w:p>
        </w:tc>
        <w:tc>
          <w:tcPr>
            <w:tcW w:w="1985" w:type="dxa"/>
          </w:tcPr>
          <w:p w14:paraId="7B437CAC" w14:textId="77777777" w:rsidR="0037398A" w:rsidRPr="007528E0" w:rsidRDefault="0037398A" w:rsidP="007528E0">
            <w:pPr>
              <w:pStyle w:val="Normal1"/>
              <w:spacing w:before="100" w:beforeAutospacing="1" w:after="100" w:afterAutospacing="1"/>
              <w:jc w:val="center"/>
              <w:rPr>
                <w:rFonts w:ascii="Arial" w:hAnsi="Arial" w:cs="Arial"/>
                <w:color w:val="auto"/>
                <w:sz w:val="20"/>
                <w:szCs w:val="20"/>
              </w:rPr>
            </w:pPr>
            <w:proofErr w:type="spellStart"/>
            <w:r w:rsidRPr="007528E0">
              <w:rPr>
                <w:rFonts w:ascii="Arial" w:eastAsia="Calibri" w:hAnsi="Arial" w:cs="Arial"/>
                <w:color w:val="auto"/>
                <w:sz w:val="20"/>
                <w:szCs w:val="20"/>
              </w:rPr>
              <w:t>Bradifacuoma</w:t>
            </w:r>
            <w:proofErr w:type="spellEnd"/>
          </w:p>
          <w:p w14:paraId="6712B9A9" w14:textId="77777777" w:rsidR="0037398A" w:rsidRPr="007528E0" w:rsidRDefault="0037398A" w:rsidP="007528E0">
            <w:pPr>
              <w:pStyle w:val="Normal1"/>
              <w:spacing w:before="100" w:beforeAutospacing="1" w:after="100" w:afterAutospacing="1"/>
              <w:jc w:val="center"/>
              <w:rPr>
                <w:rFonts w:ascii="Arial" w:hAnsi="Arial" w:cs="Arial"/>
                <w:color w:val="auto"/>
                <w:sz w:val="20"/>
                <w:szCs w:val="20"/>
              </w:rPr>
            </w:pPr>
            <w:proofErr w:type="spellStart"/>
            <w:r w:rsidRPr="007528E0">
              <w:rPr>
                <w:rFonts w:ascii="Arial" w:eastAsia="Calibri" w:hAnsi="Arial" w:cs="Arial"/>
                <w:color w:val="auto"/>
                <w:sz w:val="20"/>
                <w:szCs w:val="20"/>
              </w:rPr>
              <w:t>Bromadiolona</w:t>
            </w:r>
            <w:proofErr w:type="spellEnd"/>
          </w:p>
          <w:p w14:paraId="546966E1" w14:textId="77777777" w:rsidR="0037398A" w:rsidRPr="007528E0" w:rsidRDefault="0037398A" w:rsidP="007528E0">
            <w:pPr>
              <w:pStyle w:val="Normal1"/>
              <w:spacing w:before="100" w:beforeAutospacing="1" w:after="100" w:afterAutospacing="1"/>
              <w:jc w:val="center"/>
              <w:rPr>
                <w:rFonts w:ascii="Arial" w:hAnsi="Arial" w:cs="Arial"/>
                <w:color w:val="auto"/>
                <w:sz w:val="20"/>
                <w:szCs w:val="20"/>
              </w:rPr>
            </w:pPr>
            <w:proofErr w:type="spellStart"/>
            <w:r w:rsidRPr="007528E0">
              <w:rPr>
                <w:rFonts w:ascii="Arial" w:eastAsia="Calibri" w:hAnsi="Arial" w:cs="Arial"/>
                <w:color w:val="auto"/>
                <w:sz w:val="20"/>
                <w:szCs w:val="20"/>
              </w:rPr>
              <w:t>Difacinona</w:t>
            </w:r>
            <w:proofErr w:type="spellEnd"/>
          </w:p>
          <w:p w14:paraId="6A9CA173" w14:textId="77777777" w:rsidR="0037398A" w:rsidRPr="007528E0" w:rsidRDefault="0037398A" w:rsidP="007528E0">
            <w:pPr>
              <w:pStyle w:val="Normal1"/>
              <w:spacing w:before="100" w:beforeAutospacing="1" w:after="100" w:afterAutospacing="1"/>
              <w:jc w:val="center"/>
              <w:rPr>
                <w:rFonts w:ascii="Arial" w:hAnsi="Arial" w:cs="Arial"/>
                <w:color w:val="auto"/>
                <w:sz w:val="20"/>
                <w:szCs w:val="20"/>
              </w:rPr>
            </w:pPr>
            <w:proofErr w:type="spellStart"/>
            <w:r w:rsidRPr="007528E0">
              <w:rPr>
                <w:rFonts w:ascii="Arial" w:eastAsia="Calibri" w:hAnsi="Arial" w:cs="Arial"/>
                <w:color w:val="auto"/>
                <w:sz w:val="20"/>
                <w:szCs w:val="20"/>
              </w:rPr>
              <w:lastRenderedPageBreak/>
              <w:t>Cumatetralil</w:t>
            </w:r>
            <w:proofErr w:type="spellEnd"/>
          </w:p>
        </w:tc>
        <w:tc>
          <w:tcPr>
            <w:tcW w:w="3118" w:type="dxa"/>
          </w:tcPr>
          <w:p w14:paraId="15EA9F35" w14:textId="77777777" w:rsidR="0037398A" w:rsidRPr="007528E0" w:rsidRDefault="0037398A" w:rsidP="007528E0">
            <w:pPr>
              <w:pStyle w:val="Normal1"/>
              <w:spacing w:before="100" w:beforeAutospacing="1" w:after="100" w:afterAutospacing="1"/>
              <w:jc w:val="center"/>
              <w:rPr>
                <w:rFonts w:ascii="Arial" w:hAnsi="Arial" w:cs="Arial"/>
                <w:color w:val="auto"/>
                <w:sz w:val="20"/>
                <w:szCs w:val="20"/>
              </w:rPr>
            </w:pPr>
            <w:r w:rsidRPr="007528E0">
              <w:rPr>
                <w:rFonts w:ascii="Arial" w:eastAsia="Calibri" w:hAnsi="Arial" w:cs="Arial"/>
                <w:color w:val="auto"/>
                <w:sz w:val="20"/>
                <w:szCs w:val="20"/>
              </w:rPr>
              <w:lastRenderedPageBreak/>
              <w:t>Prolongación de los tiempos de coagulación, equimosis, epistaxis, hematuria, anemia, hemorragia gastrointestinal o sistema nervioso central.</w:t>
            </w:r>
          </w:p>
        </w:tc>
        <w:tc>
          <w:tcPr>
            <w:tcW w:w="2693" w:type="dxa"/>
          </w:tcPr>
          <w:p w14:paraId="64EA7357" w14:textId="77777777" w:rsidR="0037398A" w:rsidRPr="007528E0" w:rsidRDefault="0037398A" w:rsidP="007528E0">
            <w:pPr>
              <w:pStyle w:val="Normal1"/>
              <w:spacing w:before="100" w:beforeAutospacing="1" w:after="100" w:afterAutospacing="1"/>
              <w:jc w:val="center"/>
              <w:rPr>
                <w:rFonts w:ascii="Arial" w:hAnsi="Arial" w:cs="Arial"/>
                <w:color w:val="auto"/>
                <w:sz w:val="20"/>
                <w:szCs w:val="20"/>
              </w:rPr>
            </w:pPr>
            <w:r w:rsidRPr="007528E0">
              <w:rPr>
                <w:rFonts w:ascii="Arial" w:eastAsia="Calibri" w:hAnsi="Arial" w:cs="Arial"/>
                <w:color w:val="auto"/>
                <w:sz w:val="20"/>
                <w:szCs w:val="20"/>
              </w:rPr>
              <w:t>Oral</w:t>
            </w:r>
          </w:p>
        </w:tc>
      </w:tr>
      <w:tr w:rsidR="007528E0" w:rsidRPr="007528E0" w14:paraId="56FCDB56" w14:textId="77777777" w:rsidTr="007528E0">
        <w:trPr>
          <w:trHeight w:val="57"/>
        </w:trPr>
        <w:tc>
          <w:tcPr>
            <w:tcW w:w="1711" w:type="dxa"/>
          </w:tcPr>
          <w:p w14:paraId="709C2AC0" w14:textId="77777777" w:rsidR="0037398A" w:rsidRPr="007528E0" w:rsidRDefault="0037398A" w:rsidP="007528E0">
            <w:pPr>
              <w:pStyle w:val="Normal1"/>
              <w:spacing w:before="100" w:beforeAutospacing="1" w:after="100" w:afterAutospacing="1"/>
              <w:jc w:val="center"/>
              <w:rPr>
                <w:rFonts w:ascii="Arial" w:hAnsi="Arial" w:cs="Arial"/>
                <w:color w:val="auto"/>
                <w:sz w:val="20"/>
                <w:szCs w:val="20"/>
              </w:rPr>
            </w:pPr>
            <w:r w:rsidRPr="007528E0">
              <w:rPr>
                <w:rFonts w:ascii="Arial" w:eastAsia="Calibri" w:hAnsi="Arial" w:cs="Arial"/>
                <w:color w:val="auto"/>
                <w:sz w:val="20"/>
                <w:szCs w:val="20"/>
              </w:rPr>
              <w:t>Estricnina  (raticida)</w:t>
            </w:r>
          </w:p>
        </w:tc>
        <w:tc>
          <w:tcPr>
            <w:tcW w:w="1985" w:type="dxa"/>
          </w:tcPr>
          <w:p w14:paraId="3220E9AF" w14:textId="77777777" w:rsidR="0037398A" w:rsidRPr="007528E0" w:rsidRDefault="0037398A" w:rsidP="007528E0">
            <w:pPr>
              <w:pStyle w:val="Normal1"/>
              <w:spacing w:before="100" w:beforeAutospacing="1" w:after="100" w:afterAutospacing="1"/>
              <w:jc w:val="center"/>
              <w:rPr>
                <w:rFonts w:ascii="Arial" w:hAnsi="Arial" w:cs="Arial"/>
                <w:color w:val="auto"/>
                <w:sz w:val="20"/>
                <w:szCs w:val="20"/>
              </w:rPr>
            </w:pPr>
            <w:r w:rsidRPr="007528E0">
              <w:rPr>
                <w:rFonts w:ascii="Arial" w:eastAsia="Calibri" w:hAnsi="Arial" w:cs="Arial"/>
                <w:color w:val="auto"/>
                <w:sz w:val="20"/>
                <w:szCs w:val="20"/>
              </w:rPr>
              <w:t>Estricnina</w:t>
            </w:r>
          </w:p>
        </w:tc>
        <w:tc>
          <w:tcPr>
            <w:tcW w:w="3118" w:type="dxa"/>
          </w:tcPr>
          <w:p w14:paraId="33B1A1A3" w14:textId="77777777" w:rsidR="0037398A" w:rsidRPr="007528E0" w:rsidRDefault="0037398A" w:rsidP="007528E0">
            <w:pPr>
              <w:pStyle w:val="Normal1"/>
              <w:spacing w:before="100" w:beforeAutospacing="1" w:after="100" w:afterAutospacing="1"/>
              <w:jc w:val="center"/>
              <w:rPr>
                <w:rFonts w:ascii="Arial" w:hAnsi="Arial" w:cs="Arial"/>
                <w:color w:val="auto"/>
                <w:sz w:val="20"/>
                <w:szCs w:val="20"/>
              </w:rPr>
            </w:pPr>
            <w:r w:rsidRPr="007528E0">
              <w:rPr>
                <w:rFonts w:ascii="Arial" w:eastAsia="Calibri" w:hAnsi="Arial" w:cs="Arial"/>
                <w:color w:val="auto"/>
                <w:sz w:val="20"/>
                <w:szCs w:val="20"/>
              </w:rPr>
              <w:t xml:space="preserve">Rigidez muscular, opistótonos, </w:t>
            </w:r>
            <w:proofErr w:type="spellStart"/>
            <w:r w:rsidRPr="007528E0">
              <w:rPr>
                <w:rFonts w:ascii="Arial" w:eastAsia="Calibri" w:hAnsi="Arial" w:cs="Arial"/>
                <w:color w:val="auto"/>
                <w:sz w:val="20"/>
                <w:szCs w:val="20"/>
              </w:rPr>
              <w:t>rabdomiolisis</w:t>
            </w:r>
            <w:proofErr w:type="spellEnd"/>
            <w:r w:rsidRPr="007528E0">
              <w:rPr>
                <w:rFonts w:ascii="Arial" w:eastAsia="Calibri" w:hAnsi="Arial" w:cs="Arial"/>
                <w:color w:val="auto"/>
                <w:sz w:val="20"/>
                <w:szCs w:val="20"/>
              </w:rPr>
              <w:t>.</w:t>
            </w:r>
          </w:p>
        </w:tc>
        <w:tc>
          <w:tcPr>
            <w:tcW w:w="2693" w:type="dxa"/>
          </w:tcPr>
          <w:p w14:paraId="4092B37F" w14:textId="77777777" w:rsidR="0037398A" w:rsidRPr="007528E0" w:rsidRDefault="0037398A" w:rsidP="007528E0">
            <w:pPr>
              <w:pStyle w:val="Normal1"/>
              <w:spacing w:before="100" w:beforeAutospacing="1" w:after="100" w:afterAutospacing="1"/>
              <w:jc w:val="center"/>
              <w:rPr>
                <w:rFonts w:ascii="Arial" w:hAnsi="Arial" w:cs="Arial"/>
                <w:color w:val="auto"/>
                <w:sz w:val="20"/>
                <w:szCs w:val="20"/>
              </w:rPr>
            </w:pPr>
            <w:r w:rsidRPr="007528E0">
              <w:rPr>
                <w:rFonts w:ascii="Arial" w:eastAsia="Calibri" w:hAnsi="Arial" w:cs="Arial"/>
                <w:color w:val="auto"/>
                <w:sz w:val="20"/>
                <w:szCs w:val="20"/>
              </w:rPr>
              <w:t>Oral</w:t>
            </w:r>
          </w:p>
        </w:tc>
      </w:tr>
      <w:tr w:rsidR="007528E0" w:rsidRPr="007528E0" w14:paraId="7BCFAB79" w14:textId="77777777" w:rsidTr="007528E0">
        <w:trPr>
          <w:trHeight w:val="57"/>
        </w:trPr>
        <w:tc>
          <w:tcPr>
            <w:tcW w:w="1711" w:type="dxa"/>
          </w:tcPr>
          <w:p w14:paraId="3D776808" w14:textId="77777777" w:rsidR="0037398A" w:rsidRPr="007528E0" w:rsidRDefault="0037398A" w:rsidP="007528E0">
            <w:pPr>
              <w:pStyle w:val="Normal1"/>
              <w:spacing w:before="100" w:beforeAutospacing="1" w:after="100" w:afterAutospacing="1"/>
              <w:jc w:val="center"/>
              <w:rPr>
                <w:rFonts w:ascii="Arial" w:hAnsi="Arial" w:cs="Arial"/>
                <w:color w:val="auto"/>
                <w:sz w:val="20"/>
                <w:szCs w:val="20"/>
              </w:rPr>
            </w:pPr>
            <w:proofErr w:type="spellStart"/>
            <w:r w:rsidRPr="007528E0">
              <w:rPr>
                <w:rFonts w:ascii="Arial" w:eastAsia="Calibri" w:hAnsi="Arial" w:cs="Arial"/>
                <w:color w:val="auto"/>
                <w:sz w:val="20"/>
                <w:szCs w:val="20"/>
              </w:rPr>
              <w:t>Fluoracetato</w:t>
            </w:r>
            <w:proofErr w:type="spellEnd"/>
            <w:r w:rsidRPr="007528E0">
              <w:rPr>
                <w:rFonts w:ascii="Arial" w:eastAsia="Calibri" w:hAnsi="Arial" w:cs="Arial"/>
                <w:color w:val="auto"/>
                <w:sz w:val="20"/>
                <w:szCs w:val="20"/>
              </w:rPr>
              <w:t>(raticida)</w:t>
            </w:r>
          </w:p>
        </w:tc>
        <w:tc>
          <w:tcPr>
            <w:tcW w:w="1985" w:type="dxa"/>
          </w:tcPr>
          <w:p w14:paraId="28DEC310" w14:textId="77777777" w:rsidR="0037398A" w:rsidRPr="007528E0" w:rsidRDefault="0037398A" w:rsidP="007528E0">
            <w:pPr>
              <w:pStyle w:val="Normal1"/>
              <w:spacing w:before="100" w:beforeAutospacing="1" w:after="100" w:afterAutospacing="1"/>
              <w:jc w:val="center"/>
              <w:rPr>
                <w:rFonts w:ascii="Arial" w:hAnsi="Arial" w:cs="Arial"/>
                <w:color w:val="auto"/>
                <w:sz w:val="20"/>
                <w:szCs w:val="20"/>
              </w:rPr>
            </w:pPr>
            <w:proofErr w:type="spellStart"/>
            <w:r w:rsidRPr="007528E0">
              <w:rPr>
                <w:rFonts w:ascii="Arial" w:eastAsia="Calibri" w:hAnsi="Arial" w:cs="Arial"/>
                <w:color w:val="auto"/>
                <w:sz w:val="20"/>
                <w:szCs w:val="20"/>
              </w:rPr>
              <w:t>Fluoracetato</w:t>
            </w:r>
            <w:proofErr w:type="spellEnd"/>
            <w:r w:rsidRPr="007528E0">
              <w:rPr>
                <w:rFonts w:ascii="Arial" w:eastAsia="Calibri" w:hAnsi="Arial" w:cs="Arial"/>
                <w:color w:val="auto"/>
                <w:sz w:val="20"/>
                <w:szCs w:val="20"/>
              </w:rPr>
              <w:t xml:space="preserve"> de sodio (PROHIBIDO EN COLOMBIA)</w:t>
            </w:r>
          </w:p>
        </w:tc>
        <w:tc>
          <w:tcPr>
            <w:tcW w:w="3118" w:type="dxa"/>
          </w:tcPr>
          <w:p w14:paraId="04EE1395" w14:textId="77777777" w:rsidR="0037398A" w:rsidRPr="007528E0" w:rsidRDefault="0037398A" w:rsidP="007528E0">
            <w:pPr>
              <w:pStyle w:val="Normal1"/>
              <w:spacing w:before="100" w:beforeAutospacing="1" w:after="100" w:afterAutospacing="1"/>
              <w:jc w:val="center"/>
              <w:rPr>
                <w:rFonts w:ascii="Arial" w:hAnsi="Arial" w:cs="Arial"/>
                <w:color w:val="auto"/>
                <w:sz w:val="20"/>
                <w:szCs w:val="20"/>
              </w:rPr>
            </w:pPr>
            <w:r w:rsidRPr="007528E0">
              <w:rPr>
                <w:rFonts w:ascii="Arial" w:eastAsia="Calibri" w:hAnsi="Arial" w:cs="Arial"/>
                <w:color w:val="auto"/>
                <w:sz w:val="20"/>
                <w:szCs w:val="20"/>
              </w:rPr>
              <w:t>Vómito, parestesias, temblor, convulsiones, alucinaciones, arritmias, choque, muerte.</w:t>
            </w:r>
          </w:p>
        </w:tc>
        <w:tc>
          <w:tcPr>
            <w:tcW w:w="2693" w:type="dxa"/>
          </w:tcPr>
          <w:p w14:paraId="3C71FBA5" w14:textId="77777777" w:rsidR="0037398A" w:rsidRPr="007528E0" w:rsidRDefault="0037398A" w:rsidP="007528E0">
            <w:pPr>
              <w:pStyle w:val="Normal1"/>
              <w:spacing w:before="100" w:beforeAutospacing="1" w:after="100" w:afterAutospacing="1"/>
              <w:jc w:val="center"/>
              <w:rPr>
                <w:rFonts w:ascii="Arial" w:hAnsi="Arial" w:cs="Arial"/>
                <w:color w:val="auto"/>
                <w:sz w:val="20"/>
                <w:szCs w:val="20"/>
              </w:rPr>
            </w:pPr>
            <w:r w:rsidRPr="007528E0">
              <w:rPr>
                <w:rFonts w:ascii="Arial" w:eastAsia="Calibri" w:hAnsi="Arial" w:cs="Arial"/>
                <w:color w:val="auto"/>
                <w:sz w:val="20"/>
                <w:szCs w:val="20"/>
              </w:rPr>
              <w:t>Oral</w:t>
            </w:r>
          </w:p>
        </w:tc>
      </w:tr>
      <w:tr w:rsidR="007528E0" w:rsidRPr="007528E0" w14:paraId="4ABF3089" w14:textId="77777777" w:rsidTr="007528E0">
        <w:trPr>
          <w:trHeight w:val="57"/>
        </w:trPr>
        <w:tc>
          <w:tcPr>
            <w:tcW w:w="1711" w:type="dxa"/>
          </w:tcPr>
          <w:p w14:paraId="68F24C8C" w14:textId="77777777" w:rsidR="0037398A" w:rsidRPr="007528E0" w:rsidRDefault="0037398A" w:rsidP="007528E0">
            <w:pPr>
              <w:pStyle w:val="Normal1"/>
              <w:spacing w:before="100" w:beforeAutospacing="1" w:after="100" w:afterAutospacing="1"/>
              <w:jc w:val="center"/>
              <w:rPr>
                <w:rFonts w:ascii="Arial" w:hAnsi="Arial" w:cs="Arial"/>
                <w:color w:val="auto"/>
                <w:sz w:val="20"/>
                <w:szCs w:val="20"/>
              </w:rPr>
            </w:pPr>
            <w:r w:rsidRPr="007528E0">
              <w:rPr>
                <w:rFonts w:ascii="Arial" w:eastAsia="Calibri" w:hAnsi="Arial" w:cs="Arial"/>
                <w:color w:val="auto"/>
                <w:sz w:val="20"/>
                <w:szCs w:val="20"/>
              </w:rPr>
              <w:t>Talio (raticidas)</w:t>
            </w:r>
          </w:p>
        </w:tc>
        <w:tc>
          <w:tcPr>
            <w:tcW w:w="1985" w:type="dxa"/>
          </w:tcPr>
          <w:p w14:paraId="326F7FFC" w14:textId="77777777" w:rsidR="0037398A" w:rsidRPr="007528E0" w:rsidRDefault="0037398A" w:rsidP="007528E0">
            <w:pPr>
              <w:pStyle w:val="Normal1"/>
              <w:spacing w:before="100" w:beforeAutospacing="1" w:after="100" w:afterAutospacing="1"/>
              <w:jc w:val="center"/>
              <w:rPr>
                <w:rFonts w:ascii="Arial" w:hAnsi="Arial" w:cs="Arial"/>
                <w:color w:val="auto"/>
                <w:sz w:val="20"/>
                <w:szCs w:val="20"/>
              </w:rPr>
            </w:pPr>
            <w:r w:rsidRPr="007528E0">
              <w:rPr>
                <w:rFonts w:ascii="Arial" w:eastAsia="Calibri" w:hAnsi="Arial" w:cs="Arial"/>
                <w:color w:val="auto"/>
                <w:sz w:val="20"/>
                <w:szCs w:val="20"/>
              </w:rPr>
              <w:t>Sulfato de talio</w:t>
            </w:r>
          </w:p>
        </w:tc>
        <w:tc>
          <w:tcPr>
            <w:tcW w:w="3118" w:type="dxa"/>
          </w:tcPr>
          <w:p w14:paraId="7A8DBA50" w14:textId="77777777" w:rsidR="0037398A" w:rsidRPr="007528E0" w:rsidRDefault="0037398A" w:rsidP="007528E0">
            <w:pPr>
              <w:pStyle w:val="Normal1"/>
              <w:spacing w:before="100" w:beforeAutospacing="1" w:after="100" w:afterAutospacing="1"/>
              <w:jc w:val="center"/>
              <w:rPr>
                <w:rFonts w:ascii="Arial" w:hAnsi="Arial" w:cs="Arial"/>
                <w:color w:val="auto"/>
                <w:sz w:val="20"/>
                <w:szCs w:val="20"/>
              </w:rPr>
            </w:pPr>
            <w:r w:rsidRPr="007528E0">
              <w:rPr>
                <w:rFonts w:ascii="Arial" w:eastAsia="Calibri" w:hAnsi="Arial" w:cs="Arial"/>
                <w:color w:val="auto"/>
                <w:sz w:val="20"/>
                <w:szCs w:val="20"/>
              </w:rPr>
              <w:t>Dolor abdominal, náuseas, vómito, diarrea sanguinolenta, cefalea, debilidad, hepatitis, parestesias, neuropatía, pérdida del cabello, falla cardiaca, encefalopatía.</w:t>
            </w:r>
          </w:p>
        </w:tc>
        <w:tc>
          <w:tcPr>
            <w:tcW w:w="2693" w:type="dxa"/>
          </w:tcPr>
          <w:p w14:paraId="2A31921D" w14:textId="77777777" w:rsidR="0037398A" w:rsidRPr="007528E0" w:rsidRDefault="0037398A" w:rsidP="007528E0">
            <w:pPr>
              <w:pStyle w:val="Normal1"/>
              <w:spacing w:before="100" w:beforeAutospacing="1" w:after="100" w:afterAutospacing="1"/>
              <w:jc w:val="center"/>
              <w:rPr>
                <w:rFonts w:ascii="Arial" w:hAnsi="Arial" w:cs="Arial"/>
                <w:color w:val="auto"/>
                <w:sz w:val="20"/>
                <w:szCs w:val="20"/>
              </w:rPr>
            </w:pPr>
            <w:r w:rsidRPr="007528E0">
              <w:rPr>
                <w:rFonts w:ascii="Arial" w:eastAsia="Calibri" w:hAnsi="Arial" w:cs="Arial"/>
                <w:color w:val="auto"/>
                <w:sz w:val="20"/>
                <w:szCs w:val="20"/>
              </w:rPr>
              <w:t>Oral</w:t>
            </w:r>
          </w:p>
        </w:tc>
      </w:tr>
      <w:tr w:rsidR="007528E0" w:rsidRPr="007528E0" w14:paraId="3AE00EBD" w14:textId="77777777" w:rsidTr="007528E0">
        <w:trPr>
          <w:trHeight w:val="57"/>
        </w:trPr>
        <w:tc>
          <w:tcPr>
            <w:tcW w:w="1711" w:type="dxa"/>
          </w:tcPr>
          <w:p w14:paraId="23B5D4FB" w14:textId="77777777" w:rsidR="0037398A" w:rsidRPr="007528E0" w:rsidRDefault="0037398A" w:rsidP="007528E0">
            <w:pPr>
              <w:pStyle w:val="Normal1"/>
              <w:spacing w:before="100" w:beforeAutospacing="1" w:after="100" w:afterAutospacing="1"/>
              <w:jc w:val="center"/>
              <w:rPr>
                <w:rFonts w:ascii="Arial" w:hAnsi="Arial" w:cs="Arial"/>
                <w:color w:val="auto"/>
                <w:sz w:val="20"/>
                <w:szCs w:val="20"/>
              </w:rPr>
            </w:pPr>
            <w:proofErr w:type="spellStart"/>
            <w:r w:rsidRPr="007528E0">
              <w:rPr>
                <w:rFonts w:ascii="Arial" w:eastAsia="Calibri" w:hAnsi="Arial" w:cs="Arial"/>
                <w:color w:val="auto"/>
                <w:sz w:val="20"/>
                <w:szCs w:val="20"/>
              </w:rPr>
              <w:t>Halocarbonados</w:t>
            </w:r>
            <w:proofErr w:type="spellEnd"/>
          </w:p>
        </w:tc>
        <w:tc>
          <w:tcPr>
            <w:tcW w:w="1985" w:type="dxa"/>
          </w:tcPr>
          <w:p w14:paraId="11B87987" w14:textId="77777777" w:rsidR="0037398A" w:rsidRPr="007528E0" w:rsidRDefault="0037398A" w:rsidP="007528E0">
            <w:pPr>
              <w:pStyle w:val="Normal1"/>
              <w:spacing w:before="100" w:beforeAutospacing="1" w:after="100" w:afterAutospacing="1"/>
              <w:jc w:val="center"/>
              <w:rPr>
                <w:rFonts w:ascii="Arial" w:hAnsi="Arial" w:cs="Arial"/>
                <w:color w:val="auto"/>
                <w:sz w:val="20"/>
                <w:szCs w:val="20"/>
              </w:rPr>
            </w:pPr>
            <w:r w:rsidRPr="007528E0">
              <w:rPr>
                <w:rFonts w:ascii="Arial" w:eastAsia="Calibri" w:hAnsi="Arial" w:cs="Arial"/>
                <w:color w:val="auto"/>
                <w:sz w:val="20"/>
                <w:szCs w:val="20"/>
              </w:rPr>
              <w:t>Bromuro de metilo</w:t>
            </w:r>
          </w:p>
        </w:tc>
        <w:tc>
          <w:tcPr>
            <w:tcW w:w="3118" w:type="dxa"/>
          </w:tcPr>
          <w:p w14:paraId="6D1AE970" w14:textId="77777777" w:rsidR="0037398A" w:rsidRPr="007528E0" w:rsidRDefault="0037398A" w:rsidP="007528E0">
            <w:pPr>
              <w:pStyle w:val="Normal1"/>
              <w:spacing w:before="100" w:beforeAutospacing="1" w:after="100" w:afterAutospacing="1"/>
              <w:jc w:val="center"/>
              <w:rPr>
                <w:rFonts w:ascii="Arial" w:hAnsi="Arial" w:cs="Arial"/>
                <w:color w:val="auto"/>
                <w:sz w:val="20"/>
                <w:szCs w:val="20"/>
              </w:rPr>
            </w:pPr>
            <w:r w:rsidRPr="007528E0">
              <w:rPr>
                <w:rFonts w:ascii="Arial" w:eastAsia="Calibri" w:hAnsi="Arial" w:cs="Arial"/>
                <w:color w:val="auto"/>
                <w:sz w:val="20"/>
                <w:szCs w:val="20"/>
              </w:rPr>
              <w:t>Irritación de piel y mucosas, tos, falla renal, convulsiones, coma, edema pulmonar.</w:t>
            </w:r>
          </w:p>
        </w:tc>
        <w:tc>
          <w:tcPr>
            <w:tcW w:w="2693" w:type="dxa"/>
          </w:tcPr>
          <w:p w14:paraId="3C7A4CC6" w14:textId="77777777" w:rsidR="0037398A" w:rsidRPr="007528E0" w:rsidRDefault="0037398A" w:rsidP="007528E0">
            <w:pPr>
              <w:pStyle w:val="Normal1"/>
              <w:spacing w:before="100" w:beforeAutospacing="1" w:after="100" w:afterAutospacing="1"/>
              <w:jc w:val="center"/>
              <w:rPr>
                <w:rFonts w:ascii="Arial" w:hAnsi="Arial" w:cs="Arial"/>
                <w:color w:val="auto"/>
                <w:sz w:val="20"/>
                <w:szCs w:val="20"/>
              </w:rPr>
            </w:pPr>
            <w:r w:rsidRPr="007528E0">
              <w:rPr>
                <w:rFonts w:ascii="Arial" w:eastAsia="Calibri" w:hAnsi="Arial" w:cs="Arial"/>
                <w:color w:val="auto"/>
                <w:sz w:val="20"/>
                <w:szCs w:val="20"/>
              </w:rPr>
              <w:t>Oral, cutánea, respiratoria</w:t>
            </w:r>
          </w:p>
        </w:tc>
      </w:tr>
      <w:tr w:rsidR="007528E0" w:rsidRPr="007528E0" w14:paraId="7DCF38D1" w14:textId="77777777" w:rsidTr="007528E0">
        <w:trPr>
          <w:trHeight w:val="57"/>
        </w:trPr>
        <w:tc>
          <w:tcPr>
            <w:tcW w:w="1711" w:type="dxa"/>
          </w:tcPr>
          <w:p w14:paraId="40A23516" w14:textId="77777777" w:rsidR="0037398A" w:rsidRPr="007528E0" w:rsidRDefault="0037398A" w:rsidP="007528E0">
            <w:pPr>
              <w:pStyle w:val="Normal1"/>
              <w:spacing w:before="100" w:beforeAutospacing="1" w:after="100" w:afterAutospacing="1"/>
              <w:jc w:val="center"/>
              <w:rPr>
                <w:rFonts w:ascii="Arial" w:hAnsi="Arial" w:cs="Arial"/>
                <w:color w:val="auto"/>
                <w:sz w:val="20"/>
                <w:szCs w:val="20"/>
              </w:rPr>
            </w:pPr>
            <w:r w:rsidRPr="007528E0">
              <w:rPr>
                <w:rFonts w:ascii="Arial" w:eastAsia="Calibri" w:hAnsi="Arial" w:cs="Arial"/>
                <w:color w:val="auto"/>
                <w:sz w:val="20"/>
                <w:szCs w:val="20"/>
              </w:rPr>
              <w:t>Organoclorados TODOS PROHIBIDOS EN COLOMBIA</w:t>
            </w:r>
          </w:p>
        </w:tc>
        <w:tc>
          <w:tcPr>
            <w:tcW w:w="1985" w:type="dxa"/>
          </w:tcPr>
          <w:p w14:paraId="29DB7153" w14:textId="77777777" w:rsidR="0037398A" w:rsidRPr="007528E0" w:rsidRDefault="0037398A" w:rsidP="007528E0">
            <w:pPr>
              <w:pStyle w:val="Normal1"/>
              <w:spacing w:before="100" w:beforeAutospacing="1" w:after="100" w:afterAutospacing="1"/>
              <w:jc w:val="center"/>
              <w:rPr>
                <w:rFonts w:ascii="Arial" w:hAnsi="Arial" w:cs="Arial"/>
                <w:color w:val="auto"/>
                <w:sz w:val="20"/>
                <w:szCs w:val="20"/>
              </w:rPr>
            </w:pPr>
            <w:r w:rsidRPr="007528E0">
              <w:rPr>
                <w:rFonts w:ascii="Arial" w:eastAsia="Calibri" w:hAnsi="Arial" w:cs="Arial"/>
                <w:color w:val="auto"/>
                <w:sz w:val="20"/>
                <w:szCs w:val="20"/>
              </w:rPr>
              <w:t>Aldrin</w:t>
            </w:r>
          </w:p>
          <w:p w14:paraId="629738F1" w14:textId="77777777" w:rsidR="0037398A" w:rsidRPr="007528E0" w:rsidRDefault="0037398A" w:rsidP="007528E0">
            <w:pPr>
              <w:pStyle w:val="Normal1"/>
              <w:spacing w:before="100" w:beforeAutospacing="1" w:after="100" w:afterAutospacing="1"/>
              <w:jc w:val="center"/>
              <w:rPr>
                <w:rFonts w:ascii="Arial" w:hAnsi="Arial" w:cs="Arial"/>
                <w:color w:val="auto"/>
                <w:sz w:val="20"/>
                <w:szCs w:val="20"/>
              </w:rPr>
            </w:pPr>
            <w:proofErr w:type="spellStart"/>
            <w:r w:rsidRPr="007528E0">
              <w:rPr>
                <w:rFonts w:ascii="Arial" w:eastAsia="Calibri" w:hAnsi="Arial" w:cs="Arial"/>
                <w:color w:val="auto"/>
                <w:sz w:val="20"/>
                <w:szCs w:val="20"/>
              </w:rPr>
              <w:t>Dieldrin</w:t>
            </w:r>
            <w:proofErr w:type="spellEnd"/>
          </w:p>
          <w:p w14:paraId="5E7073CE" w14:textId="77777777" w:rsidR="0037398A" w:rsidRPr="007528E0" w:rsidRDefault="0037398A" w:rsidP="007528E0">
            <w:pPr>
              <w:pStyle w:val="Normal1"/>
              <w:spacing w:before="100" w:beforeAutospacing="1" w:after="100" w:afterAutospacing="1"/>
              <w:jc w:val="center"/>
              <w:rPr>
                <w:rFonts w:ascii="Arial" w:hAnsi="Arial" w:cs="Arial"/>
                <w:color w:val="auto"/>
                <w:sz w:val="20"/>
                <w:szCs w:val="20"/>
              </w:rPr>
            </w:pPr>
            <w:r w:rsidRPr="007528E0">
              <w:rPr>
                <w:rFonts w:ascii="Arial" w:eastAsia="Calibri" w:hAnsi="Arial" w:cs="Arial"/>
                <w:color w:val="auto"/>
                <w:sz w:val="20"/>
                <w:szCs w:val="20"/>
              </w:rPr>
              <w:t>Lindano</w:t>
            </w:r>
          </w:p>
          <w:p w14:paraId="1B178226" w14:textId="77777777" w:rsidR="0037398A" w:rsidRPr="007528E0" w:rsidRDefault="0037398A" w:rsidP="007528E0">
            <w:pPr>
              <w:pStyle w:val="Normal1"/>
              <w:spacing w:before="100" w:beforeAutospacing="1" w:after="100" w:afterAutospacing="1"/>
              <w:jc w:val="center"/>
              <w:rPr>
                <w:rFonts w:ascii="Arial" w:hAnsi="Arial" w:cs="Arial"/>
                <w:color w:val="auto"/>
                <w:sz w:val="20"/>
                <w:szCs w:val="20"/>
              </w:rPr>
            </w:pPr>
          </w:p>
        </w:tc>
        <w:tc>
          <w:tcPr>
            <w:tcW w:w="3118" w:type="dxa"/>
          </w:tcPr>
          <w:p w14:paraId="6FE8BD40" w14:textId="77777777" w:rsidR="0037398A" w:rsidRPr="007528E0" w:rsidRDefault="0037398A" w:rsidP="007528E0">
            <w:pPr>
              <w:pStyle w:val="Normal1"/>
              <w:spacing w:before="100" w:beforeAutospacing="1" w:after="100" w:afterAutospacing="1"/>
              <w:jc w:val="center"/>
              <w:rPr>
                <w:rFonts w:ascii="Arial" w:hAnsi="Arial" w:cs="Arial"/>
                <w:color w:val="auto"/>
                <w:sz w:val="20"/>
                <w:szCs w:val="20"/>
              </w:rPr>
            </w:pPr>
            <w:r w:rsidRPr="007528E0">
              <w:rPr>
                <w:rFonts w:ascii="Arial" w:eastAsia="Calibri" w:hAnsi="Arial" w:cs="Arial"/>
                <w:color w:val="auto"/>
                <w:sz w:val="20"/>
                <w:szCs w:val="20"/>
              </w:rPr>
              <w:t>Cianosis, cefalea, debilidad, temblor, convulsiones, coma, parestesias, náuseas, vómito, confusión, vértigo, arritmias cardiacas, acidosis.</w:t>
            </w:r>
          </w:p>
        </w:tc>
        <w:tc>
          <w:tcPr>
            <w:tcW w:w="2693" w:type="dxa"/>
          </w:tcPr>
          <w:p w14:paraId="4EB12B19" w14:textId="77777777" w:rsidR="0037398A" w:rsidRPr="007528E0" w:rsidRDefault="0037398A" w:rsidP="007528E0">
            <w:pPr>
              <w:pStyle w:val="Normal1"/>
              <w:spacing w:before="100" w:beforeAutospacing="1" w:after="100" w:afterAutospacing="1"/>
              <w:jc w:val="center"/>
              <w:rPr>
                <w:rFonts w:ascii="Arial" w:hAnsi="Arial" w:cs="Arial"/>
                <w:color w:val="auto"/>
                <w:sz w:val="20"/>
                <w:szCs w:val="20"/>
              </w:rPr>
            </w:pPr>
            <w:r w:rsidRPr="007528E0">
              <w:rPr>
                <w:rFonts w:ascii="Arial" w:eastAsia="Calibri" w:hAnsi="Arial" w:cs="Arial"/>
                <w:color w:val="auto"/>
                <w:sz w:val="20"/>
                <w:szCs w:val="20"/>
              </w:rPr>
              <w:t>Oral, cutánea, respiratoria</w:t>
            </w:r>
          </w:p>
        </w:tc>
      </w:tr>
      <w:tr w:rsidR="007528E0" w:rsidRPr="007528E0" w14:paraId="5D0FCDD8" w14:textId="77777777" w:rsidTr="007528E0">
        <w:trPr>
          <w:trHeight w:val="57"/>
        </w:trPr>
        <w:tc>
          <w:tcPr>
            <w:tcW w:w="1711" w:type="dxa"/>
          </w:tcPr>
          <w:p w14:paraId="11C3A8DC" w14:textId="77777777" w:rsidR="0037398A" w:rsidRPr="007528E0" w:rsidRDefault="0037398A" w:rsidP="007528E0">
            <w:pPr>
              <w:pStyle w:val="Normal1"/>
              <w:spacing w:before="100" w:beforeAutospacing="1" w:after="100" w:afterAutospacing="1"/>
              <w:jc w:val="center"/>
              <w:rPr>
                <w:rFonts w:ascii="Arial" w:hAnsi="Arial" w:cs="Arial"/>
                <w:color w:val="auto"/>
                <w:sz w:val="20"/>
                <w:szCs w:val="20"/>
              </w:rPr>
            </w:pPr>
            <w:proofErr w:type="spellStart"/>
            <w:r w:rsidRPr="007528E0">
              <w:rPr>
                <w:rFonts w:ascii="Arial" w:eastAsia="Calibri" w:hAnsi="Arial" w:cs="Arial"/>
                <w:color w:val="auto"/>
                <w:sz w:val="20"/>
                <w:szCs w:val="20"/>
              </w:rPr>
              <w:t>Organotines</w:t>
            </w:r>
            <w:proofErr w:type="spellEnd"/>
            <w:r w:rsidRPr="007528E0">
              <w:rPr>
                <w:rFonts w:ascii="Arial" w:eastAsia="Calibri" w:hAnsi="Arial" w:cs="Arial"/>
                <w:color w:val="auto"/>
                <w:sz w:val="20"/>
                <w:szCs w:val="20"/>
              </w:rPr>
              <w:t xml:space="preserve"> (fungicida)</w:t>
            </w:r>
          </w:p>
        </w:tc>
        <w:tc>
          <w:tcPr>
            <w:tcW w:w="1985" w:type="dxa"/>
          </w:tcPr>
          <w:p w14:paraId="1A31A803" w14:textId="77777777" w:rsidR="0037398A" w:rsidRPr="007528E0" w:rsidRDefault="0037398A" w:rsidP="007528E0">
            <w:pPr>
              <w:pStyle w:val="Normal1"/>
              <w:spacing w:before="100" w:beforeAutospacing="1" w:after="100" w:afterAutospacing="1"/>
              <w:jc w:val="center"/>
              <w:rPr>
                <w:rFonts w:ascii="Arial" w:hAnsi="Arial" w:cs="Arial"/>
                <w:color w:val="auto"/>
                <w:sz w:val="20"/>
                <w:szCs w:val="20"/>
              </w:rPr>
            </w:pPr>
            <w:proofErr w:type="spellStart"/>
            <w:r w:rsidRPr="007528E0">
              <w:rPr>
                <w:rFonts w:ascii="Arial" w:eastAsia="Calibri" w:hAnsi="Arial" w:cs="Arial"/>
                <w:color w:val="auto"/>
                <w:sz w:val="20"/>
                <w:szCs w:val="20"/>
              </w:rPr>
              <w:t>Fentin</w:t>
            </w:r>
            <w:proofErr w:type="spellEnd"/>
            <w:r w:rsidRPr="007528E0">
              <w:rPr>
                <w:rFonts w:ascii="Arial" w:eastAsia="Calibri" w:hAnsi="Arial" w:cs="Arial"/>
                <w:color w:val="auto"/>
                <w:sz w:val="20"/>
                <w:szCs w:val="20"/>
              </w:rPr>
              <w:t xml:space="preserve"> hidróxido</w:t>
            </w:r>
          </w:p>
        </w:tc>
        <w:tc>
          <w:tcPr>
            <w:tcW w:w="3118" w:type="dxa"/>
          </w:tcPr>
          <w:p w14:paraId="7E073561" w14:textId="77777777" w:rsidR="0037398A" w:rsidRPr="007528E0" w:rsidRDefault="0037398A" w:rsidP="007528E0">
            <w:pPr>
              <w:pStyle w:val="Normal1"/>
              <w:spacing w:before="100" w:beforeAutospacing="1" w:after="100" w:afterAutospacing="1"/>
              <w:jc w:val="center"/>
              <w:rPr>
                <w:rFonts w:ascii="Arial" w:hAnsi="Arial" w:cs="Arial"/>
                <w:color w:val="auto"/>
                <w:sz w:val="20"/>
                <w:szCs w:val="20"/>
              </w:rPr>
            </w:pPr>
            <w:r w:rsidRPr="007528E0">
              <w:rPr>
                <w:rFonts w:ascii="Arial" w:eastAsia="Calibri" w:hAnsi="Arial" w:cs="Arial"/>
                <w:color w:val="auto"/>
                <w:sz w:val="20"/>
                <w:szCs w:val="20"/>
              </w:rPr>
              <w:t>Irritación de piel, mucosas y vía aérea, dermatitis, sialorrea, delirium, cefalea, vómito, vértigo.</w:t>
            </w:r>
          </w:p>
        </w:tc>
        <w:tc>
          <w:tcPr>
            <w:tcW w:w="2693" w:type="dxa"/>
          </w:tcPr>
          <w:p w14:paraId="7597D693" w14:textId="77777777" w:rsidR="0037398A" w:rsidRPr="007528E0" w:rsidRDefault="0037398A" w:rsidP="007528E0">
            <w:pPr>
              <w:pStyle w:val="Normal1"/>
              <w:spacing w:before="100" w:beforeAutospacing="1" w:after="100" w:afterAutospacing="1"/>
              <w:jc w:val="center"/>
              <w:rPr>
                <w:rFonts w:ascii="Arial" w:hAnsi="Arial" w:cs="Arial"/>
                <w:color w:val="auto"/>
                <w:sz w:val="20"/>
                <w:szCs w:val="20"/>
              </w:rPr>
            </w:pPr>
            <w:r w:rsidRPr="007528E0">
              <w:rPr>
                <w:rFonts w:ascii="Arial" w:eastAsia="Calibri" w:hAnsi="Arial" w:cs="Arial"/>
                <w:color w:val="auto"/>
                <w:sz w:val="20"/>
                <w:szCs w:val="20"/>
              </w:rPr>
              <w:t>Oral, cutánea, respiratoria</w:t>
            </w:r>
          </w:p>
        </w:tc>
      </w:tr>
      <w:tr w:rsidR="007528E0" w:rsidRPr="007528E0" w14:paraId="0526DE13" w14:textId="77777777" w:rsidTr="007528E0">
        <w:trPr>
          <w:trHeight w:val="57"/>
        </w:trPr>
        <w:tc>
          <w:tcPr>
            <w:tcW w:w="1711" w:type="dxa"/>
          </w:tcPr>
          <w:p w14:paraId="4258CED4" w14:textId="77777777" w:rsidR="0037398A" w:rsidRPr="007528E0" w:rsidRDefault="0037398A" w:rsidP="007528E0">
            <w:pPr>
              <w:pStyle w:val="Normal1"/>
              <w:spacing w:before="100" w:beforeAutospacing="1" w:after="100" w:afterAutospacing="1"/>
              <w:jc w:val="center"/>
              <w:rPr>
                <w:rFonts w:ascii="Arial" w:hAnsi="Arial" w:cs="Arial"/>
                <w:color w:val="auto"/>
                <w:sz w:val="20"/>
                <w:szCs w:val="20"/>
              </w:rPr>
            </w:pPr>
            <w:r w:rsidRPr="007528E0">
              <w:rPr>
                <w:rFonts w:ascii="Arial" w:eastAsia="Calibri" w:hAnsi="Arial" w:cs="Arial"/>
                <w:color w:val="auto"/>
                <w:sz w:val="20"/>
                <w:szCs w:val="20"/>
              </w:rPr>
              <w:t>Compuestos de cobre</w:t>
            </w:r>
          </w:p>
          <w:p w14:paraId="6403826A" w14:textId="77777777" w:rsidR="0037398A" w:rsidRPr="007528E0" w:rsidRDefault="0037398A" w:rsidP="007528E0">
            <w:pPr>
              <w:pStyle w:val="Normal1"/>
              <w:spacing w:before="100" w:beforeAutospacing="1" w:after="100" w:afterAutospacing="1"/>
              <w:jc w:val="center"/>
              <w:rPr>
                <w:rFonts w:ascii="Arial" w:hAnsi="Arial" w:cs="Arial"/>
                <w:color w:val="auto"/>
                <w:sz w:val="20"/>
                <w:szCs w:val="20"/>
              </w:rPr>
            </w:pPr>
            <w:r w:rsidRPr="007528E0">
              <w:rPr>
                <w:rFonts w:ascii="Arial" w:eastAsia="Calibri" w:hAnsi="Arial" w:cs="Arial"/>
                <w:color w:val="auto"/>
                <w:sz w:val="20"/>
                <w:szCs w:val="20"/>
              </w:rPr>
              <w:t>(fungicidas)</w:t>
            </w:r>
          </w:p>
        </w:tc>
        <w:tc>
          <w:tcPr>
            <w:tcW w:w="1985" w:type="dxa"/>
          </w:tcPr>
          <w:p w14:paraId="75AF0FD2" w14:textId="77777777" w:rsidR="0037398A" w:rsidRPr="007528E0" w:rsidRDefault="0037398A" w:rsidP="007528E0">
            <w:pPr>
              <w:pStyle w:val="Normal1"/>
              <w:spacing w:before="100" w:beforeAutospacing="1" w:after="100" w:afterAutospacing="1"/>
              <w:jc w:val="center"/>
              <w:rPr>
                <w:rFonts w:ascii="Arial" w:hAnsi="Arial" w:cs="Arial"/>
                <w:color w:val="auto"/>
                <w:sz w:val="20"/>
                <w:szCs w:val="20"/>
              </w:rPr>
            </w:pPr>
            <w:r w:rsidRPr="007528E0">
              <w:rPr>
                <w:rFonts w:ascii="Arial" w:eastAsia="Calibri" w:hAnsi="Arial" w:cs="Arial"/>
                <w:color w:val="auto"/>
                <w:sz w:val="20"/>
                <w:szCs w:val="20"/>
              </w:rPr>
              <w:t>Hidróxido de cobre</w:t>
            </w:r>
          </w:p>
          <w:p w14:paraId="57FEDA08" w14:textId="77777777" w:rsidR="0037398A" w:rsidRPr="007528E0" w:rsidRDefault="0037398A" w:rsidP="007528E0">
            <w:pPr>
              <w:pStyle w:val="Normal1"/>
              <w:spacing w:before="100" w:beforeAutospacing="1" w:after="100" w:afterAutospacing="1"/>
              <w:jc w:val="center"/>
              <w:rPr>
                <w:rFonts w:ascii="Arial" w:hAnsi="Arial" w:cs="Arial"/>
                <w:color w:val="auto"/>
                <w:sz w:val="20"/>
                <w:szCs w:val="20"/>
              </w:rPr>
            </w:pPr>
            <w:r w:rsidRPr="007528E0">
              <w:rPr>
                <w:rFonts w:ascii="Arial" w:eastAsia="Calibri" w:hAnsi="Arial" w:cs="Arial"/>
                <w:color w:val="auto"/>
                <w:sz w:val="20"/>
                <w:szCs w:val="20"/>
              </w:rPr>
              <w:t>Oxicloruro de cobre</w:t>
            </w:r>
          </w:p>
          <w:p w14:paraId="66FF50BA" w14:textId="77777777" w:rsidR="0037398A" w:rsidRPr="007528E0" w:rsidRDefault="0037398A" w:rsidP="007528E0">
            <w:pPr>
              <w:pStyle w:val="Normal1"/>
              <w:spacing w:before="100" w:beforeAutospacing="1" w:after="100" w:afterAutospacing="1"/>
              <w:jc w:val="center"/>
              <w:rPr>
                <w:rFonts w:ascii="Arial" w:hAnsi="Arial" w:cs="Arial"/>
                <w:color w:val="auto"/>
                <w:sz w:val="20"/>
                <w:szCs w:val="20"/>
              </w:rPr>
            </w:pPr>
            <w:r w:rsidRPr="007528E0">
              <w:rPr>
                <w:rFonts w:ascii="Arial" w:eastAsia="Calibri" w:hAnsi="Arial" w:cs="Arial"/>
                <w:color w:val="auto"/>
                <w:sz w:val="20"/>
                <w:szCs w:val="20"/>
              </w:rPr>
              <w:t>Sulfato de cobre</w:t>
            </w:r>
          </w:p>
        </w:tc>
        <w:tc>
          <w:tcPr>
            <w:tcW w:w="3118" w:type="dxa"/>
          </w:tcPr>
          <w:p w14:paraId="6BC8D805" w14:textId="77777777" w:rsidR="0037398A" w:rsidRPr="007528E0" w:rsidRDefault="0037398A" w:rsidP="007528E0">
            <w:pPr>
              <w:pStyle w:val="Normal1"/>
              <w:spacing w:before="100" w:beforeAutospacing="1" w:after="100" w:afterAutospacing="1"/>
              <w:jc w:val="center"/>
              <w:rPr>
                <w:rFonts w:ascii="Arial" w:hAnsi="Arial" w:cs="Arial"/>
                <w:color w:val="auto"/>
                <w:sz w:val="20"/>
                <w:szCs w:val="20"/>
              </w:rPr>
            </w:pPr>
            <w:r w:rsidRPr="007528E0">
              <w:rPr>
                <w:rFonts w:ascii="Arial" w:eastAsia="Calibri" w:hAnsi="Arial" w:cs="Arial"/>
                <w:color w:val="auto"/>
                <w:sz w:val="20"/>
                <w:szCs w:val="20"/>
              </w:rPr>
              <w:t>Dolor abdominal, vómito, irritación de piel y mucosas, falla renal, coma.</w:t>
            </w:r>
          </w:p>
        </w:tc>
        <w:tc>
          <w:tcPr>
            <w:tcW w:w="2693" w:type="dxa"/>
          </w:tcPr>
          <w:p w14:paraId="1314199A" w14:textId="77777777" w:rsidR="0037398A" w:rsidRPr="007528E0" w:rsidRDefault="0037398A" w:rsidP="007528E0">
            <w:pPr>
              <w:pStyle w:val="Normal1"/>
              <w:spacing w:before="100" w:beforeAutospacing="1" w:after="100" w:afterAutospacing="1"/>
              <w:jc w:val="center"/>
              <w:rPr>
                <w:rFonts w:ascii="Arial" w:hAnsi="Arial" w:cs="Arial"/>
                <w:color w:val="auto"/>
                <w:sz w:val="20"/>
                <w:szCs w:val="20"/>
              </w:rPr>
            </w:pPr>
            <w:r w:rsidRPr="007528E0">
              <w:rPr>
                <w:rFonts w:ascii="Arial" w:eastAsia="Calibri" w:hAnsi="Arial" w:cs="Arial"/>
                <w:color w:val="auto"/>
                <w:sz w:val="20"/>
                <w:szCs w:val="20"/>
              </w:rPr>
              <w:t>Oral, cutánea, respiratoria</w:t>
            </w:r>
          </w:p>
        </w:tc>
      </w:tr>
    </w:tbl>
    <w:p w14:paraId="3F222A10" w14:textId="77777777" w:rsidR="0037398A" w:rsidRPr="007528E0" w:rsidRDefault="0037398A" w:rsidP="0037398A">
      <w:pPr>
        <w:spacing w:before="100" w:beforeAutospacing="1" w:after="100" w:afterAutospacing="1"/>
        <w:jc w:val="center"/>
        <w:rPr>
          <w:rFonts w:eastAsia="Calibri" w:cs="Arial"/>
          <w:sz w:val="16"/>
          <w:szCs w:val="16"/>
          <w:lang w:val="es-CO"/>
        </w:rPr>
      </w:pPr>
      <w:r w:rsidRPr="007528E0">
        <w:rPr>
          <w:rFonts w:eastAsia="Calibri" w:cs="Arial"/>
          <w:sz w:val="16"/>
          <w:szCs w:val="16"/>
          <w:lang w:val="es-CO"/>
        </w:rPr>
        <w:t xml:space="preserve">Fuente: Elaborada a partir de las referencias </w:t>
      </w:r>
      <w:r w:rsidRPr="007528E0">
        <w:rPr>
          <w:rFonts w:eastAsia="Calibri" w:cs="Arial"/>
          <w:sz w:val="16"/>
          <w:szCs w:val="16"/>
          <w:lang w:val="es-CO"/>
        </w:rPr>
        <w:fldChar w:fldCharType="begin" w:fldLock="1"/>
      </w:r>
      <w:r w:rsidRPr="007528E0">
        <w:rPr>
          <w:rFonts w:eastAsia="Calibri" w:cs="Arial"/>
          <w:sz w:val="16"/>
          <w:szCs w:val="16"/>
          <w:lang w:val="es-CO"/>
        </w:rPr>
        <w:instrText>ADDIN CSL_CITATION { "citationItems" : [ { "id" : "ITEM-1", "itemData" : { "author" : [ { "dropping-particle" : "", "family" : "Thundiyil, J., et al.", "given" : "Bulletin of the World Health Organization", "non-dropping-particle" : "", "parse-names" : false, "suffix" : "" } ], "id" : "ITEM-1", "issued" : { "date-parts" : [ [ "2008" ] ] }, "number-of-pages" : "86 p. 205-209", "title" : "Acute pesticide poisoning: a proposed classification tool.", "type" : "report" }, "uris" : [ "http://www.mendeley.com/documents/?uuid=245dea63-6ab6-4803-84f0-a4bf8a8fd359" ] } ], "mendeley" : { "formattedCitation" : "(29)", "plainTextFormattedCitation" : "(29)", "previouslyFormattedCitation" : "(29)" }, "properties" : { "noteIndex" : 0 }, "schema" : "https://github.com/citation-style-language/schema/raw/master/csl-citation.json" }</w:instrText>
      </w:r>
      <w:r w:rsidRPr="007528E0">
        <w:rPr>
          <w:rFonts w:eastAsia="Calibri" w:cs="Arial"/>
          <w:sz w:val="16"/>
          <w:szCs w:val="16"/>
          <w:lang w:val="es-CO"/>
        </w:rPr>
        <w:fldChar w:fldCharType="separate"/>
      </w:r>
      <w:r w:rsidRPr="007528E0">
        <w:rPr>
          <w:rFonts w:eastAsia="Calibri" w:cs="Arial"/>
          <w:noProof/>
          <w:sz w:val="16"/>
          <w:szCs w:val="16"/>
          <w:lang w:val="es-CO"/>
        </w:rPr>
        <w:t>(29)</w:t>
      </w:r>
      <w:r w:rsidRPr="007528E0">
        <w:rPr>
          <w:rFonts w:eastAsia="Calibri" w:cs="Arial"/>
          <w:sz w:val="16"/>
          <w:szCs w:val="16"/>
          <w:lang w:val="es-CO"/>
        </w:rPr>
        <w:fldChar w:fldCharType="end"/>
      </w:r>
      <w:r w:rsidRPr="007528E0">
        <w:rPr>
          <w:rFonts w:eastAsia="Calibri" w:cs="Arial"/>
          <w:sz w:val="16"/>
          <w:szCs w:val="16"/>
          <w:lang w:val="es-CO"/>
        </w:rPr>
        <w:fldChar w:fldCharType="begin" w:fldLock="1"/>
      </w:r>
      <w:r w:rsidRPr="007528E0">
        <w:rPr>
          <w:rFonts w:eastAsia="Calibri" w:cs="Arial"/>
          <w:sz w:val="16"/>
          <w:szCs w:val="16"/>
          <w:lang w:val="es-CO"/>
        </w:rPr>
        <w:instrText>ADDIN CSL_CITATION { "citationItems" : [ { "id" : "ITEM-1", "itemData" : { "author" : [ { "dropping-particle" : "", "family" : "Pan-Germany", "given" : "", "non-dropping-particle" : "", "parse-names" : false, "suffix" : "" } ], "id" : "ITEM-1", "issued" : { "date-parts" : [ [ "2012" ] ] }, "page" : "1-16", "title" : "Pesticide and health hazards. Facts and figures", "type" : "article-journal" }, "uris" : [ "http://www.mendeley.com/documents/?uuid=ee96a0e9-581e-4169-9925-1297b6135b43" ] } ], "mendeley" : { "formattedCitation" : "(31)", "plainTextFormattedCitation" : "(31)", "previouslyFormattedCitation" : "(31)" }, "properties" : { "noteIndex" : 0 }, "schema" : "https://github.com/citation-style-language/schema/raw/master/csl-citation.json" }</w:instrText>
      </w:r>
      <w:r w:rsidRPr="007528E0">
        <w:rPr>
          <w:rFonts w:eastAsia="Calibri" w:cs="Arial"/>
          <w:sz w:val="16"/>
          <w:szCs w:val="16"/>
          <w:lang w:val="es-CO"/>
        </w:rPr>
        <w:fldChar w:fldCharType="separate"/>
      </w:r>
      <w:r w:rsidRPr="007528E0">
        <w:rPr>
          <w:rFonts w:eastAsia="Calibri" w:cs="Arial"/>
          <w:noProof/>
          <w:sz w:val="16"/>
          <w:szCs w:val="16"/>
          <w:lang w:val="es-CO"/>
        </w:rPr>
        <w:t>(31)</w:t>
      </w:r>
      <w:r w:rsidRPr="007528E0">
        <w:rPr>
          <w:rFonts w:eastAsia="Calibri" w:cs="Arial"/>
          <w:sz w:val="16"/>
          <w:szCs w:val="16"/>
          <w:lang w:val="es-CO"/>
        </w:rPr>
        <w:fldChar w:fldCharType="end"/>
      </w:r>
      <w:r w:rsidRPr="007528E0">
        <w:rPr>
          <w:rFonts w:eastAsia="Calibri" w:cs="Arial"/>
          <w:sz w:val="16"/>
          <w:szCs w:val="16"/>
          <w:lang w:val="es-CO"/>
        </w:rPr>
        <w:fldChar w:fldCharType="begin" w:fldLock="1"/>
      </w:r>
      <w:r w:rsidRPr="007528E0">
        <w:rPr>
          <w:rFonts w:eastAsia="Calibri" w:cs="Arial"/>
          <w:sz w:val="16"/>
          <w:szCs w:val="16"/>
          <w:lang w:val="es-CO"/>
        </w:rPr>
        <w:instrText>ADDIN CSL_CITATION { "citationItems" : [ { "id" : "ITEM-1", "itemData" : { "author" : [ { "dropping-particle" : "", "family" : "Organization, W.H.", "given" : "The WHO", "non-dropping-particle" : "", "parse-names" : false, "suffix" : "" } ], "id" : "ITEM-1", "issued" : { "date-parts" : [ [ "2009" ] ] }, "number-of-pages" : "1 - 78", "title" : "recommended classification of pesticides by hazard and guidelines to classification 2009. WHO Library Cataloguing in Publication Data,", "type" : "report" }, "uris" : [ "http://www.mendeley.com/documents/?uuid=ba3ebe8b-6af1-45d0-9907-1cfc95d94aa1" ] } ], "mendeley" : { "formattedCitation" : "(34)", "plainTextFormattedCitation" : "(34)", "previouslyFormattedCitation" : "(34)" }, "properties" : { "noteIndex" : 0 }, "schema" : "https://github.com/citation-style-language/schema/raw/master/csl-citation.json" }</w:instrText>
      </w:r>
      <w:r w:rsidRPr="007528E0">
        <w:rPr>
          <w:rFonts w:eastAsia="Calibri" w:cs="Arial"/>
          <w:sz w:val="16"/>
          <w:szCs w:val="16"/>
          <w:lang w:val="es-CO"/>
        </w:rPr>
        <w:fldChar w:fldCharType="separate"/>
      </w:r>
      <w:r w:rsidRPr="007528E0">
        <w:rPr>
          <w:rFonts w:eastAsia="Calibri" w:cs="Arial"/>
          <w:noProof/>
          <w:sz w:val="16"/>
          <w:szCs w:val="16"/>
          <w:lang w:val="es-CO"/>
        </w:rPr>
        <w:t>(34)</w:t>
      </w:r>
      <w:r w:rsidRPr="007528E0">
        <w:rPr>
          <w:rFonts w:eastAsia="Calibri" w:cs="Arial"/>
          <w:sz w:val="16"/>
          <w:szCs w:val="16"/>
          <w:lang w:val="es-CO"/>
        </w:rPr>
        <w:fldChar w:fldCharType="end"/>
      </w:r>
      <w:r w:rsidRPr="007528E0">
        <w:rPr>
          <w:rFonts w:eastAsia="Calibri" w:cs="Arial"/>
          <w:sz w:val="16"/>
          <w:szCs w:val="16"/>
          <w:lang w:val="es-CO"/>
        </w:rPr>
        <w:t xml:space="preserve"> </w:t>
      </w:r>
    </w:p>
    <w:p w14:paraId="1CB47345" w14:textId="77777777" w:rsidR="0037398A" w:rsidRPr="007528E0" w:rsidRDefault="0037398A" w:rsidP="0037398A">
      <w:pPr>
        <w:pStyle w:val="Normal1"/>
        <w:spacing w:before="100" w:beforeAutospacing="1" w:after="100" w:afterAutospacing="1"/>
        <w:jc w:val="both"/>
        <w:rPr>
          <w:rFonts w:ascii="Arial" w:hAnsi="Arial" w:cs="Arial"/>
          <w:b/>
          <w:color w:val="auto"/>
          <w:sz w:val="22"/>
          <w:szCs w:val="22"/>
          <w:u w:val="single"/>
        </w:rPr>
      </w:pPr>
      <w:r w:rsidRPr="007528E0">
        <w:rPr>
          <w:rFonts w:ascii="Arial" w:eastAsia="Calibri" w:hAnsi="Arial" w:cs="Arial"/>
          <w:b/>
          <w:color w:val="auto"/>
          <w:sz w:val="22"/>
          <w:szCs w:val="22"/>
          <w:highlight w:val="white"/>
          <w:u w:val="single"/>
        </w:rPr>
        <w:t>Biomarcadores</w:t>
      </w:r>
    </w:p>
    <w:p w14:paraId="51B6CE2B" w14:textId="77777777" w:rsidR="0037398A" w:rsidRPr="007528E0" w:rsidRDefault="0037398A" w:rsidP="0037398A">
      <w:pPr>
        <w:pStyle w:val="Normal1"/>
        <w:spacing w:before="100" w:beforeAutospacing="1" w:after="100" w:afterAutospacing="1"/>
        <w:jc w:val="both"/>
        <w:rPr>
          <w:rFonts w:ascii="Arial" w:hAnsi="Arial" w:cs="Arial"/>
          <w:color w:val="auto"/>
          <w:sz w:val="22"/>
          <w:szCs w:val="22"/>
        </w:rPr>
      </w:pPr>
      <w:r w:rsidRPr="007528E0">
        <w:rPr>
          <w:rFonts w:ascii="Arial" w:eastAsia="Arial" w:hAnsi="Arial" w:cs="Arial"/>
          <w:color w:val="auto"/>
          <w:sz w:val="22"/>
          <w:szCs w:val="22"/>
          <w:highlight w:val="white"/>
        </w:rPr>
        <w:t>Existen formas de medir plaguicidas en muestras biológicas y ambientales (agua para consumo humano y agua superficial)</w:t>
      </w:r>
      <w:r w:rsidRPr="007528E0">
        <w:rPr>
          <w:rFonts w:ascii="Arial" w:eastAsia="Arial" w:hAnsi="Arial" w:cs="Arial"/>
          <w:color w:val="auto"/>
          <w:sz w:val="22"/>
          <w:szCs w:val="22"/>
          <w:highlight w:val="white"/>
        </w:rPr>
        <w:fldChar w:fldCharType="begin" w:fldLock="1"/>
      </w:r>
      <w:r w:rsidRPr="007528E0">
        <w:rPr>
          <w:rFonts w:ascii="Arial" w:eastAsia="Arial" w:hAnsi="Arial" w:cs="Arial"/>
          <w:color w:val="auto"/>
          <w:sz w:val="22"/>
          <w:szCs w:val="22"/>
          <w:highlight w:val="white"/>
        </w:rPr>
        <w:instrText>ADDIN CSL_CITATION { "citationItems" : [ { "id" : "ITEM-1", "itemData" : { "author" : [ { "dropping-particle" : "", "family" : "Instituto Nacional de Salud", "given" : "", "non-dropping-particle" : "", "parse-names" : false, "suffix" : "" } ], "id" : "ITEM-1", "issued" : { "date-parts" : [ [ "2011" ] ] }, "title" : "Manual para la obtenci\u00f3n y env\u00edo de muestras para el an\u00e1lisis de eventos de inter\u00e9s en salud p\u00fablica", "type" : "report" }, "uris" : [ "http://www.mendeley.com/documents/?uuid=0da2d6b1-054c-44aa-ae2e-1e52f2e7368b" ] } ], "mendeley" : { "formattedCitation" : "(35)", "plainTextFormattedCitation" : "(35)", "previouslyFormattedCitation" : "(35)" }, "properties" : { "noteIndex" : 0 }, "schema" : "https://github.com/citation-style-language/schema/raw/master/csl-citation.json" }</w:instrText>
      </w:r>
      <w:r w:rsidRPr="007528E0">
        <w:rPr>
          <w:rFonts w:ascii="Arial" w:eastAsia="Arial" w:hAnsi="Arial" w:cs="Arial"/>
          <w:color w:val="auto"/>
          <w:sz w:val="22"/>
          <w:szCs w:val="22"/>
          <w:highlight w:val="white"/>
        </w:rPr>
        <w:fldChar w:fldCharType="separate"/>
      </w:r>
      <w:r w:rsidRPr="007528E0">
        <w:rPr>
          <w:rFonts w:ascii="Arial" w:eastAsia="Arial" w:hAnsi="Arial" w:cs="Arial"/>
          <w:noProof/>
          <w:color w:val="auto"/>
          <w:sz w:val="22"/>
          <w:szCs w:val="22"/>
          <w:highlight w:val="white"/>
        </w:rPr>
        <w:t>(35)</w:t>
      </w:r>
      <w:r w:rsidRPr="007528E0">
        <w:rPr>
          <w:rFonts w:ascii="Arial" w:eastAsia="Arial" w:hAnsi="Arial" w:cs="Arial"/>
          <w:color w:val="auto"/>
          <w:sz w:val="22"/>
          <w:szCs w:val="22"/>
          <w:highlight w:val="white"/>
        </w:rPr>
        <w:fldChar w:fldCharType="end"/>
      </w:r>
      <w:r w:rsidRPr="007528E0">
        <w:rPr>
          <w:rFonts w:ascii="Arial" w:eastAsia="Arial" w:hAnsi="Arial" w:cs="Arial"/>
          <w:color w:val="auto"/>
          <w:sz w:val="22"/>
          <w:szCs w:val="22"/>
          <w:highlight w:val="white"/>
        </w:rPr>
        <w:t>, sin embargo los más comunes, en cuanto a intoxicación y tamizaje, son los inhibidores de colinesterasa, es así como se pueden medir organofosforados en sangre y orina</w:t>
      </w:r>
      <w:r w:rsidRPr="007528E0">
        <w:rPr>
          <w:rFonts w:ascii="Arial" w:eastAsia="Arial" w:hAnsi="Arial" w:cs="Arial"/>
          <w:color w:val="auto"/>
          <w:sz w:val="22"/>
          <w:szCs w:val="22"/>
          <w:highlight w:val="white"/>
        </w:rPr>
        <w:fldChar w:fldCharType="begin" w:fldLock="1"/>
      </w:r>
      <w:r w:rsidRPr="007528E0">
        <w:rPr>
          <w:rFonts w:ascii="Arial" w:eastAsia="Arial" w:hAnsi="Arial" w:cs="Arial"/>
          <w:color w:val="auto"/>
          <w:sz w:val="22"/>
          <w:szCs w:val="22"/>
          <w:highlight w:val="white"/>
        </w:rPr>
        <w:instrText>ADDIN CSL_CITATION { "citationItems" : [ { "id" : "ITEM-1", "itemData" : { "URL" : "https://www.minsalud.gov.co/sites/rid/Lists/BibliotecaDigital/RIDE/DE/GT/Guia-manejo-urgencias-toxicologicas.pdf", "accessed" : { "date-parts" : [ [ "2017", "6", "5" ] ] }, "author" : [ { "dropping-particle" : "", "family" : "Ministerio de Salud y Protecci\u00f3n Social, Universidad Nacional de Colombia", "given" : "Centro De Informaci\u00f3n y Asesor\u00eda Toxicol\u00f3gica", "non-dropping-particle" : "", "parse-names" : false, "suffix" : "" } ], "id" : "ITEM-1", "issued" : { "date-parts" : [ [ "2008" ] ] }, "title" : "Gu\u00edas para el manejo de Urgencias Toxicol\u00f3gicas", "type" : "webpage" }, "uris" : [ "http://www.mendeley.com/documents/?uuid=09dd0fe0-84fe-47ec-b68a-9d78ff833790" ] } ], "mendeley" : { "formattedCitation" : "(14)", "plainTextFormattedCitation" : "(14)", "previouslyFormattedCitation" : "(14)" }, "properties" : { "noteIndex" : 0 }, "schema" : "https://github.com/citation-style-language/schema/raw/master/csl-citation.json" }</w:instrText>
      </w:r>
      <w:r w:rsidRPr="007528E0">
        <w:rPr>
          <w:rFonts w:ascii="Arial" w:eastAsia="Arial" w:hAnsi="Arial" w:cs="Arial"/>
          <w:color w:val="auto"/>
          <w:sz w:val="22"/>
          <w:szCs w:val="22"/>
          <w:highlight w:val="white"/>
        </w:rPr>
        <w:fldChar w:fldCharType="separate"/>
      </w:r>
      <w:r w:rsidRPr="007528E0">
        <w:rPr>
          <w:rFonts w:ascii="Arial" w:eastAsia="Arial" w:hAnsi="Arial" w:cs="Arial"/>
          <w:noProof/>
          <w:color w:val="auto"/>
          <w:sz w:val="22"/>
          <w:szCs w:val="22"/>
          <w:highlight w:val="white"/>
        </w:rPr>
        <w:t>(14)</w:t>
      </w:r>
      <w:r w:rsidRPr="007528E0">
        <w:rPr>
          <w:rFonts w:ascii="Arial" w:eastAsia="Arial" w:hAnsi="Arial" w:cs="Arial"/>
          <w:color w:val="auto"/>
          <w:sz w:val="22"/>
          <w:szCs w:val="22"/>
          <w:highlight w:val="white"/>
        </w:rPr>
        <w:fldChar w:fldCharType="end"/>
      </w:r>
      <w:r w:rsidRPr="007528E0">
        <w:rPr>
          <w:rFonts w:ascii="Arial" w:eastAsia="Arial" w:hAnsi="Arial" w:cs="Arial"/>
          <w:color w:val="auto"/>
          <w:sz w:val="22"/>
          <w:szCs w:val="22"/>
          <w:highlight w:val="white"/>
        </w:rPr>
        <w:t>. Así mismo, como biomarcador de efecto se solicitan muestras de sangre para medir actividad de la acetilcolinesterasa eritrocitaria y sérica (Tabla 4). La muestra se toma en un tubo que contenga anticoagulante (heparina EDTA). Se deben tener en cuenta otras causas de disminución de la actividad de esta enzima, como la desnutrición, déficit hereditario de colinesterasa (</w:t>
      </w:r>
      <w:proofErr w:type="spellStart"/>
      <w:r w:rsidRPr="007528E0">
        <w:rPr>
          <w:rFonts w:ascii="Arial" w:eastAsia="Arial" w:hAnsi="Arial" w:cs="Arial"/>
          <w:color w:val="auto"/>
          <w:sz w:val="22"/>
          <w:szCs w:val="22"/>
          <w:highlight w:val="white"/>
        </w:rPr>
        <w:t>Ach</w:t>
      </w:r>
      <w:proofErr w:type="spellEnd"/>
      <w:r w:rsidRPr="007528E0">
        <w:rPr>
          <w:rFonts w:ascii="Arial" w:eastAsia="Arial" w:hAnsi="Arial" w:cs="Arial"/>
          <w:color w:val="auto"/>
          <w:sz w:val="22"/>
          <w:szCs w:val="22"/>
          <w:highlight w:val="white"/>
        </w:rPr>
        <w:t>), enfermedades hepáticas, enfermedades debilitantes, anemia y medicamentos</w:t>
      </w:r>
      <w:r w:rsidRPr="007528E0">
        <w:rPr>
          <w:rFonts w:ascii="Arial" w:eastAsia="Arial" w:hAnsi="Arial" w:cs="Arial"/>
          <w:color w:val="auto"/>
          <w:sz w:val="22"/>
          <w:szCs w:val="22"/>
          <w:highlight w:val="white"/>
        </w:rPr>
        <w:fldChar w:fldCharType="begin" w:fldLock="1"/>
      </w:r>
      <w:r w:rsidRPr="007528E0">
        <w:rPr>
          <w:rFonts w:ascii="Arial" w:eastAsia="Arial" w:hAnsi="Arial" w:cs="Arial"/>
          <w:color w:val="auto"/>
          <w:sz w:val="22"/>
          <w:szCs w:val="22"/>
          <w:highlight w:val="white"/>
        </w:rPr>
        <w:instrText>ADDIN CSL_CITATION { "citationItems" : [ { "id" : "ITEM-1", "itemData" : { "author" : [ { "dropping-particle" : "", "family" : "Aristiz\u00e1bal, H.J., A.L. Pe\u00f1a", "given" : "et al.", "non-dropping-particle" : "", "parse-names" : false, "suffix" : "" } ], "id" : "ITEM-1", "issued" : { "date-parts" : [ [ "0" ] ] }, "title" : "Diagn\u00f3stico cl\u00ednico del paciente intoxicado, in Toxicolog\u00eda cl\u00ednica", "type" : "book" }, "uris" : [ "http://www.mendeley.com/documents/?uuid=1bb4ec25-6eb8-44f7-95b0-a44d560158ae" ] } ], "mendeley" : { "formattedCitation" : "(5)", "plainTextFormattedCitation" : "(5)", "previouslyFormattedCitation" : "(5)" }, "properties" : { "noteIndex" : 0 }, "schema" : "https://github.com/citation-style-language/schema/raw/master/csl-citation.json" }</w:instrText>
      </w:r>
      <w:r w:rsidRPr="007528E0">
        <w:rPr>
          <w:rFonts w:ascii="Arial" w:eastAsia="Arial" w:hAnsi="Arial" w:cs="Arial"/>
          <w:color w:val="auto"/>
          <w:sz w:val="22"/>
          <w:szCs w:val="22"/>
          <w:highlight w:val="white"/>
        </w:rPr>
        <w:fldChar w:fldCharType="separate"/>
      </w:r>
      <w:r w:rsidRPr="007528E0">
        <w:rPr>
          <w:rFonts w:ascii="Arial" w:eastAsia="Arial" w:hAnsi="Arial" w:cs="Arial"/>
          <w:noProof/>
          <w:color w:val="auto"/>
          <w:sz w:val="22"/>
          <w:szCs w:val="22"/>
          <w:highlight w:val="white"/>
        </w:rPr>
        <w:t>(5)</w:t>
      </w:r>
      <w:r w:rsidRPr="007528E0">
        <w:rPr>
          <w:rFonts w:ascii="Arial" w:eastAsia="Arial" w:hAnsi="Arial" w:cs="Arial"/>
          <w:color w:val="auto"/>
          <w:sz w:val="22"/>
          <w:szCs w:val="22"/>
          <w:highlight w:val="white"/>
        </w:rPr>
        <w:fldChar w:fldCharType="end"/>
      </w:r>
      <w:r w:rsidRPr="007528E0">
        <w:rPr>
          <w:rFonts w:ascii="Arial" w:eastAsia="Arial" w:hAnsi="Arial" w:cs="Arial"/>
          <w:color w:val="auto"/>
          <w:sz w:val="22"/>
          <w:szCs w:val="22"/>
          <w:highlight w:val="white"/>
        </w:rPr>
        <w:t>.</w:t>
      </w:r>
    </w:p>
    <w:p w14:paraId="6D1038FC" w14:textId="77777777" w:rsidR="0037398A" w:rsidRPr="007528E0" w:rsidRDefault="0037398A" w:rsidP="0037398A">
      <w:pPr>
        <w:pStyle w:val="Descripcin"/>
        <w:keepNext/>
        <w:spacing w:before="100" w:beforeAutospacing="1" w:after="100" w:afterAutospacing="1"/>
        <w:jc w:val="center"/>
        <w:rPr>
          <w:rFonts w:cs="Arial"/>
          <w:color w:val="auto"/>
          <w:sz w:val="22"/>
          <w:szCs w:val="22"/>
        </w:rPr>
      </w:pPr>
      <w:bookmarkStart w:id="14" w:name="_Toc505456250"/>
      <w:r w:rsidRPr="007528E0">
        <w:rPr>
          <w:rFonts w:cs="Arial"/>
          <w:b/>
          <w:color w:val="auto"/>
          <w:sz w:val="22"/>
          <w:szCs w:val="22"/>
        </w:rPr>
        <w:lastRenderedPageBreak/>
        <w:t xml:space="preserve">Tabla </w:t>
      </w:r>
      <w:r w:rsidRPr="007528E0">
        <w:rPr>
          <w:rFonts w:cs="Arial"/>
          <w:b/>
          <w:color w:val="auto"/>
          <w:sz w:val="22"/>
          <w:szCs w:val="22"/>
        </w:rPr>
        <w:fldChar w:fldCharType="begin"/>
      </w:r>
      <w:r w:rsidRPr="007528E0">
        <w:rPr>
          <w:rFonts w:cs="Arial"/>
          <w:b/>
          <w:color w:val="auto"/>
          <w:sz w:val="22"/>
          <w:szCs w:val="22"/>
        </w:rPr>
        <w:instrText xml:space="preserve"> SEQ Tabla \* ARABIC </w:instrText>
      </w:r>
      <w:r w:rsidRPr="007528E0">
        <w:rPr>
          <w:rFonts w:cs="Arial"/>
          <w:b/>
          <w:color w:val="auto"/>
          <w:sz w:val="22"/>
          <w:szCs w:val="22"/>
        </w:rPr>
        <w:fldChar w:fldCharType="separate"/>
      </w:r>
      <w:r w:rsidRPr="007528E0">
        <w:rPr>
          <w:rFonts w:cs="Arial"/>
          <w:b/>
          <w:noProof/>
          <w:color w:val="auto"/>
          <w:sz w:val="22"/>
          <w:szCs w:val="22"/>
        </w:rPr>
        <w:t>4</w:t>
      </w:r>
      <w:r w:rsidRPr="007528E0">
        <w:rPr>
          <w:rFonts w:cs="Arial"/>
          <w:b/>
          <w:color w:val="auto"/>
          <w:sz w:val="22"/>
          <w:szCs w:val="22"/>
        </w:rPr>
        <w:fldChar w:fldCharType="end"/>
      </w:r>
      <w:r w:rsidRPr="007528E0">
        <w:rPr>
          <w:rFonts w:cs="Arial"/>
          <w:color w:val="auto"/>
          <w:sz w:val="22"/>
          <w:szCs w:val="22"/>
        </w:rPr>
        <w:t>. Interpretación de la actividad de la colinesterasa</w:t>
      </w:r>
      <w:bookmarkEnd w:id="14"/>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10" w:type="dxa"/>
          <w:right w:w="10" w:type="dxa"/>
        </w:tblCellMar>
        <w:tblLook w:val="04A0" w:firstRow="1" w:lastRow="0" w:firstColumn="1" w:lastColumn="0" w:noHBand="0" w:noVBand="1"/>
      </w:tblPr>
      <w:tblGrid>
        <w:gridCol w:w="5020"/>
        <w:gridCol w:w="4018"/>
      </w:tblGrid>
      <w:tr w:rsidR="007528E0" w:rsidRPr="007528E0" w14:paraId="397E7293" w14:textId="77777777" w:rsidTr="007528E0">
        <w:trPr>
          <w:trHeight w:val="633"/>
          <w:jc w:val="center"/>
        </w:trPr>
        <w:tc>
          <w:tcPr>
            <w:tcW w:w="2777" w:type="pct"/>
            <w:tcMar>
              <w:top w:w="100" w:type="dxa"/>
              <w:left w:w="100" w:type="dxa"/>
              <w:bottom w:w="100" w:type="dxa"/>
              <w:right w:w="100" w:type="dxa"/>
            </w:tcMar>
            <w:vAlign w:val="center"/>
          </w:tcPr>
          <w:p w14:paraId="226714EF" w14:textId="77777777" w:rsidR="0037398A" w:rsidRPr="007528E0" w:rsidRDefault="0037398A" w:rsidP="007528E0">
            <w:pPr>
              <w:pStyle w:val="Normal1"/>
              <w:spacing w:before="100" w:beforeAutospacing="1" w:after="100" w:afterAutospacing="1"/>
              <w:jc w:val="center"/>
              <w:rPr>
                <w:rFonts w:ascii="Arial" w:hAnsi="Arial" w:cs="Arial"/>
                <w:b/>
                <w:color w:val="auto"/>
                <w:sz w:val="20"/>
                <w:szCs w:val="20"/>
              </w:rPr>
            </w:pPr>
            <w:r w:rsidRPr="007528E0">
              <w:rPr>
                <w:rFonts w:ascii="Arial" w:eastAsia="Arial" w:hAnsi="Arial" w:cs="Arial"/>
                <w:b/>
                <w:color w:val="auto"/>
                <w:sz w:val="20"/>
                <w:szCs w:val="20"/>
                <w:highlight w:val="white"/>
              </w:rPr>
              <w:t>Disminución de la Actividad de la Enzima Acetilcolinesterasa</w:t>
            </w:r>
          </w:p>
        </w:tc>
        <w:tc>
          <w:tcPr>
            <w:tcW w:w="2223" w:type="pct"/>
            <w:tcMar>
              <w:top w:w="100" w:type="dxa"/>
              <w:left w:w="100" w:type="dxa"/>
              <w:bottom w:w="100" w:type="dxa"/>
              <w:right w:w="100" w:type="dxa"/>
            </w:tcMar>
            <w:vAlign w:val="center"/>
          </w:tcPr>
          <w:p w14:paraId="679AD230" w14:textId="77777777" w:rsidR="0037398A" w:rsidRPr="007528E0" w:rsidRDefault="0037398A" w:rsidP="007528E0">
            <w:pPr>
              <w:pStyle w:val="Normal1"/>
              <w:spacing w:before="100" w:beforeAutospacing="1" w:after="100" w:afterAutospacing="1"/>
              <w:jc w:val="center"/>
              <w:rPr>
                <w:rFonts w:ascii="Arial" w:hAnsi="Arial" w:cs="Arial"/>
                <w:b/>
                <w:color w:val="auto"/>
                <w:sz w:val="20"/>
                <w:szCs w:val="20"/>
              </w:rPr>
            </w:pPr>
            <w:r w:rsidRPr="007528E0">
              <w:rPr>
                <w:rFonts w:ascii="Arial" w:eastAsia="Arial" w:hAnsi="Arial" w:cs="Arial"/>
                <w:b/>
                <w:color w:val="auto"/>
                <w:sz w:val="20"/>
                <w:szCs w:val="20"/>
                <w:highlight w:val="white"/>
              </w:rPr>
              <w:t>Severidad de la intoxicación aguda</w:t>
            </w:r>
          </w:p>
        </w:tc>
      </w:tr>
      <w:tr w:rsidR="007528E0" w:rsidRPr="007528E0" w14:paraId="4F57DD45" w14:textId="77777777" w:rsidTr="007528E0">
        <w:trPr>
          <w:jc w:val="center"/>
        </w:trPr>
        <w:tc>
          <w:tcPr>
            <w:tcW w:w="2777" w:type="pct"/>
            <w:tcMar>
              <w:top w:w="100" w:type="dxa"/>
              <w:left w:w="100" w:type="dxa"/>
              <w:bottom w:w="100" w:type="dxa"/>
              <w:right w:w="100" w:type="dxa"/>
            </w:tcMar>
            <w:vAlign w:val="center"/>
          </w:tcPr>
          <w:p w14:paraId="42FE43E6" w14:textId="77777777" w:rsidR="0037398A" w:rsidRPr="007528E0" w:rsidRDefault="0037398A" w:rsidP="007528E0">
            <w:pPr>
              <w:pStyle w:val="Normal1"/>
              <w:spacing w:before="100" w:beforeAutospacing="1" w:after="100" w:afterAutospacing="1"/>
              <w:jc w:val="center"/>
              <w:rPr>
                <w:rFonts w:ascii="Arial" w:hAnsi="Arial" w:cs="Arial"/>
                <w:color w:val="auto"/>
                <w:sz w:val="20"/>
                <w:szCs w:val="20"/>
              </w:rPr>
            </w:pPr>
            <w:r w:rsidRPr="007528E0">
              <w:rPr>
                <w:rFonts w:ascii="Arial" w:eastAsia="Arial" w:hAnsi="Arial" w:cs="Arial"/>
                <w:color w:val="auto"/>
                <w:sz w:val="20"/>
                <w:szCs w:val="20"/>
                <w:highlight w:val="white"/>
              </w:rPr>
              <w:t>&lt; 25%</w:t>
            </w:r>
          </w:p>
        </w:tc>
        <w:tc>
          <w:tcPr>
            <w:tcW w:w="2223" w:type="pct"/>
            <w:tcMar>
              <w:top w:w="100" w:type="dxa"/>
              <w:left w:w="100" w:type="dxa"/>
              <w:bottom w:w="100" w:type="dxa"/>
              <w:right w:w="100" w:type="dxa"/>
            </w:tcMar>
            <w:vAlign w:val="center"/>
          </w:tcPr>
          <w:p w14:paraId="2F7FA7DF" w14:textId="77777777" w:rsidR="0037398A" w:rsidRPr="007528E0" w:rsidRDefault="0037398A" w:rsidP="007528E0">
            <w:pPr>
              <w:pStyle w:val="Normal1"/>
              <w:spacing w:before="100" w:beforeAutospacing="1" w:after="100" w:afterAutospacing="1"/>
              <w:jc w:val="center"/>
              <w:rPr>
                <w:rFonts w:ascii="Arial" w:hAnsi="Arial" w:cs="Arial"/>
                <w:color w:val="auto"/>
                <w:sz w:val="20"/>
                <w:szCs w:val="20"/>
              </w:rPr>
            </w:pPr>
            <w:r w:rsidRPr="007528E0">
              <w:rPr>
                <w:rFonts w:ascii="Arial" w:eastAsia="Arial" w:hAnsi="Arial" w:cs="Arial"/>
                <w:color w:val="auto"/>
                <w:sz w:val="20"/>
                <w:szCs w:val="20"/>
                <w:highlight w:val="white"/>
              </w:rPr>
              <w:t>Normal</w:t>
            </w:r>
          </w:p>
        </w:tc>
      </w:tr>
      <w:tr w:rsidR="007528E0" w:rsidRPr="007528E0" w14:paraId="4D0788A5" w14:textId="77777777" w:rsidTr="007528E0">
        <w:trPr>
          <w:jc w:val="center"/>
        </w:trPr>
        <w:tc>
          <w:tcPr>
            <w:tcW w:w="2777" w:type="pct"/>
            <w:tcMar>
              <w:top w:w="100" w:type="dxa"/>
              <w:left w:w="100" w:type="dxa"/>
              <w:bottom w:w="100" w:type="dxa"/>
              <w:right w:w="100" w:type="dxa"/>
            </w:tcMar>
            <w:vAlign w:val="center"/>
          </w:tcPr>
          <w:p w14:paraId="78D06FF0" w14:textId="77777777" w:rsidR="0037398A" w:rsidRPr="007528E0" w:rsidRDefault="0037398A" w:rsidP="007528E0">
            <w:pPr>
              <w:pStyle w:val="Normal1"/>
              <w:spacing w:before="100" w:beforeAutospacing="1" w:after="100" w:afterAutospacing="1"/>
              <w:jc w:val="center"/>
              <w:rPr>
                <w:rFonts w:ascii="Arial" w:hAnsi="Arial" w:cs="Arial"/>
                <w:color w:val="auto"/>
                <w:sz w:val="20"/>
                <w:szCs w:val="20"/>
              </w:rPr>
            </w:pPr>
            <w:r w:rsidRPr="007528E0">
              <w:rPr>
                <w:rFonts w:ascii="Arial" w:eastAsia="Arial" w:hAnsi="Arial" w:cs="Arial"/>
                <w:color w:val="auto"/>
                <w:sz w:val="20"/>
                <w:szCs w:val="20"/>
                <w:highlight w:val="white"/>
              </w:rPr>
              <w:t>25-50%</w:t>
            </w:r>
          </w:p>
        </w:tc>
        <w:tc>
          <w:tcPr>
            <w:tcW w:w="2223" w:type="pct"/>
            <w:tcMar>
              <w:top w:w="100" w:type="dxa"/>
              <w:left w:w="100" w:type="dxa"/>
              <w:bottom w:w="100" w:type="dxa"/>
              <w:right w:w="100" w:type="dxa"/>
            </w:tcMar>
            <w:vAlign w:val="center"/>
          </w:tcPr>
          <w:p w14:paraId="6F633C27" w14:textId="77777777" w:rsidR="0037398A" w:rsidRPr="007528E0" w:rsidRDefault="0037398A" w:rsidP="007528E0">
            <w:pPr>
              <w:pStyle w:val="Normal1"/>
              <w:spacing w:before="100" w:beforeAutospacing="1" w:after="100" w:afterAutospacing="1"/>
              <w:jc w:val="center"/>
              <w:rPr>
                <w:rFonts w:ascii="Arial" w:hAnsi="Arial" w:cs="Arial"/>
                <w:color w:val="auto"/>
                <w:sz w:val="20"/>
                <w:szCs w:val="20"/>
              </w:rPr>
            </w:pPr>
            <w:r w:rsidRPr="007528E0">
              <w:rPr>
                <w:rFonts w:ascii="Arial" w:eastAsia="Arial" w:hAnsi="Arial" w:cs="Arial"/>
                <w:color w:val="auto"/>
                <w:sz w:val="20"/>
                <w:szCs w:val="20"/>
                <w:highlight w:val="white"/>
              </w:rPr>
              <w:t>Intoxicación leve</w:t>
            </w:r>
          </w:p>
        </w:tc>
      </w:tr>
      <w:tr w:rsidR="007528E0" w:rsidRPr="007528E0" w14:paraId="68052852" w14:textId="77777777" w:rsidTr="007528E0">
        <w:trPr>
          <w:jc w:val="center"/>
        </w:trPr>
        <w:tc>
          <w:tcPr>
            <w:tcW w:w="2777" w:type="pct"/>
            <w:tcMar>
              <w:top w:w="100" w:type="dxa"/>
              <w:left w:w="100" w:type="dxa"/>
              <w:bottom w:w="100" w:type="dxa"/>
              <w:right w:w="100" w:type="dxa"/>
            </w:tcMar>
            <w:vAlign w:val="center"/>
          </w:tcPr>
          <w:p w14:paraId="3512121C" w14:textId="77777777" w:rsidR="0037398A" w:rsidRPr="007528E0" w:rsidRDefault="0037398A" w:rsidP="007528E0">
            <w:pPr>
              <w:pStyle w:val="Normal1"/>
              <w:spacing w:before="100" w:beforeAutospacing="1" w:after="100" w:afterAutospacing="1"/>
              <w:jc w:val="center"/>
              <w:rPr>
                <w:rFonts w:ascii="Arial" w:hAnsi="Arial" w:cs="Arial"/>
                <w:color w:val="auto"/>
                <w:sz w:val="20"/>
                <w:szCs w:val="20"/>
              </w:rPr>
            </w:pPr>
            <w:r w:rsidRPr="007528E0">
              <w:rPr>
                <w:rFonts w:ascii="Arial" w:eastAsia="Arial" w:hAnsi="Arial" w:cs="Arial"/>
                <w:color w:val="auto"/>
                <w:sz w:val="20"/>
                <w:szCs w:val="20"/>
                <w:highlight w:val="white"/>
              </w:rPr>
              <w:t>50-75%</w:t>
            </w:r>
          </w:p>
        </w:tc>
        <w:tc>
          <w:tcPr>
            <w:tcW w:w="2223" w:type="pct"/>
            <w:tcMar>
              <w:top w:w="100" w:type="dxa"/>
              <w:left w:w="100" w:type="dxa"/>
              <w:bottom w:w="100" w:type="dxa"/>
              <w:right w:w="100" w:type="dxa"/>
            </w:tcMar>
            <w:vAlign w:val="center"/>
          </w:tcPr>
          <w:p w14:paraId="114D92CB" w14:textId="77777777" w:rsidR="0037398A" w:rsidRPr="007528E0" w:rsidRDefault="0037398A" w:rsidP="007528E0">
            <w:pPr>
              <w:pStyle w:val="Normal1"/>
              <w:spacing w:before="100" w:beforeAutospacing="1" w:after="100" w:afterAutospacing="1"/>
              <w:jc w:val="center"/>
              <w:rPr>
                <w:rFonts w:ascii="Arial" w:hAnsi="Arial" w:cs="Arial"/>
                <w:color w:val="auto"/>
                <w:sz w:val="20"/>
                <w:szCs w:val="20"/>
              </w:rPr>
            </w:pPr>
            <w:r w:rsidRPr="007528E0">
              <w:rPr>
                <w:rFonts w:ascii="Arial" w:eastAsia="Arial" w:hAnsi="Arial" w:cs="Arial"/>
                <w:color w:val="auto"/>
                <w:sz w:val="20"/>
                <w:szCs w:val="20"/>
                <w:highlight w:val="white"/>
              </w:rPr>
              <w:t>Intoxicación moderada</w:t>
            </w:r>
          </w:p>
        </w:tc>
      </w:tr>
      <w:tr w:rsidR="007528E0" w:rsidRPr="007528E0" w14:paraId="64E2CF47" w14:textId="77777777" w:rsidTr="007528E0">
        <w:trPr>
          <w:jc w:val="center"/>
        </w:trPr>
        <w:tc>
          <w:tcPr>
            <w:tcW w:w="2777" w:type="pct"/>
            <w:tcMar>
              <w:top w:w="100" w:type="dxa"/>
              <w:left w:w="100" w:type="dxa"/>
              <w:bottom w:w="100" w:type="dxa"/>
              <w:right w:w="100" w:type="dxa"/>
            </w:tcMar>
            <w:vAlign w:val="center"/>
          </w:tcPr>
          <w:p w14:paraId="28E8C2EF" w14:textId="77777777" w:rsidR="0037398A" w:rsidRPr="007528E0" w:rsidRDefault="0037398A" w:rsidP="007528E0">
            <w:pPr>
              <w:pStyle w:val="Normal1"/>
              <w:spacing w:before="100" w:beforeAutospacing="1" w:after="100" w:afterAutospacing="1"/>
              <w:jc w:val="center"/>
              <w:rPr>
                <w:rFonts w:ascii="Arial" w:hAnsi="Arial" w:cs="Arial"/>
                <w:color w:val="auto"/>
                <w:sz w:val="20"/>
                <w:szCs w:val="20"/>
              </w:rPr>
            </w:pPr>
            <w:r w:rsidRPr="007528E0">
              <w:rPr>
                <w:rFonts w:ascii="Arial" w:eastAsia="Arial" w:hAnsi="Arial" w:cs="Arial"/>
                <w:color w:val="auto"/>
                <w:sz w:val="20"/>
                <w:szCs w:val="20"/>
                <w:highlight w:val="white"/>
              </w:rPr>
              <w:t>&gt; 75%</w:t>
            </w:r>
          </w:p>
        </w:tc>
        <w:tc>
          <w:tcPr>
            <w:tcW w:w="2223" w:type="pct"/>
            <w:tcMar>
              <w:top w:w="100" w:type="dxa"/>
              <w:left w:w="100" w:type="dxa"/>
              <w:bottom w:w="100" w:type="dxa"/>
              <w:right w:w="100" w:type="dxa"/>
            </w:tcMar>
            <w:vAlign w:val="center"/>
          </w:tcPr>
          <w:p w14:paraId="048B08F2" w14:textId="77777777" w:rsidR="0037398A" w:rsidRPr="007528E0" w:rsidRDefault="0037398A" w:rsidP="007528E0">
            <w:pPr>
              <w:pStyle w:val="Normal1"/>
              <w:spacing w:before="100" w:beforeAutospacing="1" w:after="100" w:afterAutospacing="1"/>
              <w:jc w:val="center"/>
              <w:rPr>
                <w:rFonts w:ascii="Arial" w:hAnsi="Arial" w:cs="Arial"/>
                <w:color w:val="auto"/>
                <w:sz w:val="20"/>
                <w:szCs w:val="20"/>
              </w:rPr>
            </w:pPr>
            <w:r w:rsidRPr="007528E0">
              <w:rPr>
                <w:rFonts w:ascii="Arial" w:eastAsia="Arial" w:hAnsi="Arial" w:cs="Arial"/>
                <w:color w:val="auto"/>
                <w:sz w:val="20"/>
                <w:szCs w:val="20"/>
                <w:highlight w:val="white"/>
              </w:rPr>
              <w:t>Intoxicación severa</w:t>
            </w:r>
          </w:p>
        </w:tc>
      </w:tr>
    </w:tbl>
    <w:p w14:paraId="6C36CCCD" w14:textId="77777777" w:rsidR="0037398A" w:rsidRPr="007528E0" w:rsidRDefault="0037398A" w:rsidP="0037398A">
      <w:pPr>
        <w:pStyle w:val="Normal1"/>
        <w:spacing w:before="100" w:beforeAutospacing="1" w:after="100" w:afterAutospacing="1"/>
        <w:jc w:val="center"/>
        <w:rPr>
          <w:rFonts w:ascii="Arial" w:hAnsi="Arial" w:cs="Arial"/>
          <w:color w:val="auto"/>
          <w:sz w:val="16"/>
          <w:szCs w:val="16"/>
        </w:rPr>
      </w:pPr>
      <w:r w:rsidRPr="007528E0">
        <w:rPr>
          <w:rFonts w:ascii="Arial" w:hAnsi="Arial" w:cs="Arial"/>
          <w:color w:val="auto"/>
          <w:sz w:val="16"/>
          <w:szCs w:val="16"/>
        </w:rPr>
        <w:t xml:space="preserve">Fuente: </w:t>
      </w:r>
      <w:r w:rsidRPr="007528E0">
        <w:rPr>
          <w:rFonts w:ascii="Arial" w:hAnsi="Arial" w:cs="Arial"/>
          <w:color w:val="auto"/>
          <w:sz w:val="16"/>
          <w:szCs w:val="16"/>
        </w:rPr>
        <w:fldChar w:fldCharType="begin" w:fldLock="1"/>
      </w:r>
      <w:r w:rsidRPr="007528E0">
        <w:rPr>
          <w:rFonts w:ascii="Arial" w:hAnsi="Arial" w:cs="Arial"/>
          <w:color w:val="auto"/>
          <w:sz w:val="16"/>
          <w:szCs w:val="16"/>
        </w:rPr>
        <w:instrText>ADDIN CSL_CITATION { "citationItems" : [ { "id" : "ITEM-1", "itemData" : { "URL" : "https://www.minsalud.gov.co/sites/rid/Lists/BibliotecaDigital/RIDE/DE/GT/Guia-manejo-urgencias-toxicologicas.pdf", "accessed" : { "date-parts" : [ [ "2017", "6", "5" ] ] }, "author" : [ { "dropping-particle" : "", "family" : "Ministerio de Salud y Protecci\u00f3n Social, Universidad Nacional de Colombia", "given" : "Centro De Informaci\u00f3n y Asesor\u00eda Toxicol\u00f3gica", "non-dropping-particle" : "", "parse-names" : false, "suffix" : "" } ], "id" : "ITEM-1", "issued" : { "date-parts" : [ [ "2008" ] ] }, "title" : "Gu\u00edas para el manejo de Urgencias Toxicol\u00f3gicas", "type" : "webpage" }, "uris" : [ "http://www.mendeley.com/documents/?uuid=09dd0fe0-84fe-47ec-b68a-9d78ff833790" ] } ], "mendeley" : { "formattedCitation" : "(14)", "plainTextFormattedCitation" : "(14)", "previouslyFormattedCitation" : "(14)" }, "properties" : { "noteIndex" : 0 }, "schema" : "https://github.com/citation-style-language/schema/raw/master/csl-citation.json" }</w:instrText>
      </w:r>
      <w:r w:rsidRPr="007528E0">
        <w:rPr>
          <w:rFonts w:ascii="Arial" w:hAnsi="Arial" w:cs="Arial"/>
          <w:color w:val="auto"/>
          <w:sz w:val="16"/>
          <w:szCs w:val="16"/>
        </w:rPr>
        <w:fldChar w:fldCharType="separate"/>
      </w:r>
      <w:r w:rsidRPr="007528E0">
        <w:rPr>
          <w:rFonts w:ascii="Arial" w:hAnsi="Arial" w:cs="Arial"/>
          <w:noProof/>
          <w:color w:val="auto"/>
          <w:sz w:val="16"/>
          <w:szCs w:val="16"/>
        </w:rPr>
        <w:t>(14)</w:t>
      </w:r>
      <w:r w:rsidRPr="007528E0">
        <w:rPr>
          <w:rFonts w:ascii="Arial" w:hAnsi="Arial" w:cs="Arial"/>
          <w:color w:val="auto"/>
          <w:sz w:val="16"/>
          <w:szCs w:val="16"/>
        </w:rPr>
        <w:fldChar w:fldCharType="end"/>
      </w:r>
      <w:r w:rsidRPr="007528E0">
        <w:rPr>
          <w:rFonts w:ascii="Arial" w:hAnsi="Arial" w:cs="Arial"/>
          <w:color w:val="auto"/>
          <w:sz w:val="16"/>
          <w:szCs w:val="16"/>
        </w:rPr>
        <w:t xml:space="preserve"> </w:t>
      </w:r>
    </w:p>
    <w:p w14:paraId="0D5BD7E6" w14:textId="77777777" w:rsidR="0037398A" w:rsidRDefault="0037398A" w:rsidP="0037398A">
      <w:pPr>
        <w:autoSpaceDE w:val="0"/>
        <w:autoSpaceDN w:val="0"/>
        <w:spacing w:before="100" w:beforeAutospacing="1" w:after="100" w:afterAutospacing="1"/>
        <w:rPr>
          <w:rFonts w:cs="Arial"/>
          <w:sz w:val="22"/>
          <w:szCs w:val="22"/>
          <w:lang w:val="es-CO"/>
        </w:rPr>
      </w:pPr>
      <w:r w:rsidRPr="007528E0">
        <w:rPr>
          <w:rFonts w:cs="Arial"/>
          <w:sz w:val="22"/>
          <w:szCs w:val="22"/>
          <w:lang w:val="es-CO"/>
        </w:rPr>
        <w:t xml:space="preserve">La vigilancia que se hace por laboratorio en el marco del Programa de Vigilancia Epidemiológica de Plaguicidas Organofosforados y carbamatos – VEO, que encuentre individuos con porcentajes de la acetilcolinesterasa iguales o menores a 50% de actividad y presenten signos y síntomas deben ser notificados por escrito y remitidos al médico, quien diligenciará la ficha de notificación de caso de intoxicación aguda por plaguicidas y la remitirá al </w:t>
      </w:r>
      <w:proofErr w:type="spellStart"/>
      <w:r w:rsidRPr="007528E0">
        <w:rPr>
          <w:rFonts w:cs="Arial"/>
          <w:sz w:val="22"/>
          <w:szCs w:val="22"/>
          <w:lang w:val="es-CO"/>
        </w:rPr>
        <w:t>Sivigila</w:t>
      </w:r>
      <w:proofErr w:type="spellEnd"/>
      <w:r w:rsidRPr="007528E0">
        <w:rPr>
          <w:rFonts w:cs="Arial"/>
          <w:sz w:val="22"/>
          <w:szCs w:val="22"/>
          <w:lang w:val="es-CO"/>
        </w:rPr>
        <w:t xml:space="preserve">. </w:t>
      </w:r>
    </w:p>
    <w:p w14:paraId="4F363C0D" w14:textId="6CE2F75D" w:rsidR="007528E0" w:rsidRPr="00082530" w:rsidRDefault="007528E0" w:rsidP="007528E0">
      <w:pPr>
        <w:pStyle w:val="Normal1"/>
        <w:spacing w:before="100" w:beforeAutospacing="1" w:after="100" w:afterAutospacing="1"/>
        <w:jc w:val="both"/>
        <w:rPr>
          <w:rFonts w:ascii="Arial" w:eastAsia="Calibri" w:hAnsi="Arial" w:cs="Arial"/>
          <w:b/>
          <w:color w:val="FF0000"/>
          <w:sz w:val="22"/>
          <w:szCs w:val="22"/>
          <w:u w:val="single"/>
        </w:rPr>
      </w:pPr>
      <w:r w:rsidRPr="00082530">
        <w:rPr>
          <w:rFonts w:ascii="Arial" w:eastAsia="Calibri" w:hAnsi="Arial" w:cs="Arial"/>
          <w:b/>
          <w:color w:val="FF0000"/>
          <w:sz w:val="22"/>
          <w:szCs w:val="22"/>
          <w:highlight w:val="white"/>
          <w:u w:val="single"/>
        </w:rPr>
        <w:t>Intoxicaciones</w:t>
      </w:r>
      <w:r w:rsidR="000D638F" w:rsidRPr="00082530">
        <w:rPr>
          <w:rFonts w:ascii="Arial" w:eastAsia="Calibri" w:hAnsi="Arial" w:cs="Arial"/>
          <w:b/>
          <w:color w:val="FF0000"/>
          <w:sz w:val="22"/>
          <w:szCs w:val="22"/>
          <w:highlight w:val="white"/>
          <w:u w:val="single"/>
        </w:rPr>
        <w:t xml:space="preserve"> agudas</w:t>
      </w:r>
      <w:r w:rsidRPr="00082530">
        <w:rPr>
          <w:rFonts w:ascii="Arial" w:eastAsia="Calibri" w:hAnsi="Arial" w:cs="Arial"/>
          <w:b/>
          <w:color w:val="FF0000"/>
          <w:sz w:val="22"/>
          <w:szCs w:val="22"/>
          <w:highlight w:val="white"/>
          <w:u w:val="single"/>
        </w:rPr>
        <w:t xml:space="preserve"> por glifosato. Expos</w:t>
      </w:r>
      <w:r w:rsidRPr="00082530">
        <w:rPr>
          <w:rFonts w:ascii="Arial" w:eastAsia="Calibri" w:hAnsi="Arial" w:cs="Arial"/>
          <w:b/>
          <w:color w:val="FF0000"/>
          <w:sz w:val="22"/>
          <w:szCs w:val="22"/>
          <w:u w:val="single"/>
        </w:rPr>
        <w:t>ición en aspersiones aéreas</w:t>
      </w:r>
    </w:p>
    <w:p w14:paraId="26F68B9B" w14:textId="7BA465D1" w:rsidR="007528E0" w:rsidRPr="00082530" w:rsidRDefault="007528E0" w:rsidP="007528E0">
      <w:pPr>
        <w:pStyle w:val="Normal1"/>
        <w:spacing w:before="100" w:beforeAutospacing="1" w:after="100" w:afterAutospacing="1"/>
        <w:jc w:val="both"/>
        <w:rPr>
          <w:rFonts w:ascii="Arial" w:eastAsia="Calibri" w:hAnsi="Arial" w:cs="Arial"/>
          <w:color w:val="FF0000"/>
          <w:sz w:val="22"/>
          <w:szCs w:val="22"/>
        </w:rPr>
      </w:pPr>
      <w:r w:rsidRPr="00082530">
        <w:rPr>
          <w:rFonts w:ascii="Arial" w:eastAsia="Calibri" w:hAnsi="Arial" w:cs="Arial"/>
          <w:color w:val="FF0000"/>
          <w:sz w:val="22"/>
          <w:szCs w:val="22"/>
        </w:rPr>
        <w:t xml:space="preserve">El glifosato corresponde a un herbicida de la familia de los </w:t>
      </w:r>
      <w:proofErr w:type="spellStart"/>
      <w:r w:rsidRPr="00082530">
        <w:rPr>
          <w:rFonts w:ascii="Arial" w:eastAsia="Calibri" w:hAnsi="Arial" w:cs="Arial"/>
          <w:color w:val="FF0000"/>
          <w:sz w:val="22"/>
          <w:szCs w:val="22"/>
        </w:rPr>
        <w:t>fosfonatos</w:t>
      </w:r>
      <w:proofErr w:type="spellEnd"/>
      <w:r w:rsidRPr="00082530">
        <w:rPr>
          <w:rFonts w:ascii="Arial" w:eastAsia="Calibri" w:hAnsi="Arial" w:cs="Arial"/>
          <w:color w:val="FF0000"/>
          <w:sz w:val="22"/>
          <w:szCs w:val="22"/>
        </w:rPr>
        <w:t>, el cual</w:t>
      </w:r>
      <w:r w:rsidR="000D638F" w:rsidRPr="00082530">
        <w:rPr>
          <w:rFonts w:ascii="Arial" w:eastAsia="Calibri" w:hAnsi="Arial" w:cs="Arial"/>
          <w:color w:val="FF0000"/>
          <w:sz w:val="22"/>
          <w:szCs w:val="22"/>
        </w:rPr>
        <w:t xml:space="preserve"> se emplea en diferentes tipos de cultivos (como café, banano, cítricos, entre otros), además</w:t>
      </w:r>
      <w:r w:rsidRPr="00082530">
        <w:rPr>
          <w:rFonts w:ascii="Arial" w:eastAsia="Calibri" w:hAnsi="Arial" w:cs="Arial"/>
          <w:color w:val="FF0000"/>
          <w:sz w:val="22"/>
          <w:szCs w:val="22"/>
        </w:rPr>
        <w:t xml:space="preserve"> en Colombia ha sido emp</w:t>
      </w:r>
      <w:r w:rsidR="000D638F" w:rsidRPr="00082530">
        <w:rPr>
          <w:rFonts w:ascii="Arial" w:eastAsia="Calibri" w:hAnsi="Arial" w:cs="Arial"/>
          <w:color w:val="FF0000"/>
          <w:sz w:val="22"/>
          <w:szCs w:val="22"/>
        </w:rPr>
        <w:t xml:space="preserve">leado en aspersiones aéreas en el marco de </w:t>
      </w:r>
      <w:r w:rsidRPr="00082530">
        <w:rPr>
          <w:rFonts w:ascii="Arial" w:eastAsia="Calibri" w:hAnsi="Arial" w:cs="Arial"/>
          <w:color w:val="FF0000"/>
          <w:sz w:val="22"/>
          <w:szCs w:val="22"/>
        </w:rPr>
        <w:t>la erradicación de cultivos ilícitos</w:t>
      </w:r>
      <w:r w:rsidR="000D638F" w:rsidRPr="00082530">
        <w:rPr>
          <w:rFonts w:ascii="Arial" w:eastAsia="Calibri" w:hAnsi="Arial" w:cs="Arial"/>
          <w:color w:val="FF0000"/>
          <w:sz w:val="22"/>
          <w:szCs w:val="22"/>
        </w:rPr>
        <w:t>, las cuales fueron suspendidas en octubre de 2015.</w:t>
      </w:r>
    </w:p>
    <w:p w14:paraId="46D72DC4" w14:textId="5260990D" w:rsidR="000D638F" w:rsidRPr="00082530" w:rsidRDefault="000D638F" w:rsidP="00986651">
      <w:pPr>
        <w:pStyle w:val="Normal1"/>
        <w:spacing w:before="100" w:beforeAutospacing="1" w:after="100" w:afterAutospacing="1"/>
        <w:jc w:val="both"/>
        <w:rPr>
          <w:rFonts w:ascii="Arial" w:eastAsia="Calibri" w:hAnsi="Arial" w:cs="Arial"/>
          <w:color w:val="FF0000"/>
          <w:sz w:val="22"/>
          <w:szCs w:val="22"/>
        </w:rPr>
      </w:pPr>
      <w:r w:rsidRPr="00082530">
        <w:rPr>
          <w:rFonts w:ascii="Arial" w:eastAsia="Calibri" w:hAnsi="Arial" w:cs="Arial"/>
          <w:color w:val="FF0000"/>
          <w:sz w:val="22"/>
          <w:szCs w:val="22"/>
        </w:rPr>
        <w:t xml:space="preserve">Se considera que la toxicidad del glifosato es moderada, la dosis letal 50 dada </w:t>
      </w:r>
      <w:r w:rsidR="00AD05A1" w:rsidRPr="00082530">
        <w:rPr>
          <w:rFonts w:ascii="Arial" w:eastAsia="Calibri" w:hAnsi="Arial" w:cs="Arial"/>
          <w:color w:val="FF0000"/>
          <w:sz w:val="22"/>
          <w:szCs w:val="22"/>
        </w:rPr>
        <w:t xml:space="preserve">por la OMS es de 4 </w:t>
      </w:r>
      <w:r w:rsidRPr="00082530">
        <w:rPr>
          <w:rFonts w:ascii="Arial" w:eastAsia="Calibri" w:hAnsi="Arial" w:cs="Arial"/>
          <w:color w:val="FF0000"/>
          <w:sz w:val="22"/>
          <w:szCs w:val="22"/>
        </w:rPr>
        <w:t>230 mg/kg y lo clasifica en Categoría Toxicológica III</w:t>
      </w:r>
      <w:r w:rsidR="00AD05A1" w:rsidRPr="00082530">
        <w:rPr>
          <w:rFonts w:ascii="Arial" w:eastAsia="Calibri" w:hAnsi="Arial" w:cs="Arial"/>
          <w:color w:val="FF0000"/>
          <w:sz w:val="22"/>
          <w:szCs w:val="22"/>
        </w:rPr>
        <w:t xml:space="preserve">. </w:t>
      </w:r>
      <w:r w:rsidR="002B5D48">
        <w:rPr>
          <w:rFonts w:ascii="Arial" w:eastAsia="Calibri" w:hAnsi="Arial" w:cs="Arial"/>
          <w:color w:val="FF0000"/>
          <w:sz w:val="22"/>
          <w:szCs w:val="22"/>
        </w:rPr>
        <w:t>Existen diferentes</w:t>
      </w:r>
      <w:r w:rsidR="00AD05A1" w:rsidRPr="00082530">
        <w:rPr>
          <w:rFonts w:ascii="Arial" w:eastAsia="Calibri" w:hAnsi="Arial" w:cs="Arial"/>
          <w:color w:val="FF0000"/>
          <w:sz w:val="22"/>
          <w:szCs w:val="22"/>
        </w:rPr>
        <w:t xml:space="preserve"> vías de ingreso</w:t>
      </w:r>
      <w:r w:rsidR="00986651" w:rsidRPr="00082530">
        <w:rPr>
          <w:rFonts w:ascii="Arial" w:eastAsia="Calibri" w:hAnsi="Arial" w:cs="Arial"/>
          <w:color w:val="FF0000"/>
          <w:sz w:val="22"/>
          <w:szCs w:val="22"/>
        </w:rPr>
        <w:t>:</w:t>
      </w:r>
      <w:r w:rsidR="00AD05A1" w:rsidRPr="00082530">
        <w:rPr>
          <w:rFonts w:ascii="Arial" w:eastAsia="Calibri" w:hAnsi="Arial" w:cs="Arial"/>
          <w:color w:val="FF0000"/>
          <w:sz w:val="22"/>
          <w:szCs w:val="22"/>
        </w:rPr>
        <w:t xml:space="preserve"> oral, inhalatoria, por contacto dérmico o conjuntival</w:t>
      </w:r>
      <w:r w:rsidR="00986651" w:rsidRPr="00082530">
        <w:rPr>
          <w:rFonts w:ascii="Arial" w:eastAsia="Calibri" w:hAnsi="Arial" w:cs="Arial"/>
          <w:color w:val="FF0000"/>
          <w:sz w:val="22"/>
          <w:szCs w:val="22"/>
        </w:rPr>
        <w:t xml:space="preserve">, para el caso de </w:t>
      </w:r>
      <w:r w:rsidR="00F709FA" w:rsidRPr="00082530">
        <w:rPr>
          <w:rFonts w:ascii="Arial" w:eastAsia="Calibri" w:hAnsi="Arial" w:cs="Arial"/>
          <w:color w:val="FF0000"/>
          <w:sz w:val="22"/>
          <w:szCs w:val="22"/>
        </w:rPr>
        <w:t xml:space="preserve">las intoxicaciones en aspersiones aéreas se considera la vía de ingreso dérmica y posiblemente conjuntival, estas 2 tienen </w:t>
      </w:r>
      <w:r w:rsidR="00AD05A1" w:rsidRPr="00082530">
        <w:rPr>
          <w:rFonts w:ascii="Arial" w:eastAsia="Calibri" w:hAnsi="Arial" w:cs="Arial"/>
          <w:color w:val="FF0000"/>
          <w:sz w:val="22"/>
          <w:szCs w:val="22"/>
        </w:rPr>
        <w:t>absorción baja, se considera que menor al 5%</w:t>
      </w:r>
      <w:r w:rsidR="00F709FA" w:rsidRPr="00082530">
        <w:rPr>
          <w:rFonts w:ascii="Arial" w:eastAsia="Calibri" w:hAnsi="Arial" w:cs="Arial"/>
          <w:color w:val="FF0000"/>
          <w:sz w:val="22"/>
          <w:szCs w:val="22"/>
        </w:rPr>
        <w:t xml:space="preserve"> (14)</w:t>
      </w:r>
      <w:r w:rsidR="00AD05A1" w:rsidRPr="00082530">
        <w:rPr>
          <w:rFonts w:ascii="Arial" w:eastAsia="Calibri" w:hAnsi="Arial" w:cs="Arial"/>
          <w:color w:val="FF0000"/>
          <w:sz w:val="22"/>
          <w:szCs w:val="22"/>
        </w:rPr>
        <w:t>.</w:t>
      </w:r>
    </w:p>
    <w:p w14:paraId="13BEC969" w14:textId="04B27108" w:rsidR="00F709FA" w:rsidRPr="00082530" w:rsidRDefault="002B5D48" w:rsidP="00F709FA">
      <w:pPr>
        <w:pStyle w:val="Normal1"/>
        <w:spacing w:before="100" w:beforeAutospacing="1" w:after="100" w:afterAutospacing="1"/>
        <w:jc w:val="both"/>
        <w:rPr>
          <w:rFonts w:ascii="Arial" w:eastAsia="Calibri" w:hAnsi="Arial" w:cs="Arial"/>
          <w:color w:val="FF0000"/>
          <w:sz w:val="22"/>
          <w:szCs w:val="22"/>
        </w:rPr>
      </w:pPr>
      <w:r>
        <w:rPr>
          <w:rFonts w:ascii="Arial" w:eastAsia="Calibri" w:hAnsi="Arial" w:cs="Arial"/>
          <w:color w:val="FF0000"/>
          <w:sz w:val="22"/>
          <w:szCs w:val="22"/>
        </w:rPr>
        <w:t>L</w:t>
      </w:r>
      <w:r w:rsidR="00F709FA" w:rsidRPr="00082530">
        <w:rPr>
          <w:rFonts w:ascii="Arial" w:eastAsia="Calibri" w:hAnsi="Arial" w:cs="Arial"/>
          <w:color w:val="FF0000"/>
          <w:sz w:val="22"/>
          <w:szCs w:val="22"/>
        </w:rPr>
        <w:t>a</w:t>
      </w:r>
      <w:r>
        <w:rPr>
          <w:rFonts w:ascii="Arial" w:eastAsia="Calibri" w:hAnsi="Arial" w:cs="Arial"/>
          <w:color w:val="FF0000"/>
          <w:sz w:val="22"/>
          <w:szCs w:val="22"/>
        </w:rPr>
        <w:t xml:space="preserve"> manifestación</w:t>
      </w:r>
      <w:r w:rsidR="00F709FA" w:rsidRPr="00082530">
        <w:rPr>
          <w:rFonts w:ascii="Arial" w:eastAsia="Calibri" w:hAnsi="Arial" w:cs="Arial"/>
          <w:color w:val="FF0000"/>
          <w:sz w:val="22"/>
          <w:szCs w:val="22"/>
        </w:rPr>
        <w:t xml:space="preserve"> clínica cuando hay contacto ocular y dérmico </w:t>
      </w:r>
      <w:r>
        <w:rPr>
          <w:rFonts w:ascii="Arial" w:eastAsia="Calibri" w:hAnsi="Arial" w:cs="Arial"/>
          <w:color w:val="FF0000"/>
          <w:sz w:val="22"/>
          <w:szCs w:val="22"/>
        </w:rPr>
        <w:t xml:space="preserve">básicamente consiste en </w:t>
      </w:r>
      <w:r w:rsidR="00F709FA" w:rsidRPr="00082530">
        <w:rPr>
          <w:rFonts w:ascii="Arial" w:eastAsia="Calibri" w:hAnsi="Arial" w:cs="Arial"/>
          <w:color w:val="FF0000"/>
          <w:sz w:val="22"/>
          <w:szCs w:val="22"/>
        </w:rPr>
        <w:t>irritación severa y aunque no se reporta como cáustico</w:t>
      </w:r>
      <w:r>
        <w:rPr>
          <w:rFonts w:ascii="Arial" w:eastAsia="Calibri" w:hAnsi="Arial" w:cs="Arial"/>
          <w:color w:val="FF0000"/>
          <w:sz w:val="22"/>
          <w:szCs w:val="22"/>
        </w:rPr>
        <w:t>,</w:t>
      </w:r>
      <w:r w:rsidR="00F709FA" w:rsidRPr="00082530">
        <w:rPr>
          <w:rFonts w:ascii="Arial" w:eastAsia="Calibri" w:hAnsi="Arial" w:cs="Arial"/>
          <w:color w:val="FF0000"/>
          <w:sz w:val="22"/>
          <w:szCs w:val="22"/>
        </w:rPr>
        <w:t xml:space="preserve"> una exposición prolongada puede causar irritación dérmica importante</w:t>
      </w:r>
      <w:r>
        <w:rPr>
          <w:rFonts w:ascii="Arial" w:eastAsia="Calibri" w:hAnsi="Arial" w:cs="Arial"/>
          <w:color w:val="FF0000"/>
          <w:sz w:val="22"/>
          <w:szCs w:val="22"/>
        </w:rPr>
        <w:t>, como se mencionó la absorción sistémica en baja</w:t>
      </w:r>
      <w:r w:rsidR="00F709FA" w:rsidRPr="00082530">
        <w:rPr>
          <w:rFonts w:ascii="Arial" w:eastAsia="Calibri" w:hAnsi="Arial" w:cs="Arial"/>
          <w:color w:val="FF0000"/>
          <w:sz w:val="22"/>
          <w:szCs w:val="22"/>
        </w:rPr>
        <w:t>. La exposición ocular puede originar moderada a severa conjuntivitis o lesión corneal generalmente superficial (14).</w:t>
      </w:r>
    </w:p>
    <w:p w14:paraId="3E561668" w14:textId="0272920F" w:rsidR="00F709FA" w:rsidRPr="00082530" w:rsidRDefault="00F709FA" w:rsidP="00F709FA">
      <w:pPr>
        <w:pStyle w:val="Normal1"/>
        <w:spacing w:before="100" w:beforeAutospacing="1" w:after="100" w:afterAutospacing="1"/>
        <w:jc w:val="both"/>
        <w:rPr>
          <w:rFonts w:ascii="Arial" w:eastAsia="Calibri" w:hAnsi="Arial" w:cs="Arial"/>
          <w:color w:val="FF0000"/>
          <w:sz w:val="22"/>
          <w:szCs w:val="22"/>
        </w:rPr>
      </w:pPr>
      <w:r w:rsidRPr="00082530">
        <w:rPr>
          <w:rFonts w:ascii="Arial" w:eastAsia="Calibri" w:hAnsi="Arial" w:cs="Arial"/>
          <w:color w:val="FF0000"/>
          <w:sz w:val="22"/>
          <w:szCs w:val="22"/>
        </w:rPr>
        <w:lastRenderedPageBreak/>
        <w:t xml:space="preserve">El tratamiento de este tipo de intoxicaciones incluye la evaluación general del paciente para determinar el grado de severidad y el manejo adecuado a seguir. En la intoxicación por contacto, </w:t>
      </w:r>
      <w:r w:rsidR="002B5D48">
        <w:rPr>
          <w:rFonts w:ascii="Arial" w:eastAsia="Calibri" w:hAnsi="Arial" w:cs="Arial"/>
          <w:color w:val="FF0000"/>
          <w:sz w:val="22"/>
          <w:szCs w:val="22"/>
        </w:rPr>
        <w:t>se debe</w:t>
      </w:r>
      <w:r w:rsidRPr="00082530">
        <w:rPr>
          <w:rFonts w:ascii="Arial" w:eastAsia="Calibri" w:hAnsi="Arial" w:cs="Arial"/>
          <w:color w:val="FF0000"/>
          <w:sz w:val="22"/>
          <w:szCs w:val="22"/>
        </w:rPr>
        <w:t xml:space="preserve"> retirar la ropa y demás elementos contaminados lo más rápido posible y lava</w:t>
      </w:r>
      <w:r w:rsidR="002B5D48">
        <w:rPr>
          <w:rFonts w:ascii="Arial" w:eastAsia="Calibri" w:hAnsi="Arial" w:cs="Arial"/>
          <w:color w:val="FF0000"/>
          <w:sz w:val="22"/>
          <w:szCs w:val="22"/>
        </w:rPr>
        <w:t>r exhaustivamente la</w:t>
      </w:r>
      <w:r w:rsidRPr="00082530">
        <w:rPr>
          <w:rFonts w:ascii="Arial" w:eastAsia="Calibri" w:hAnsi="Arial" w:cs="Arial"/>
          <w:color w:val="FF0000"/>
          <w:sz w:val="22"/>
          <w:szCs w:val="22"/>
        </w:rPr>
        <w:t xml:space="preserve"> piel con agua y jabón preferiblemente de pH neutro. En caso de contacto ocular </w:t>
      </w:r>
      <w:r w:rsidR="002B5D48">
        <w:rPr>
          <w:rFonts w:ascii="Arial" w:eastAsia="Calibri" w:hAnsi="Arial" w:cs="Arial"/>
          <w:color w:val="FF0000"/>
          <w:sz w:val="22"/>
          <w:szCs w:val="22"/>
        </w:rPr>
        <w:t>realizar</w:t>
      </w:r>
      <w:r w:rsidRPr="00082530">
        <w:rPr>
          <w:rFonts w:ascii="Arial" w:eastAsia="Calibri" w:hAnsi="Arial" w:cs="Arial"/>
          <w:color w:val="FF0000"/>
          <w:sz w:val="22"/>
          <w:szCs w:val="22"/>
        </w:rPr>
        <w:t xml:space="preserve"> un lavado exhaustivo con SSN al 0.9% por lo menos durante 5 minutos y luego dejar un goteo continuo por una hora. </w:t>
      </w:r>
      <w:r w:rsidR="002B5D48">
        <w:rPr>
          <w:rFonts w:ascii="Arial" w:eastAsia="Calibri" w:hAnsi="Arial" w:cs="Arial"/>
          <w:color w:val="FF0000"/>
          <w:sz w:val="22"/>
          <w:szCs w:val="22"/>
        </w:rPr>
        <w:t>Requiere valoración por oftalmología de urgencias</w:t>
      </w:r>
      <w:r w:rsidRPr="00082530">
        <w:rPr>
          <w:rFonts w:ascii="Arial" w:eastAsia="Calibri" w:hAnsi="Arial" w:cs="Arial"/>
          <w:color w:val="FF0000"/>
          <w:sz w:val="22"/>
          <w:szCs w:val="22"/>
        </w:rPr>
        <w:t xml:space="preserve"> (14).</w:t>
      </w:r>
    </w:p>
    <w:p w14:paraId="17765D1C" w14:textId="77777777" w:rsidR="0037398A" w:rsidRPr="007528E0" w:rsidRDefault="0037398A" w:rsidP="0037398A">
      <w:pPr>
        <w:pStyle w:val="Ttulo2"/>
        <w:numPr>
          <w:ilvl w:val="0"/>
          <w:numId w:val="25"/>
        </w:numPr>
        <w:spacing w:before="100" w:beforeAutospacing="1" w:after="100" w:afterAutospacing="1"/>
        <w:jc w:val="left"/>
        <w:rPr>
          <w:sz w:val="22"/>
          <w:szCs w:val="22"/>
        </w:rPr>
      </w:pPr>
      <w:bookmarkStart w:id="15" w:name="_Toc464122680"/>
      <w:bookmarkStart w:id="16" w:name="_Toc505456657"/>
      <w:r w:rsidRPr="007528E0">
        <w:rPr>
          <w:sz w:val="22"/>
          <w:szCs w:val="22"/>
        </w:rPr>
        <w:t>Intoxicación por metanol</w:t>
      </w:r>
      <w:bookmarkEnd w:id="15"/>
      <w:r w:rsidRPr="007528E0">
        <w:rPr>
          <w:sz w:val="22"/>
          <w:szCs w:val="22"/>
        </w:rPr>
        <w:t xml:space="preserve"> (Grupo de sustancia 3)</w:t>
      </w:r>
      <w:bookmarkEnd w:id="16"/>
    </w:p>
    <w:p w14:paraId="32DECABF" w14:textId="77777777" w:rsidR="0037398A" w:rsidRPr="007528E0" w:rsidRDefault="0037398A" w:rsidP="0037398A">
      <w:pPr>
        <w:spacing w:before="100" w:beforeAutospacing="1" w:after="100" w:afterAutospacing="1"/>
        <w:rPr>
          <w:rFonts w:eastAsia="Calibri" w:cs="Arial"/>
          <w:sz w:val="22"/>
          <w:szCs w:val="22"/>
        </w:rPr>
      </w:pPr>
      <w:r w:rsidRPr="007528E0">
        <w:rPr>
          <w:rFonts w:cs="Arial"/>
          <w:sz w:val="22"/>
          <w:szCs w:val="22"/>
          <w:lang w:val="es-CO"/>
        </w:rPr>
        <w:t>El alcohol metílico o</w:t>
      </w:r>
      <w:r w:rsidRPr="007528E0">
        <w:rPr>
          <w:rFonts w:eastAsia="Calibri" w:cs="Arial"/>
          <w:sz w:val="22"/>
          <w:szCs w:val="22"/>
          <w:lang w:val="es-CO"/>
        </w:rPr>
        <w:t xml:space="preserve"> alcohol de madera fue descubierto por Boyle en 1661,</w:t>
      </w:r>
      <w:r w:rsidRPr="007528E0">
        <w:rPr>
          <w:rFonts w:eastAsia="Calibri" w:cs="Arial"/>
          <w:sz w:val="22"/>
          <w:szCs w:val="22"/>
          <w:lang w:val="es-CO"/>
        </w:rPr>
        <w:fldChar w:fldCharType="begin" w:fldLock="1"/>
      </w:r>
      <w:r w:rsidRPr="007528E0">
        <w:rPr>
          <w:rFonts w:eastAsia="Calibri" w:cs="Arial"/>
          <w:sz w:val="22"/>
          <w:szCs w:val="22"/>
          <w:lang w:val="es-CO"/>
        </w:rPr>
        <w:instrText>ADDIN CSL_CITATION { "citationItems" : [ { "id" : "ITEM-1", "itemData" : { "author" : [ { "dropping-particle" : "", "family" : "Adriana Zamora Suarez", "given" : "MD", "non-dropping-particle" : "", "parse-names" : false, "suffix" : "" } ], "editor" : [ { "dropping-particle" : "", "family" : "Distribuna", "given" : "Editorial", "non-dropping-particle" : "", "parse-names" : false, "suffix" : "" } ], "id" : "ITEM-1", "issued" : { "date-parts" : [ [ "2014" ] ] }, "number-of-pages" : "3-5", "title" : "Intoxicaciones en la practica clinica", "type" : "book" }, "uris" : [ "http://www.mendeley.com/documents/?uuid=dab63e2e-2c1a-41eb-8bca-65988c1d6830" ] } ], "mendeley" : { "formattedCitation" : "(22)", "plainTextFormattedCitation" : "(22)", "previouslyFormattedCitation" : "(22)" }, "properties" : { "noteIndex" : 0 }, "schema" : "https://github.com/citation-style-language/schema/raw/master/csl-citation.json" }</w:instrText>
      </w:r>
      <w:r w:rsidRPr="007528E0">
        <w:rPr>
          <w:rFonts w:eastAsia="Calibri" w:cs="Arial"/>
          <w:sz w:val="22"/>
          <w:szCs w:val="22"/>
          <w:lang w:val="es-CO"/>
        </w:rPr>
        <w:fldChar w:fldCharType="separate"/>
      </w:r>
      <w:r w:rsidRPr="007528E0">
        <w:rPr>
          <w:rFonts w:eastAsia="Calibri" w:cs="Arial"/>
          <w:noProof/>
          <w:sz w:val="22"/>
          <w:szCs w:val="22"/>
          <w:lang w:val="es-CO"/>
        </w:rPr>
        <w:t>(22)</w:t>
      </w:r>
      <w:r w:rsidRPr="007528E0">
        <w:rPr>
          <w:rFonts w:eastAsia="Calibri" w:cs="Arial"/>
          <w:sz w:val="22"/>
          <w:szCs w:val="22"/>
          <w:lang w:val="es-CO"/>
        </w:rPr>
        <w:fldChar w:fldCharType="end"/>
      </w:r>
      <w:r w:rsidRPr="007528E0">
        <w:rPr>
          <w:rFonts w:eastAsia="Calibri" w:cs="Arial"/>
          <w:sz w:val="22"/>
          <w:szCs w:val="22"/>
          <w:lang w:val="es-CO"/>
        </w:rPr>
        <w:t xml:space="preserve"> </w:t>
      </w:r>
      <w:r w:rsidRPr="007528E0">
        <w:rPr>
          <w:rFonts w:eastAsia="Calibri" w:cs="Arial"/>
          <w:sz w:val="22"/>
          <w:szCs w:val="22"/>
        </w:rPr>
        <w:t xml:space="preserve">es un producto líquido a temperatura ambiente, volátil, inflamable, con leve olor a alcohol.  Esta sustancia también es conocida alcohol metílico, alcohol de madera, carbinol o alcohol de cocina. Se usa como solvente industrial, combustible y anticongelante y como precursor en la fabricación de plástico y textiles sintéticos. Es ingrediente común de varias productos de uso doméstico (barnices, limpiavidrios, </w:t>
      </w:r>
      <w:proofErr w:type="spellStart"/>
      <w:r w:rsidRPr="007528E0">
        <w:rPr>
          <w:rFonts w:eastAsia="Calibri" w:cs="Arial"/>
          <w:sz w:val="22"/>
          <w:szCs w:val="22"/>
        </w:rPr>
        <w:t>thinner</w:t>
      </w:r>
      <w:proofErr w:type="spellEnd"/>
      <w:r w:rsidRPr="007528E0">
        <w:rPr>
          <w:rFonts w:eastAsia="Calibri" w:cs="Arial"/>
          <w:sz w:val="22"/>
          <w:szCs w:val="22"/>
        </w:rPr>
        <w:t xml:space="preserve">, removedores de pintura, gel para combustible de fogones, entre otros) </w:t>
      </w:r>
      <w:r w:rsidRPr="007528E0">
        <w:rPr>
          <w:rFonts w:eastAsia="Calibri" w:cs="Arial"/>
          <w:sz w:val="22"/>
          <w:szCs w:val="22"/>
        </w:rPr>
        <w:fldChar w:fldCharType="begin" w:fldLock="1"/>
      </w:r>
      <w:r w:rsidRPr="007528E0">
        <w:rPr>
          <w:rFonts w:eastAsia="Calibri" w:cs="Arial"/>
          <w:sz w:val="22"/>
          <w:szCs w:val="22"/>
        </w:rPr>
        <w:instrText>ADDIN CSL_CITATION { "citationItems" : [ { "id" : "ITEM-1", "itemData" : { "author" : [ { "dropping-particle" : "", "family" : "Kruse", "given" : "J.A.", "non-dropping-particle" : "", "parse-names" : false, "suffix" : "" } ], "container-title" : "Critical care clinics", "id" : "ITEM-1", "issue" : "28", "issued" : { "date-parts" : [ [ "0" ] ] }, "page" : "661-711", "title" : "Methanol and ethylene glycol intoxication", "type" : "article-journal", "volume" : "4" }, "uris" : [ "http://www.mendeley.com/documents/?uuid=94201ed2-4002-47ce-8108-434db7d2ed6f" ] } ], "mendeley" : { "formattedCitation" : "(36)", "plainTextFormattedCitation" : "(36)", "previouslyFormattedCitation" : "(36)" }, "properties" : { "noteIndex" : 0 }, "schema" : "https://github.com/citation-style-language/schema/raw/master/csl-citation.json" }</w:instrText>
      </w:r>
      <w:r w:rsidRPr="007528E0">
        <w:rPr>
          <w:rFonts w:eastAsia="Calibri" w:cs="Arial"/>
          <w:sz w:val="22"/>
          <w:szCs w:val="22"/>
        </w:rPr>
        <w:fldChar w:fldCharType="separate"/>
      </w:r>
      <w:r w:rsidRPr="007528E0">
        <w:rPr>
          <w:rFonts w:eastAsia="Calibri" w:cs="Arial"/>
          <w:noProof/>
          <w:sz w:val="22"/>
          <w:szCs w:val="22"/>
        </w:rPr>
        <w:t>(36)</w:t>
      </w:r>
      <w:r w:rsidRPr="007528E0">
        <w:rPr>
          <w:rFonts w:eastAsia="Calibri" w:cs="Arial"/>
          <w:sz w:val="22"/>
          <w:szCs w:val="22"/>
        </w:rPr>
        <w:fldChar w:fldCharType="end"/>
      </w:r>
      <w:r w:rsidRPr="007528E0">
        <w:rPr>
          <w:rFonts w:eastAsia="Calibri" w:cs="Arial"/>
          <w:sz w:val="22"/>
          <w:szCs w:val="22"/>
        </w:rPr>
        <w:fldChar w:fldCharType="begin" w:fldLock="1"/>
      </w:r>
      <w:r w:rsidRPr="007528E0">
        <w:rPr>
          <w:rFonts w:eastAsia="Calibri" w:cs="Arial"/>
          <w:sz w:val="22"/>
          <w:szCs w:val="22"/>
        </w:rPr>
        <w:instrText>ADDIN CSL_CITATION { "citationItems" : [ { "id" : "ITEM-1", "itemData" : { "author" : [ { "dropping-particle" : "", "family" : "Shannon, M.W., S.W. Borron", "given" : "and M.J. Burns", "non-dropping-particle" : "", "parse-names" : false, "suffix" : "" } ], "container-title" : "Saunders Elsevier", "id" : "ITEM-1", "issue" : "1521", "issued" : { "date-parts" : [ [ "2007" ] ] }, "title" : "Haddad and Winchester's clinical management of poisoning and drug overdose, ed. t.", "type" : "article-journal", "volume" : "1" }, "uris" : [ "http://www.mendeley.com/documents/?uuid=b7fcb41b-436e-46b0-8781-cbe88cae55fd" ] } ], "mendeley" : { "formattedCitation" : "(27)", "plainTextFormattedCitation" : "(27)", "previouslyFormattedCitation" : "(27)" }, "properties" : { "noteIndex" : 0 }, "schema" : "https://github.com/citation-style-language/schema/raw/master/csl-citation.json" }</w:instrText>
      </w:r>
      <w:r w:rsidRPr="007528E0">
        <w:rPr>
          <w:rFonts w:eastAsia="Calibri" w:cs="Arial"/>
          <w:sz w:val="22"/>
          <w:szCs w:val="22"/>
        </w:rPr>
        <w:fldChar w:fldCharType="separate"/>
      </w:r>
      <w:r w:rsidRPr="007528E0">
        <w:rPr>
          <w:rFonts w:eastAsia="Calibri" w:cs="Arial"/>
          <w:noProof/>
          <w:sz w:val="22"/>
          <w:szCs w:val="22"/>
        </w:rPr>
        <w:t>(27)</w:t>
      </w:r>
      <w:r w:rsidRPr="007528E0">
        <w:rPr>
          <w:rFonts w:eastAsia="Calibri" w:cs="Arial"/>
          <w:sz w:val="22"/>
          <w:szCs w:val="22"/>
        </w:rPr>
        <w:fldChar w:fldCharType="end"/>
      </w:r>
      <w:r w:rsidRPr="007528E0">
        <w:rPr>
          <w:rFonts w:eastAsia="Calibri" w:cs="Arial"/>
          <w:sz w:val="22"/>
          <w:szCs w:val="22"/>
        </w:rPr>
        <w:t>.</w:t>
      </w:r>
    </w:p>
    <w:p w14:paraId="2814D77B" w14:textId="77777777" w:rsidR="0037398A" w:rsidRPr="007528E0" w:rsidRDefault="0037398A" w:rsidP="0037398A">
      <w:pPr>
        <w:spacing w:before="100" w:beforeAutospacing="1" w:after="100" w:afterAutospacing="1"/>
        <w:rPr>
          <w:rFonts w:eastAsia="Calibri" w:cs="Arial"/>
          <w:sz w:val="22"/>
          <w:szCs w:val="22"/>
        </w:rPr>
      </w:pPr>
      <w:r w:rsidRPr="007528E0">
        <w:rPr>
          <w:rFonts w:eastAsia="Calibri" w:cs="Arial"/>
          <w:sz w:val="22"/>
          <w:szCs w:val="22"/>
        </w:rPr>
        <w:t xml:space="preserve">Además de esto, al ser usado como combustible casero se facilita el acceso a esta sustancia por lo que se presentan intoxicaciones accidentales, también se ha visto su consumo en cuadros dipsomaniacos por abstinencia de alcohol etílico, pero el principal problema de intoxicaciones por metanol en nuestro medio está dado por la ingesta de bebidas alcohólicas artesanales y adulteradas, la dosis letal en humanos puede variar entre 60 y 250 mililitros, por lo tanto hay alto riesgo de que la persona consuma esta dosis con una sola copa de bebida artesanal o adulterada </w:t>
      </w:r>
      <w:r w:rsidRPr="007528E0">
        <w:rPr>
          <w:rFonts w:eastAsia="Calibri" w:cs="Arial"/>
          <w:sz w:val="22"/>
          <w:szCs w:val="22"/>
        </w:rPr>
        <w:fldChar w:fldCharType="begin" w:fldLock="1"/>
      </w:r>
      <w:r w:rsidRPr="007528E0">
        <w:rPr>
          <w:rFonts w:eastAsia="Calibri" w:cs="Arial"/>
          <w:sz w:val="22"/>
          <w:szCs w:val="22"/>
        </w:rPr>
        <w:instrText>ADDIN CSL_CITATION { "citationItems" : [ { "id" : "ITEM-1", "itemData" : { "author" : [ { "dropping-particle" : "", "family" : "Adriana Zamora Suarez", "given" : "MD", "non-dropping-particle" : "", "parse-names" : false, "suffix" : "" } ], "editor" : [ { "dropping-particle" : "", "family" : "Distribuna", "given" : "Editorial", "non-dropping-particle" : "", "parse-names" : false, "suffix" : "" } ], "id" : "ITEM-1", "issued" : { "date-parts" : [ [ "2014" ] ] }, "number-of-pages" : "3-5", "title" : "Intoxicaciones en la practica clinica", "type" : "book" }, "uris" : [ "http://www.mendeley.com/documents/?uuid=dab63e2e-2c1a-41eb-8bca-65988c1d6830" ] } ], "mendeley" : { "formattedCitation" : "(22)", "plainTextFormattedCitation" : "(22)", "previouslyFormattedCitation" : "(22)" }, "properties" : { "noteIndex" : 0 }, "schema" : "https://github.com/citation-style-language/schema/raw/master/csl-citation.json" }</w:instrText>
      </w:r>
      <w:r w:rsidRPr="007528E0">
        <w:rPr>
          <w:rFonts w:eastAsia="Calibri" w:cs="Arial"/>
          <w:sz w:val="22"/>
          <w:szCs w:val="22"/>
        </w:rPr>
        <w:fldChar w:fldCharType="separate"/>
      </w:r>
      <w:r w:rsidRPr="007528E0">
        <w:rPr>
          <w:rFonts w:eastAsia="Calibri" w:cs="Arial"/>
          <w:noProof/>
          <w:sz w:val="22"/>
          <w:szCs w:val="22"/>
        </w:rPr>
        <w:t>(22)</w:t>
      </w:r>
      <w:r w:rsidRPr="007528E0">
        <w:rPr>
          <w:rFonts w:eastAsia="Calibri" w:cs="Arial"/>
          <w:sz w:val="22"/>
          <w:szCs w:val="22"/>
        </w:rPr>
        <w:fldChar w:fldCharType="end"/>
      </w:r>
      <w:r w:rsidRPr="007528E0">
        <w:rPr>
          <w:rFonts w:eastAsia="Calibri" w:cs="Arial"/>
          <w:sz w:val="22"/>
          <w:szCs w:val="22"/>
        </w:rPr>
        <w:t xml:space="preserve">. Existen diferentes condiciones propias de nuestra población que pueden suponer una mayor probabilidad de riesgo de intoxicación por este tipo de sustancia, como las que se mencionan a continuación: </w:t>
      </w:r>
    </w:p>
    <w:p w14:paraId="429B5835" w14:textId="77777777" w:rsidR="0037398A" w:rsidRPr="007528E0" w:rsidRDefault="0037398A" w:rsidP="0037398A">
      <w:pPr>
        <w:spacing w:before="100" w:beforeAutospacing="1" w:after="100" w:afterAutospacing="1"/>
        <w:rPr>
          <w:rFonts w:eastAsia="Calibri" w:cs="Arial"/>
          <w:sz w:val="22"/>
          <w:szCs w:val="22"/>
        </w:rPr>
      </w:pPr>
      <w:r w:rsidRPr="007528E0">
        <w:rPr>
          <w:rFonts w:eastAsia="Calibri" w:cs="Arial"/>
          <w:sz w:val="22"/>
          <w:szCs w:val="22"/>
        </w:rPr>
        <w:t>Algunas poblaciones acostumbran  consumir bebidas alcohólicas, a veces en forma controlada y como compañía de sus alimentos básicos o bien en forma no controlada; en este caso es bueno recordar que algunas fechas o festividades clásicas hacen “imprescindible” no solo el consumo de licor, sino el abuso de las bebidas alcohólicas.</w:t>
      </w:r>
    </w:p>
    <w:p w14:paraId="5C93D0E1" w14:textId="77777777" w:rsidR="0037398A" w:rsidRPr="007528E0" w:rsidRDefault="0037398A" w:rsidP="0037398A">
      <w:pPr>
        <w:spacing w:before="100" w:beforeAutospacing="1" w:after="100" w:afterAutospacing="1"/>
        <w:rPr>
          <w:rFonts w:eastAsia="Calibri" w:cs="Arial"/>
          <w:sz w:val="22"/>
          <w:szCs w:val="22"/>
        </w:rPr>
      </w:pPr>
      <w:r w:rsidRPr="007528E0">
        <w:rPr>
          <w:rFonts w:eastAsia="Calibri" w:cs="Arial"/>
          <w:sz w:val="22"/>
          <w:szCs w:val="22"/>
        </w:rPr>
        <w:t>En la población colombiana, fechas como navidad y  año nuevo presentan aumento del  consumo de bebidas alcohólicas y hacen necesaria la previsión de la atención a intoxicados (tanto por bebidas alcohólicas convencionales o legales, como por bebidas alcohólicas adulteradas) y lesionados, bien en forma accidental (tránsito, caídas, etc.), como por causas delincuenciales. Por esta razón se intensifica su vigilancia para esta temporada y se debe prestar atención a la notificación de casos que puedan estar asociados al consumo de bebidas alcohólicas adulteradas.</w:t>
      </w:r>
    </w:p>
    <w:p w14:paraId="2DC12999" w14:textId="77777777" w:rsidR="0037398A" w:rsidRPr="007528E0" w:rsidRDefault="0037398A" w:rsidP="0037398A">
      <w:pPr>
        <w:pStyle w:val="Normal1"/>
        <w:spacing w:before="100" w:beforeAutospacing="1" w:after="100" w:afterAutospacing="1"/>
        <w:jc w:val="both"/>
        <w:rPr>
          <w:rFonts w:ascii="Arial" w:eastAsia="Calibri" w:hAnsi="Arial" w:cs="Arial"/>
          <w:color w:val="auto"/>
          <w:sz w:val="22"/>
          <w:szCs w:val="22"/>
        </w:rPr>
      </w:pPr>
      <w:r w:rsidRPr="007528E0">
        <w:rPr>
          <w:rFonts w:ascii="Arial" w:eastAsia="Calibri" w:hAnsi="Arial" w:cs="Arial"/>
          <w:color w:val="auto"/>
          <w:sz w:val="22"/>
          <w:szCs w:val="22"/>
        </w:rPr>
        <w:t xml:space="preserve">Por sus características las bebidas alcohólicas alteradas y fraudulentas, pueden tener cantidades variables de metanol usado en sustitución del etanol por su bajo costo y </w:t>
      </w:r>
      <w:r w:rsidRPr="007528E0">
        <w:rPr>
          <w:rFonts w:ascii="Arial" w:eastAsia="Calibri" w:hAnsi="Arial" w:cs="Arial"/>
          <w:color w:val="auto"/>
          <w:sz w:val="22"/>
          <w:szCs w:val="22"/>
        </w:rPr>
        <w:lastRenderedPageBreak/>
        <w:t>capacidad de producir efectos embriagantes, o como resultado de los procesos de destilación, generando riesgos a la salud de quien inadvertidamente las consume. Además se puede presentar exposición a cantidades elevadas de metanol en quienes lo consumen de forma directa o voluntaria, cuando es usado en algunas bebidas alcohólicas de tipo artesanal, cuando se mezcla con refrescos o bebidas gaseosas (</w:t>
      </w:r>
      <w:proofErr w:type="spellStart"/>
      <w:r w:rsidRPr="007528E0">
        <w:rPr>
          <w:rFonts w:ascii="Arial" w:eastAsia="Calibri" w:hAnsi="Arial" w:cs="Arial"/>
          <w:color w:val="auto"/>
          <w:sz w:val="22"/>
          <w:szCs w:val="22"/>
        </w:rPr>
        <w:t>chamber</w:t>
      </w:r>
      <w:proofErr w:type="spellEnd"/>
      <w:r w:rsidRPr="007528E0">
        <w:rPr>
          <w:rFonts w:ascii="Arial" w:eastAsia="Calibri" w:hAnsi="Arial" w:cs="Arial"/>
          <w:color w:val="auto"/>
          <w:sz w:val="22"/>
          <w:szCs w:val="22"/>
        </w:rPr>
        <w:t>) por su bajo costo, así como su consumo directo de forma crónica por alcohólicos que se ven obligados a consumir esta sustancia por falta de dinero.</w:t>
      </w:r>
    </w:p>
    <w:p w14:paraId="66658E99" w14:textId="77777777" w:rsidR="0037398A" w:rsidRPr="007528E0" w:rsidRDefault="0037398A" w:rsidP="0037398A">
      <w:pPr>
        <w:pStyle w:val="Normal1"/>
        <w:spacing w:before="100" w:beforeAutospacing="1" w:after="100" w:afterAutospacing="1"/>
        <w:jc w:val="both"/>
        <w:rPr>
          <w:rFonts w:ascii="Arial" w:eastAsia="Calibri" w:hAnsi="Arial" w:cs="Arial"/>
          <w:color w:val="auto"/>
          <w:sz w:val="22"/>
          <w:szCs w:val="22"/>
        </w:rPr>
      </w:pPr>
      <w:r w:rsidRPr="007528E0">
        <w:rPr>
          <w:rFonts w:ascii="Arial" w:eastAsia="Calibri" w:hAnsi="Arial" w:cs="Arial"/>
          <w:color w:val="auto"/>
          <w:sz w:val="22"/>
          <w:szCs w:val="22"/>
        </w:rPr>
        <w:t>En la población pediátrica las circunstancias de exposición al metanol son accidentales ya sea por consumo directo o por su aplicación directa sobre la piel como sustancia para reducir la fiebre en los niños.</w:t>
      </w:r>
    </w:p>
    <w:p w14:paraId="611C7060" w14:textId="77777777" w:rsidR="0037398A" w:rsidRPr="007528E0" w:rsidRDefault="0037398A" w:rsidP="0037398A">
      <w:pPr>
        <w:pStyle w:val="Normal1"/>
        <w:tabs>
          <w:tab w:val="left" w:pos="5245"/>
        </w:tabs>
        <w:spacing w:before="100" w:beforeAutospacing="1" w:after="100" w:afterAutospacing="1"/>
        <w:jc w:val="both"/>
        <w:rPr>
          <w:rFonts w:ascii="Arial" w:hAnsi="Arial" w:cs="Arial"/>
          <w:color w:val="auto"/>
          <w:sz w:val="22"/>
          <w:szCs w:val="22"/>
        </w:rPr>
      </w:pPr>
      <w:r w:rsidRPr="007528E0">
        <w:rPr>
          <w:rFonts w:ascii="Arial" w:eastAsia="Calibri" w:hAnsi="Arial" w:cs="Arial"/>
          <w:color w:val="auto"/>
          <w:sz w:val="22"/>
          <w:szCs w:val="22"/>
        </w:rPr>
        <w:t>La exposición ocupacional se origina por su amplio uso en la industria, incrementando el riesgo de inhalación de sus vapores o la absorción dérmica.</w:t>
      </w:r>
    </w:p>
    <w:p w14:paraId="1B100930" w14:textId="77777777" w:rsidR="0037398A" w:rsidRPr="007528E0" w:rsidRDefault="0037398A" w:rsidP="0037398A">
      <w:pPr>
        <w:pStyle w:val="Normal1"/>
        <w:spacing w:before="100" w:beforeAutospacing="1" w:after="100" w:afterAutospacing="1"/>
        <w:jc w:val="both"/>
        <w:rPr>
          <w:rFonts w:ascii="Arial" w:eastAsia="Calibri" w:hAnsi="Arial" w:cs="Arial"/>
          <w:b/>
          <w:color w:val="auto"/>
          <w:sz w:val="22"/>
          <w:szCs w:val="22"/>
        </w:rPr>
      </w:pPr>
      <w:r w:rsidRPr="007528E0">
        <w:rPr>
          <w:rFonts w:ascii="Arial" w:eastAsia="Calibri" w:hAnsi="Arial" w:cs="Arial"/>
          <w:b/>
          <w:color w:val="auto"/>
          <w:sz w:val="22"/>
          <w:szCs w:val="22"/>
        </w:rPr>
        <w:t>Toxicocinética</w:t>
      </w:r>
    </w:p>
    <w:p w14:paraId="513D4902" w14:textId="77777777" w:rsidR="0037398A" w:rsidRPr="007528E0" w:rsidRDefault="0037398A" w:rsidP="0037398A">
      <w:pPr>
        <w:pStyle w:val="Normal1"/>
        <w:spacing w:before="100" w:beforeAutospacing="1" w:after="100" w:afterAutospacing="1"/>
        <w:jc w:val="both"/>
        <w:rPr>
          <w:rFonts w:ascii="Arial" w:eastAsia="Calibri" w:hAnsi="Arial" w:cs="Arial"/>
          <w:color w:val="auto"/>
          <w:sz w:val="22"/>
          <w:szCs w:val="22"/>
        </w:rPr>
      </w:pPr>
      <w:r w:rsidRPr="007528E0">
        <w:rPr>
          <w:rFonts w:ascii="Arial" w:eastAsia="Calibri" w:hAnsi="Arial" w:cs="Arial"/>
          <w:color w:val="auto"/>
          <w:sz w:val="22"/>
          <w:szCs w:val="22"/>
        </w:rPr>
        <w:t xml:space="preserve">El alcohol metílico es rápidamente absorbido en el tracto gastrointestinal y también por la piel y por la vía respiratoria. Posteriormente a ser absorbido se distribuye rápidamente por los tejidos. Se puede encontrar niveles de metanol en sangre 30 a 90 minutos después de ser ingerido y su vida media se ha calculado en promedio de 2 a 24 horas, pero en presencia de etanol puede prolongarse hasta 30 o 52 horas. El metanol es eliminado en un 3 a 10% </w:t>
      </w:r>
      <w:proofErr w:type="spellStart"/>
      <w:r w:rsidRPr="007528E0">
        <w:rPr>
          <w:rFonts w:ascii="Arial" w:eastAsia="Calibri" w:hAnsi="Arial" w:cs="Arial"/>
          <w:color w:val="auto"/>
          <w:sz w:val="22"/>
          <w:szCs w:val="22"/>
        </w:rPr>
        <w:t>inmodificado</w:t>
      </w:r>
      <w:proofErr w:type="spellEnd"/>
      <w:r w:rsidRPr="007528E0">
        <w:rPr>
          <w:rFonts w:ascii="Arial" w:eastAsia="Calibri" w:hAnsi="Arial" w:cs="Arial"/>
          <w:color w:val="auto"/>
          <w:sz w:val="22"/>
          <w:szCs w:val="22"/>
        </w:rPr>
        <w:t xml:space="preserve"> por orina y en menor proporción por el aire espirado.</w:t>
      </w:r>
    </w:p>
    <w:p w14:paraId="3726B203" w14:textId="77777777" w:rsidR="0037398A" w:rsidRPr="007528E0" w:rsidRDefault="0037398A" w:rsidP="0037398A">
      <w:pPr>
        <w:pStyle w:val="Normal1"/>
        <w:spacing w:before="100" w:beforeAutospacing="1" w:after="100" w:afterAutospacing="1"/>
        <w:jc w:val="both"/>
        <w:rPr>
          <w:rFonts w:ascii="Arial" w:eastAsia="Calibri" w:hAnsi="Arial" w:cs="Arial"/>
          <w:color w:val="auto"/>
          <w:sz w:val="22"/>
          <w:szCs w:val="22"/>
        </w:rPr>
      </w:pPr>
      <w:r w:rsidRPr="007528E0">
        <w:rPr>
          <w:rFonts w:ascii="Arial" w:eastAsia="Calibri" w:hAnsi="Arial" w:cs="Arial"/>
          <w:color w:val="auto"/>
          <w:sz w:val="22"/>
          <w:szCs w:val="22"/>
        </w:rPr>
        <w:t xml:space="preserve">La mayor parte del metanol que ingresa al organismo es metabolizado en el hígado en un 90 a 95%, es oxidado por la enzima alcohol deshidrogenasa para ser transformado en formaldehido, el cual es rápidamente convertido en acido fórmico por la enzima alcohol deshidrogenasa. Este último metabolito se transformara en anhídrido carbónico y agua mediante una oxidación dependiente del folato. El formaldehido y el ácido fórmico son los metabolitos causantes del cuadro clínico de la intoxicación.  </w:t>
      </w:r>
    </w:p>
    <w:p w14:paraId="6287E039" w14:textId="77777777" w:rsidR="0037398A" w:rsidRPr="007528E0" w:rsidRDefault="0037398A" w:rsidP="0037398A">
      <w:pPr>
        <w:pStyle w:val="Normal1"/>
        <w:spacing w:before="100" w:beforeAutospacing="1" w:after="100" w:afterAutospacing="1"/>
        <w:jc w:val="both"/>
        <w:rPr>
          <w:rFonts w:ascii="Arial" w:eastAsia="Calibri" w:hAnsi="Arial" w:cs="Arial"/>
          <w:color w:val="auto"/>
          <w:sz w:val="22"/>
          <w:szCs w:val="22"/>
        </w:rPr>
      </w:pPr>
      <w:r w:rsidRPr="007528E0">
        <w:rPr>
          <w:rFonts w:ascii="Arial" w:eastAsia="Calibri" w:hAnsi="Arial" w:cs="Arial"/>
          <w:color w:val="auto"/>
          <w:sz w:val="22"/>
          <w:szCs w:val="22"/>
        </w:rPr>
        <w:t xml:space="preserve">Las manifestaciones aparecen dentro de la primera hora de la ingesta o entre pocos minutos hasta 72 horas cuando se consumió el producto de forma concomitante con etanol. Dependiendo de la dosis puede presentar síntomas de embriaguez. Aunque dependiendo de la dosis a la cual se expone el individuo, la ausencia inicial de clínica no excluye el posterior desarrollo de toxicidad importante. </w:t>
      </w:r>
    </w:p>
    <w:p w14:paraId="11B1E152" w14:textId="77777777" w:rsidR="0037398A" w:rsidRPr="007528E0" w:rsidRDefault="0037398A" w:rsidP="0037398A">
      <w:pPr>
        <w:pStyle w:val="Normal1"/>
        <w:spacing w:before="100" w:beforeAutospacing="1" w:after="100" w:afterAutospacing="1"/>
        <w:jc w:val="both"/>
        <w:rPr>
          <w:rFonts w:ascii="Arial" w:eastAsia="Calibri" w:hAnsi="Arial" w:cs="Arial"/>
          <w:color w:val="auto"/>
          <w:sz w:val="22"/>
          <w:szCs w:val="22"/>
        </w:rPr>
      </w:pPr>
      <w:r w:rsidRPr="007528E0">
        <w:rPr>
          <w:rFonts w:ascii="Arial" w:eastAsia="Calibri" w:hAnsi="Arial" w:cs="Arial"/>
          <w:color w:val="auto"/>
          <w:sz w:val="22"/>
          <w:szCs w:val="22"/>
        </w:rPr>
        <w:t xml:space="preserve">La intoxicación aguda cursa con anorexia, cefalea, malestar general, náuseas e hiperventilación. A medida que progresa la acidosis metabólica aparecen vómito, dolor abdominal, ataxia y alteraciones visuales como fotofobia y visión borrosa progresiva; los síntomas oculares se pueden presentar en ausencia de todo lo anterior y usualmente preceden signos objetivos tales como pupilas dilatadas (parcialmente reactivas o que no responden a la luz) y papiledema. Sin tratamiento la intoxicación progresa a daño </w:t>
      </w:r>
      <w:r w:rsidRPr="007528E0">
        <w:rPr>
          <w:rFonts w:ascii="Arial" w:eastAsia="Calibri" w:hAnsi="Arial" w:cs="Arial"/>
          <w:color w:val="auto"/>
          <w:sz w:val="22"/>
          <w:szCs w:val="22"/>
        </w:rPr>
        <w:lastRenderedPageBreak/>
        <w:t>neurológico con deterioro del Glasgow, convulsiones coma, colapso hemodinámico, acidosis metabólica (pH &lt; 7), falla renal, alteraciones de la coagulación, edema cerebral progresivo y muerte</w:t>
      </w:r>
      <w:r w:rsidRPr="007528E0">
        <w:rPr>
          <w:rFonts w:ascii="Arial" w:eastAsia="Calibri" w:hAnsi="Arial" w:cs="Arial"/>
          <w:color w:val="auto"/>
          <w:sz w:val="22"/>
          <w:szCs w:val="22"/>
        </w:rPr>
        <w:fldChar w:fldCharType="begin"/>
      </w:r>
      <w:r w:rsidRPr="007528E0">
        <w:rPr>
          <w:rFonts w:ascii="Arial" w:eastAsia="Calibri" w:hAnsi="Arial" w:cs="Arial"/>
          <w:color w:val="auto"/>
          <w:sz w:val="22"/>
          <w:szCs w:val="22"/>
        </w:rPr>
        <w:instrText xml:space="preserve"> ADDIN EN.CITE &lt;EndNote&gt;&lt;Cite&gt;&lt;Author&gt;Shannon&lt;/Author&gt;&lt;Year&gt;2007&lt;/Year&gt;&lt;RecNum&gt;2491&lt;/RecNum&gt;&lt;DisplayText&gt;(24)&lt;/DisplayText&gt;&lt;record&gt;&lt;rec-number&gt;2491&lt;/rec-number&gt;&lt;foreign-keys&gt;&lt;key app="EN" db-id="009rpx2x4zssace5atw5zppkzpwrsdtvxpdr"&gt;2491&lt;/key&gt;&lt;/foreign-keys&gt;&lt;ref-type name="Electronic Book"&gt;44&lt;/ref-type&gt;&lt;contributors&gt;&lt;authors&gt;&lt;author&gt;Shannon, M. &lt;/author&gt;&lt;author&gt;Borron, S.W. &lt;/author&gt;&lt;author&gt;Burns, M.&lt;/author&gt;&lt;/authors&gt;&lt;/contributors&gt;&lt;titles&gt;&lt;title&gt;Haddad and Winchester’s clinical management of poisoning and drug overdose&lt;/title&gt;&lt;/titles&gt;&lt;edition&gt;4th&lt;/edition&gt;&lt;dates&gt;&lt;year&gt;2007&lt;/year&gt;&lt;/dates&gt;&lt;pub-location&gt;China&lt;/pub-location&gt;&lt;publisher&gt;Saunders Elsevier&lt;/publisher&gt;&lt;isbn&gt;978-0-7218-0693-4&lt;/isbn&gt;&lt;urls&gt;&lt;/urls&gt;&lt;/record&gt;&lt;/Cite&gt;&lt;/EndNote&gt;</w:instrText>
      </w:r>
      <w:r w:rsidRPr="007528E0">
        <w:rPr>
          <w:rFonts w:ascii="Arial" w:eastAsia="Calibri" w:hAnsi="Arial" w:cs="Arial"/>
          <w:color w:val="auto"/>
          <w:sz w:val="22"/>
          <w:szCs w:val="22"/>
        </w:rPr>
        <w:fldChar w:fldCharType="separate"/>
      </w:r>
      <w:r w:rsidRPr="007528E0">
        <w:rPr>
          <w:rFonts w:ascii="Arial" w:eastAsia="Calibri" w:hAnsi="Arial" w:cs="Arial"/>
          <w:color w:val="auto"/>
          <w:sz w:val="22"/>
          <w:szCs w:val="22"/>
        </w:rPr>
        <w:t>[61]</w:t>
      </w:r>
      <w:r w:rsidRPr="007528E0">
        <w:rPr>
          <w:rFonts w:ascii="Arial" w:eastAsia="Calibri" w:hAnsi="Arial" w:cs="Arial"/>
          <w:color w:val="auto"/>
          <w:sz w:val="22"/>
          <w:szCs w:val="22"/>
        </w:rPr>
        <w:fldChar w:fldCharType="end"/>
      </w:r>
      <w:r w:rsidRPr="007528E0">
        <w:rPr>
          <w:rFonts w:ascii="Arial" w:eastAsia="Calibri" w:hAnsi="Arial" w:cs="Arial"/>
          <w:color w:val="auto"/>
          <w:sz w:val="22"/>
          <w:szCs w:val="22"/>
        </w:rPr>
        <w:t>.</w:t>
      </w:r>
    </w:p>
    <w:p w14:paraId="701DCEDE" w14:textId="77777777" w:rsidR="0037398A" w:rsidRPr="007528E0" w:rsidRDefault="0037398A" w:rsidP="0037398A">
      <w:pPr>
        <w:pStyle w:val="Normal1"/>
        <w:spacing w:before="100" w:beforeAutospacing="1" w:after="100" w:afterAutospacing="1"/>
        <w:jc w:val="both"/>
        <w:rPr>
          <w:rFonts w:ascii="Arial" w:eastAsia="Calibri" w:hAnsi="Arial" w:cs="Arial"/>
          <w:color w:val="auto"/>
          <w:sz w:val="22"/>
          <w:szCs w:val="22"/>
        </w:rPr>
      </w:pPr>
      <w:r w:rsidRPr="007528E0">
        <w:rPr>
          <w:rFonts w:ascii="Arial" w:eastAsia="Calibri" w:hAnsi="Arial" w:cs="Arial"/>
          <w:color w:val="auto"/>
          <w:sz w:val="22"/>
          <w:szCs w:val="22"/>
        </w:rPr>
        <w:t>La degradación del metanol y sus metabolitos tóxicos también tienen lugar en la retina, en donde al parecer la energía lumínica y el oxígeno desempeñan un papel fundamental en la aceleración de una isoenzima de la alcohol-deshidrogenasa que convierte el retinol en retinal; pero en este caso estimula la conversión de metanol a formaldehido y luego a ácido fórmico que es el metabolito que finalmente producirá el daño a nivel de la retina y el nervio óptico. El ácido fórmico disminuye la formación de ATP generando compresión axonal, edema del disco óptico y neuropatía toxica.</w:t>
      </w:r>
    </w:p>
    <w:p w14:paraId="429610CF" w14:textId="77777777" w:rsidR="0037398A" w:rsidRPr="007528E0" w:rsidRDefault="0037398A" w:rsidP="0037398A">
      <w:pPr>
        <w:pStyle w:val="Normal1"/>
        <w:spacing w:before="100" w:beforeAutospacing="1" w:after="100" w:afterAutospacing="1"/>
        <w:jc w:val="both"/>
        <w:rPr>
          <w:rFonts w:ascii="Arial" w:hAnsi="Arial" w:cs="Arial"/>
          <w:color w:val="auto"/>
          <w:sz w:val="22"/>
          <w:szCs w:val="22"/>
        </w:rPr>
      </w:pPr>
      <w:r w:rsidRPr="007528E0">
        <w:rPr>
          <w:rFonts w:ascii="Arial" w:eastAsia="Calibri" w:hAnsi="Arial" w:cs="Arial"/>
          <w:color w:val="auto"/>
          <w:sz w:val="22"/>
          <w:szCs w:val="22"/>
        </w:rPr>
        <w:t xml:space="preserve">Se ha planteado clásicamente el vendar lo ojos del paciente para evitar este paso, pero se ha demostrado que el efecto terapéutico es muy pobre ya que la acción se disminuye pero no se detiene, por lo tanto el vendaje ocular no basta, es necesario interrumpir el metabolismo del metanol </w:t>
      </w:r>
      <w:r w:rsidRPr="007528E0">
        <w:rPr>
          <w:rFonts w:ascii="Arial" w:eastAsia="Calibri" w:hAnsi="Arial" w:cs="Arial"/>
          <w:color w:val="auto"/>
          <w:sz w:val="22"/>
          <w:szCs w:val="22"/>
        </w:rPr>
        <w:fldChar w:fldCharType="begin" w:fldLock="1"/>
      </w:r>
      <w:r w:rsidRPr="007528E0">
        <w:rPr>
          <w:rFonts w:ascii="Arial" w:eastAsia="Calibri" w:hAnsi="Arial" w:cs="Arial"/>
          <w:color w:val="auto"/>
          <w:sz w:val="22"/>
          <w:szCs w:val="22"/>
        </w:rPr>
        <w:instrText>ADDIN CSL_CITATION { "citationItems" : [ { "id" : "ITEM-1", "itemData" : { "author" : [ { "dropping-particle" : "", "family" : "Adriana Zamora Suarez", "given" : "MD", "non-dropping-particle" : "", "parse-names" : false, "suffix" : "" } ], "editor" : [ { "dropping-particle" : "", "family" : "Distribuna", "given" : "Editorial", "non-dropping-particle" : "", "parse-names" : false, "suffix" : "" } ], "id" : "ITEM-1", "issued" : { "date-parts" : [ [ "2014" ] ] }, "number-of-pages" : "3-5", "title" : "Intoxicaciones en la practica clinica", "type" : "book" }, "uris" : [ "http://www.mendeley.com/documents/?uuid=dab63e2e-2c1a-41eb-8bca-65988c1d6830" ] } ], "mendeley" : { "formattedCitation" : "(22)", "plainTextFormattedCitation" : "(22)", "previouslyFormattedCitation" : "(22)" }, "properties" : { "noteIndex" : 0 }, "schema" : "https://github.com/citation-style-language/schema/raw/master/csl-citation.json" }</w:instrText>
      </w:r>
      <w:r w:rsidRPr="007528E0">
        <w:rPr>
          <w:rFonts w:ascii="Arial" w:eastAsia="Calibri" w:hAnsi="Arial" w:cs="Arial"/>
          <w:color w:val="auto"/>
          <w:sz w:val="22"/>
          <w:szCs w:val="22"/>
        </w:rPr>
        <w:fldChar w:fldCharType="separate"/>
      </w:r>
      <w:r w:rsidRPr="007528E0">
        <w:rPr>
          <w:rFonts w:ascii="Arial" w:eastAsia="Calibri" w:hAnsi="Arial" w:cs="Arial"/>
          <w:noProof/>
          <w:color w:val="auto"/>
          <w:sz w:val="22"/>
          <w:szCs w:val="22"/>
        </w:rPr>
        <w:t>(22)</w:t>
      </w:r>
      <w:r w:rsidRPr="007528E0">
        <w:rPr>
          <w:rFonts w:ascii="Arial" w:eastAsia="Calibri" w:hAnsi="Arial" w:cs="Arial"/>
          <w:color w:val="auto"/>
          <w:sz w:val="22"/>
          <w:szCs w:val="22"/>
        </w:rPr>
        <w:fldChar w:fldCharType="end"/>
      </w:r>
      <w:r w:rsidRPr="007528E0">
        <w:rPr>
          <w:rFonts w:ascii="Arial" w:eastAsia="Calibri" w:hAnsi="Arial" w:cs="Arial"/>
          <w:color w:val="auto"/>
          <w:sz w:val="22"/>
          <w:szCs w:val="22"/>
        </w:rPr>
        <w:t xml:space="preserve">. </w:t>
      </w:r>
    </w:p>
    <w:p w14:paraId="120FC046" w14:textId="77777777" w:rsidR="0037398A" w:rsidRPr="007528E0" w:rsidRDefault="0037398A" w:rsidP="0037398A">
      <w:pPr>
        <w:pStyle w:val="Normal1"/>
        <w:spacing w:before="100" w:beforeAutospacing="1" w:after="100" w:afterAutospacing="1"/>
        <w:jc w:val="both"/>
        <w:rPr>
          <w:rFonts w:ascii="Arial" w:hAnsi="Arial" w:cs="Arial"/>
          <w:color w:val="auto"/>
          <w:sz w:val="22"/>
          <w:szCs w:val="22"/>
        </w:rPr>
      </w:pPr>
      <w:r w:rsidRPr="007528E0">
        <w:rPr>
          <w:rFonts w:ascii="Arial" w:eastAsia="Calibri" w:hAnsi="Arial" w:cs="Arial"/>
          <w:color w:val="auto"/>
          <w:sz w:val="22"/>
          <w:szCs w:val="22"/>
        </w:rPr>
        <w:t>La confirmación se hace mediante la determinación de la concentración sérica de metanol y/o sus metabolitos (formaldehido o ácido fórmico). Niveles séricos superiores a 20 mg/</w:t>
      </w:r>
      <w:proofErr w:type="spellStart"/>
      <w:r w:rsidRPr="007528E0">
        <w:rPr>
          <w:rFonts w:ascii="Arial" w:eastAsia="Calibri" w:hAnsi="Arial" w:cs="Arial"/>
          <w:color w:val="auto"/>
          <w:sz w:val="22"/>
          <w:szCs w:val="22"/>
        </w:rPr>
        <w:t>dLson</w:t>
      </w:r>
      <w:proofErr w:type="spellEnd"/>
      <w:r w:rsidRPr="007528E0">
        <w:rPr>
          <w:rFonts w:ascii="Arial" w:eastAsia="Calibri" w:hAnsi="Arial" w:cs="Arial"/>
          <w:color w:val="auto"/>
          <w:sz w:val="22"/>
          <w:szCs w:val="22"/>
        </w:rPr>
        <w:t xml:space="preserve"> considerados tóxicos y por encima de 40 mg/</w:t>
      </w:r>
      <w:proofErr w:type="spellStart"/>
      <w:r w:rsidRPr="007528E0">
        <w:rPr>
          <w:rFonts w:ascii="Arial" w:eastAsia="Calibri" w:hAnsi="Arial" w:cs="Arial"/>
          <w:color w:val="auto"/>
          <w:sz w:val="22"/>
          <w:szCs w:val="22"/>
        </w:rPr>
        <w:t>dL</w:t>
      </w:r>
      <w:proofErr w:type="spellEnd"/>
      <w:r w:rsidRPr="007528E0">
        <w:rPr>
          <w:rFonts w:ascii="Arial" w:eastAsia="Calibri" w:hAnsi="Arial" w:cs="Arial"/>
          <w:color w:val="auto"/>
          <w:sz w:val="22"/>
          <w:szCs w:val="22"/>
        </w:rPr>
        <w:t xml:space="preserve"> son letales (ver tabla 5, condiciones para la toma de la muestra). Es importante considerar que niveles de metanol bajos o indetectables no descartan la intoxicación en un paciente sintomático, debido a que todo el metanol podría haberse metabolizado a formato. Así mismo, un caso puede ser confirmado por laboratorio mediante la determinación analítica de metanol en la bebida alcohólica implicada. El inicio del tratamiento con el antídoto específico no se debe retrasar por la espera del resultado de laboratorio.</w:t>
      </w:r>
    </w:p>
    <w:p w14:paraId="01500690" w14:textId="77777777" w:rsidR="0037398A" w:rsidRPr="007528E0" w:rsidRDefault="0037398A" w:rsidP="0037398A">
      <w:pPr>
        <w:pStyle w:val="Descripcin"/>
        <w:keepNext/>
        <w:spacing w:before="100" w:beforeAutospacing="1" w:after="100" w:afterAutospacing="1"/>
        <w:jc w:val="center"/>
        <w:rPr>
          <w:rFonts w:cs="Arial"/>
          <w:color w:val="auto"/>
          <w:sz w:val="22"/>
          <w:szCs w:val="22"/>
        </w:rPr>
      </w:pPr>
      <w:bookmarkStart w:id="17" w:name="_Toc505456251"/>
      <w:r w:rsidRPr="007528E0">
        <w:rPr>
          <w:rFonts w:cs="Arial"/>
          <w:b/>
          <w:color w:val="auto"/>
          <w:sz w:val="22"/>
          <w:szCs w:val="22"/>
        </w:rPr>
        <w:t xml:space="preserve">Tabla </w:t>
      </w:r>
      <w:r w:rsidRPr="007528E0">
        <w:rPr>
          <w:rFonts w:cs="Arial"/>
          <w:b/>
          <w:color w:val="auto"/>
          <w:sz w:val="22"/>
          <w:szCs w:val="22"/>
        </w:rPr>
        <w:fldChar w:fldCharType="begin"/>
      </w:r>
      <w:r w:rsidRPr="007528E0">
        <w:rPr>
          <w:rFonts w:cs="Arial"/>
          <w:b/>
          <w:color w:val="auto"/>
          <w:sz w:val="22"/>
          <w:szCs w:val="22"/>
        </w:rPr>
        <w:instrText xml:space="preserve"> SEQ Tabla \* ARABIC </w:instrText>
      </w:r>
      <w:r w:rsidRPr="007528E0">
        <w:rPr>
          <w:rFonts w:cs="Arial"/>
          <w:b/>
          <w:color w:val="auto"/>
          <w:sz w:val="22"/>
          <w:szCs w:val="22"/>
        </w:rPr>
        <w:fldChar w:fldCharType="separate"/>
      </w:r>
      <w:r w:rsidRPr="007528E0">
        <w:rPr>
          <w:rFonts w:cs="Arial"/>
          <w:b/>
          <w:noProof/>
          <w:color w:val="auto"/>
          <w:sz w:val="22"/>
          <w:szCs w:val="22"/>
        </w:rPr>
        <w:t>5</w:t>
      </w:r>
      <w:r w:rsidRPr="007528E0">
        <w:rPr>
          <w:rFonts w:cs="Arial"/>
          <w:b/>
          <w:color w:val="auto"/>
          <w:sz w:val="22"/>
          <w:szCs w:val="22"/>
        </w:rPr>
        <w:fldChar w:fldCharType="end"/>
      </w:r>
      <w:r w:rsidRPr="007528E0">
        <w:rPr>
          <w:rFonts w:cs="Arial"/>
          <w:b/>
          <w:color w:val="auto"/>
          <w:sz w:val="22"/>
          <w:szCs w:val="22"/>
        </w:rPr>
        <w:t>.</w:t>
      </w:r>
      <w:r w:rsidRPr="007528E0">
        <w:rPr>
          <w:rFonts w:cs="Arial"/>
          <w:color w:val="auto"/>
          <w:sz w:val="22"/>
          <w:szCs w:val="22"/>
        </w:rPr>
        <w:t xml:space="preserve"> Condiciones para la recolección de la muestra de sangre para determinar metanol.</w:t>
      </w:r>
      <w:bookmarkEnd w:id="17"/>
    </w:p>
    <w:tbl>
      <w:tblPr>
        <w:tblStyle w:val="Tablaconcuadrcula"/>
        <w:tblW w:w="0" w:type="auto"/>
        <w:tblLook w:val="04A0" w:firstRow="1" w:lastRow="0" w:firstColumn="1" w:lastColumn="0" w:noHBand="0" w:noVBand="1"/>
      </w:tblPr>
      <w:tblGrid>
        <w:gridCol w:w="1060"/>
        <w:gridCol w:w="1683"/>
        <w:gridCol w:w="1836"/>
        <w:gridCol w:w="1977"/>
        <w:gridCol w:w="2498"/>
      </w:tblGrid>
      <w:tr w:rsidR="007528E0" w:rsidRPr="007528E0" w14:paraId="3740FA82" w14:textId="77777777" w:rsidTr="007528E0">
        <w:tc>
          <w:tcPr>
            <w:tcW w:w="1060" w:type="dxa"/>
          </w:tcPr>
          <w:p w14:paraId="76188093" w14:textId="77777777" w:rsidR="0037398A" w:rsidRPr="007528E0" w:rsidRDefault="0037398A" w:rsidP="007528E0">
            <w:pPr>
              <w:spacing w:before="100" w:beforeAutospacing="1" w:after="100" w:afterAutospacing="1"/>
              <w:jc w:val="center"/>
              <w:rPr>
                <w:rFonts w:eastAsia="Calibri" w:cs="Arial"/>
                <w:b/>
                <w:sz w:val="20"/>
                <w:szCs w:val="20"/>
                <w:lang w:val="es-CO"/>
              </w:rPr>
            </w:pPr>
            <w:r w:rsidRPr="007528E0">
              <w:rPr>
                <w:rFonts w:eastAsia="Calibri" w:cs="Arial"/>
                <w:b/>
                <w:sz w:val="20"/>
                <w:szCs w:val="20"/>
                <w:lang w:val="es-CO"/>
              </w:rPr>
              <w:t>Muestra</w:t>
            </w:r>
          </w:p>
        </w:tc>
        <w:tc>
          <w:tcPr>
            <w:tcW w:w="1683" w:type="dxa"/>
          </w:tcPr>
          <w:p w14:paraId="2509856F" w14:textId="77777777" w:rsidR="0037398A" w:rsidRPr="007528E0" w:rsidRDefault="0037398A" w:rsidP="007528E0">
            <w:pPr>
              <w:spacing w:before="100" w:beforeAutospacing="1" w:after="100" w:afterAutospacing="1"/>
              <w:jc w:val="center"/>
              <w:rPr>
                <w:rFonts w:eastAsia="Calibri" w:cs="Arial"/>
                <w:b/>
                <w:sz w:val="20"/>
                <w:szCs w:val="20"/>
                <w:lang w:val="es-CO"/>
              </w:rPr>
            </w:pPr>
            <w:r w:rsidRPr="007528E0">
              <w:rPr>
                <w:rFonts w:eastAsia="Calibri" w:cs="Arial"/>
                <w:b/>
                <w:sz w:val="20"/>
                <w:szCs w:val="20"/>
                <w:lang w:val="es-CO"/>
              </w:rPr>
              <w:t>Envase y preservante</w:t>
            </w:r>
          </w:p>
        </w:tc>
        <w:tc>
          <w:tcPr>
            <w:tcW w:w="1836" w:type="dxa"/>
          </w:tcPr>
          <w:p w14:paraId="7950C644" w14:textId="77777777" w:rsidR="0037398A" w:rsidRPr="007528E0" w:rsidRDefault="0037398A" w:rsidP="007528E0">
            <w:pPr>
              <w:spacing w:before="100" w:beforeAutospacing="1" w:after="100" w:afterAutospacing="1"/>
              <w:jc w:val="center"/>
              <w:rPr>
                <w:rFonts w:eastAsia="Calibri" w:cs="Arial"/>
                <w:b/>
                <w:sz w:val="20"/>
                <w:szCs w:val="20"/>
                <w:lang w:val="es-CO"/>
              </w:rPr>
            </w:pPr>
            <w:r w:rsidRPr="007528E0">
              <w:rPr>
                <w:rFonts w:eastAsia="Calibri" w:cs="Arial"/>
                <w:b/>
                <w:sz w:val="20"/>
                <w:szCs w:val="20"/>
                <w:lang w:val="es-CO"/>
              </w:rPr>
              <w:t>Condiciones para la toma</w:t>
            </w:r>
          </w:p>
        </w:tc>
        <w:tc>
          <w:tcPr>
            <w:tcW w:w="1977" w:type="dxa"/>
          </w:tcPr>
          <w:p w14:paraId="2AD321D4" w14:textId="77777777" w:rsidR="0037398A" w:rsidRPr="007528E0" w:rsidRDefault="0037398A" w:rsidP="007528E0">
            <w:pPr>
              <w:spacing w:before="100" w:beforeAutospacing="1" w:after="100" w:afterAutospacing="1"/>
              <w:jc w:val="center"/>
              <w:rPr>
                <w:rFonts w:eastAsia="Calibri" w:cs="Arial"/>
                <w:b/>
                <w:sz w:val="20"/>
                <w:szCs w:val="20"/>
                <w:lang w:val="es-CO"/>
              </w:rPr>
            </w:pPr>
            <w:r w:rsidRPr="007528E0">
              <w:rPr>
                <w:rFonts w:eastAsia="Calibri" w:cs="Arial"/>
                <w:b/>
                <w:sz w:val="20"/>
                <w:szCs w:val="20"/>
                <w:lang w:val="es-CO"/>
              </w:rPr>
              <w:t>Almacenamiento</w:t>
            </w:r>
          </w:p>
        </w:tc>
        <w:tc>
          <w:tcPr>
            <w:tcW w:w="2498" w:type="dxa"/>
          </w:tcPr>
          <w:p w14:paraId="00C59710" w14:textId="77777777" w:rsidR="0037398A" w:rsidRPr="007528E0" w:rsidRDefault="0037398A" w:rsidP="007528E0">
            <w:pPr>
              <w:spacing w:before="100" w:beforeAutospacing="1" w:after="100" w:afterAutospacing="1"/>
              <w:jc w:val="center"/>
              <w:rPr>
                <w:rFonts w:eastAsia="Calibri" w:cs="Arial"/>
                <w:b/>
                <w:sz w:val="20"/>
                <w:szCs w:val="20"/>
                <w:lang w:val="es-CO"/>
              </w:rPr>
            </w:pPr>
            <w:r w:rsidRPr="007528E0">
              <w:rPr>
                <w:rFonts w:eastAsia="Calibri" w:cs="Arial"/>
                <w:b/>
                <w:sz w:val="20"/>
                <w:szCs w:val="20"/>
                <w:lang w:val="es-CO"/>
              </w:rPr>
              <w:t>Observaciones</w:t>
            </w:r>
          </w:p>
        </w:tc>
      </w:tr>
      <w:tr w:rsidR="007528E0" w:rsidRPr="007528E0" w14:paraId="07DA1ADC" w14:textId="77777777" w:rsidTr="007528E0">
        <w:tc>
          <w:tcPr>
            <w:tcW w:w="1060" w:type="dxa"/>
          </w:tcPr>
          <w:p w14:paraId="52D721D2" w14:textId="77777777" w:rsidR="0037398A" w:rsidRPr="007528E0" w:rsidRDefault="0037398A" w:rsidP="007528E0">
            <w:pPr>
              <w:spacing w:before="100" w:beforeAutospacing="1" w:after="100" w:afterAutospacing="1"/>
              <w:jc w:val="center"/>
              <w:rPr>
                <w:rFonts w:eastAsia="Calibri" w:cs="Arial"/>
                <w:sz w:val="20"/>
                <w:szCs w:val="20"/>
                <w:lang w:val="es-CO"/>
              </w:rPr>
            </w:pPr>
            <w:r w:rsidRPr="007528E0">
              <w:rPr>
                <w:rFonts w:eastAsia="Calibri" w:cs="Arial"/>
                <w:sz w:val="20"/>
                <w:szCs w:val="20"/>
                <w:lang w:val="es-CO"/>
              </w:rPr>
              <w:t>Sangre</w:t>
            </w:r>
          </w:p>
        </w:tc>
        <w:tc>
          <w:tcPr>
            <w:tcW w:w="1683" w:type="dxa"/>
          </w:tcPr>
          <w:p w14:paraId="22395D5E" w14:textId="77777777" w:rsidR="0037398A" w:rsidRPr="007528E0" w:rsidRDefault="0037398A" w:rsidP="007528E0">
            <w:pPr>
              <w:spacing w:before="100" w:beforeAutospacing="1" w:after="100" w:afterAutospacing="1"/>
              <w:rPr>
                <w:rFonts w:eastAsia="Calibri" w:cs="Arial"/>
                <w:sz w:val="20"/>
                <w:szCs w:val="20"/>
                <w:lang w:val="es-CO"/>
              </w:rPr>
            </w:pPr>
            <w:r w:rsidRPr="007528E0">
              <w:rPr>
                <w:rFonts w:eastAsia="Calibri" w:cs="Arial"/>
                <w:sz w:val="20"/>
                <w:szCs w:val="20"/>
                <w:lang w:val="es-CO"/>
              </w:rPr>
              <w:t>Tubo tapa roja, sin anticoagulante</w:t>
            </w:r>
          </w:p>
        </w:tc>
        <w:tc>
          <w:tcPr>
            <w:tcW w:w="1836" w:type="dxa"/>
          </w:tcPr>
          <w:p w14:paraId="0DBF9E17" w14:textId="77777777" w:rsidR="0037398A" w:rsidRPr="007528E0" w:rsidRDefault="0037398A" w:rsidP="007528E0">
            <w:pPr>
              <w:spacing w:before="100" w:beforeAutospacing="1" w:after="100" w:afterAutospacing="1"/>
              <w:rPr>
                <w:rFonts w:eastAsia="Calibri" w:cs="Arial"/>
                <w:sz w:val="20"/>
                <w:szCs w:val="20"/>
                <w:lang w:val="es-CO"/>
              </w:rPr>
            </w:pPr>
            <w:r w:rsidRPr="007528E0">
              <w:rPr>
                <w:rFonts w:eastAsia="Calibri" w:cs="Arial"/>
                <w:sz w:val="20"/>
                <w:szCs w:val="20"/>
                <w:lang w:val="es-CO"/>
              </w:rPr>
              <w:t>Limpiar la zona de venopunción con solución salina, no con alcohol antiséptico.</w:t>
            </w:r>
          </w:p>
        </w:tc>
        <w:tc>
          <w:tcPr>
            <w:tcW w:w="1977" w:type="dxa"/>
          </w:tcPr>
          <w:p w14:paraId="0B20A203" w14:textId="77777777" w:rsidR="0037398A" w:rsidRPr="007528E0" w:rsidRDefault="0037398A" w:rsidP="007528E0">
            <w:pPr>
              <w:spacing w:before="100" w:beforeAutospacing="1" w:after="100" w:afterAutospacing="1"/>
              <w:rPr>
                <w:rFonts w:eastAsia="Calibri" w:cs="Arial"/>
                <w:sz w:val="20"/>
                <w:szCs w:val="20"/>
                <w:lang w:val="es-CO"/>
              </w:rPr>
            </w:pPr>
            <w:r w:rsidRPr="007528E0">
              <w:rPr>
                <w:rFonts w:eastAsia="Calibri" w:cs="Arial"/>
                <w:sz w:val="20"/>
                <w:szCs w:val="20"/>
                <w:lang w:val="es-CO"/>
              </w:rPr>
              <w:t>Refrigerar y enviar al laboratorio de forma inmediata. De no ser posible el envío inmediato, conservar a 4°C máximo 2 días</w:t>
            </w:r>
          </w:p>
        </w:tc>
        <w:tc>
          <w:tcPr>
            <w:tcW w:w="2498" w:type="dxa"/>
          </w:tcPr>
          <w:p w14:paraId="7DF415C4" w14:textId="77777777" w:rsidR="0037398A" w:rsidRPr="007528E0" w:rsidRDefault="0037398A" w:rsidP="007528E0">
            <w:pPr>
              <w:spacing w:before="100" w:beforeAutospacing="1" w:after="100" w:afterAutospacing="1"/>
              <w:rPr>
                <w:rFonts w:eastAsia="Calibri" w:cs="Arial"/>
                <w:sz w:val="20"/>
                <w:szCs w:val="20"/>
                <w:lang w:val="es-CO"/>
              </w:rPr>
            </w:pPr>
            <w:r w:rsidRPr="007528E0">
              <w:rPr>
                <w:rFonts w:eastAsia="Calibri" w:cs="Arial"/>
                <w:sz w:val="20"/>
                <w:szCs w:val="20"/>
                <w:lang w:val="es-CO"/>
              </w:rPr>
              <w:t>Tome muestra y contramuestra, si la prueba colorimétrica es positiva remita la contramuestra al laboratorio de referencia para confirmación.</w:t>
            </w:r>
          </w:p>
          <w:p w14:paraId="17F407C0" w14:textId="77777777" w:rsidR="0037398A" w:rsidRPr="007528E0" w:rsidRDefault="0037398A" w:rsidP="007528E0">
            <w:pPr>
              <w:spacing w:before="100" w:beforeAutospacing="1" w:after="100" w:afterAutospacing="1"/>
              <w:rPr>
                <w:rFonts w:eastAsia="Calibri" w:cs="Arial"/>
                <w:sz w:val="20"/>
                <w:szCs w:val="20"/>
                <w:lang w:val="es-CO"/>
              </w:rPr>
            </w:pPr>
            <w:r w:rsidRPr="007528E0">
              <w:rPr>
                <w:rFonts w:eastAsia="Calibri" w:cs="Arial"/>
                <w:sz w:val="20"/>
                <w:szCs w:val="20"/>
                <w:lang w:val="es-CO"/>
              </w:rPr>
              <w:t xml:space="preserve">Los paciente que se encuentren en tratamiento con anticoagulantes pueden </w:t>
            </w:r>
            <w:r w:rsidRPr="007528E0">
              <w:rPr>
                <w:rFonts w:eastAsia="Calibri" w:cs="Arial"/>
                <w:sz w:val="20"/>
                <w:szCs w:val="20"/>
                <w:lang w:val="es-CO"/>
              </w:rPr>
              <w:lastRenderedPageBreak/>
              <w:t>dar falsos positivos para la prueba colorimétrica.</w:t>
            </w:r>
          </w:p>
        </w:tc>
      </w:tr>
    </w:tbl>
    <w:p w14:paraId="55450FAF" w14:textId="77777777" w:rsidR="0037398A" w:rsidRPr="007528E0" w:rsidRDefault="0037398A" w:rsidP="0037398A">
      <w:pPr>
        <w:spacing w:before="100" w:beforeAutospacing="1" w:after="100" w:afterAutospacing="1"/>
        <w:jc w:val="center"/>
        <w:rPr>
          <w:rFonts w:eastAsia="Calibri" w:cs="Arial"/>
          <w:sz w:val="16"/>
          <w:szCs w:val="16"/>
          <w:lang w:val="es-CO"/>
        </w:rPr>
      </w:pPr>
      <w:r w:rsidRPr="007528E0">
        <w:rPr>
          <w:rFonts w:eastAsia="Calibri" w:cs="Arial"/>
          <w:sz w:val="16"/>
          <w:szCs w:val="16"/>
          <w:lang w:val="es-CO"/>
        </w:rPr>
        <w:lastRenderedPageBreak/>
        <w:t>Fuente:</w:t>
      </w:r>
      <w:r w:rsidRPr="007528E0">
        <w:rPr>
          <w:rFonts w:eastAsia="Calibri" w:cs="Arial"/>
          <w:sz w:val="16"/>
          <w:szCs w:val="16"/>
          <w:lang w:val="es-CO"/>
        </w:rPr>
        <w:fldChar w:fldCharType="begin" w:fldLock="1"/>
      </w:r>
      <w:r w:rsidRPr="007528E0">
        <w:rPr>
          <w:rFonts w:eastAsia="Calibri" w:cs="Arial"/>
          <w:sz w:val="16"/>
          <w:szCs w:val="16"/>
          <w:lang w:val="es-CO"/>
        </w:rPr>
        <w:instrText>ADDIN CSL_CITATION { "citationItems" : [ { "id" : "ITEM-1", "itemData" : { "URL" : "https://www.minsalud.gov.co/sites/rid/Lists/BibliotecaDigital/RIDE/DE/GT/Guia-manejo-urgencias-toxicologicas.pdf", "accessed" : { "date-parts" : [ [ "2017", "6", "5" ] ] }, "author" : [ { "dropping-particle" : "", "family" : "Ministerio de Salud y Protecci\u00f3n Social, Universidad Nacional de Colombia", "given" : "Centro De Informaci\u00f3n y Asesor\u00eda Toxicol\u00f3gica", "non-dropping-particle" : "", "parse-names" : false, "suffix" : "" } ], "id" : "ITEM-1", "issued" : { "date-parts" : [ [ "2008" ] ] }, "title" : "Gu\u00edas para el manejo de Urgencias Toxicol\u00f3gicas", "type" : "webpage" }, "uris" : [ "http://www.mendeley.com/documents/?uuid=09dd0fe0-84fe-47ec-b68a-9d78ff833790" ] } ], "mendeley" : { "formattedCitation" : "(14)", "plainTextFormattedCitation" : "(14)", "previouslyFormattedCitation" : "(14)" }, "properties" : { "noteIndex" : 0 }, "schema" : "https://github.com/citation-style-language/schema/raw/master/csl-citation.json" }</w:instrText>
      </w:r>
      <w:r w:rsidRPr="007528E0">
        <w:rPr>
          <w:rFonts w:eastAsia="Calibri" w:cs="Arial"/>
          <w:sz w:val="16"/>
          <w:szCs w:val="16"/>
          <w:lang w:val="es-CO"/>
        </w:rPr>
        <w:fldChar w:fldCharType="separate"/>
      </w:r>
      <w:r w:rsidRPr="007528E0">
        <w:rPr>
          <w:rFonts w:eastAsia="Calibri" w:cs="Arial"/>
          <w:noProof/>
          <w:sz w:val="16"/>
          <w:szCs w:val="16"/>
          <w:lang w:val="es-CO"/>
        </w:rPr>
        <w:t>(14)</w:t>
      </w:r>
      <w:r w:rsidRPr="007528E0">
        <w:rPr>
          <w:rFonts w:eastAsia="Calibri" w:cs="Arial"/>
          <w:sz w:val="16"/>
          <w:szCs w:val="16"/>
          <w:lang w:val="es-CO"/>
        </w:rPr>
        <w:fldChar w:fldCharType="end"/>
      </w:r>
      <w:r w:rsidRPr="007528E0">
        <w:rPr>
          <w:rFonts w:eastAsia="Calibri" w:cs="Arial"/>
          <w:sz w:val="16"/>
          <w:szCs w:val="16"/>
          <w:lang w:val="es-CO"/>
        </w:rPr>
        <w:t xml:space="preserve"> </w:t>
      </w:r>
    </w:p>
    <w:p w14:paraId="55779B64" w14:textId="77777777" w:rsidR="0037398A" w:rsidRPr="007528E0" w:rsidRDefault="0037398A" w:rsidP="0037398A">
      <w:pPr>
        <w:spacing w:before="100" w:beforeAutospacing="1" w:after="100" w:afterAutospacing="1"/>
        <w:rPr>
          <w:rFonts w:eastAsia="Calibri" w:cs="Arial"/>
          <w:sz w:val="22"/>
          <w:szCs w:val="22"/>
          <w:lang w:val="es-CO"/>
        </w:rPr>
      </w:pPr>
      <w:r w:rsidRPr="007528E0">
        <w:rPr>
          <w:rFonts w:eastAsia="Calibri" w:cs="Arial"/>
          <w:sz w:val="22"/>
          <w:szCs w:val="22"/>
          <w:lang w:val="es-CO"/>
        </w:rPr>
        <w:t xml:space="preserve">Para la toma de muestras de bebidas alcohólicas asociadas a eventos de intoxicación por metanol, se deben seguir los procedimientos adecuados que permitan mantener la cadena de custodia (acta firmada de toma de muestra, número y estado de la muestra, sellamiento y rotulación, etc.) y la realización de un dictamen preciso por el laboratorio del contenido de la sustancias química (refrigeración), ya que facilita el manejo médico del paciente y la confirmación del evento. </w:t>
      </w:r>
    </w:p>
    <w:p w14:paraId="68913DF7" w14:textId="77777777" w:rsidR="0037398A" w:rsidRPr="007528E0" w:rsidRDefault="0037398A" w:rsidP="0037398A">
      <w:pPr>
        <w:spacing w:before="100" w:beforeAutospacing="1" w:after="100" w:afterAutospacing="1"/>
        <w:rPr>
          <w:rFonts w:eastAsia="Calibri" w:cs="Arial"/>
          <w:sz w:val="22"/>
          <w:szCs w:val="22"/>
          <w:lang w:val="es-CO"/>
        </w:rPr>
      </w:pPr>
      <w:r w:rsidRPr="007528E0">
        <w:rPr>
          <w:rFonts w:eastAsia="Calibri" w:cs="Arial"/>
          <w:sz w:val="22"/>
          <w:szCs w:val="22"/>
          <w:lang w:val="es-CO"/>
        </w:rPr>
        <w:t xml:space="preserve">Cualquier información adicional del procedimiento de toma de muestras en bebidas alcohólicas, puede consultarse con el laboratorio físico químico de alimentos del Invima. </w:t>
      </w:r>
    </w:p>
    <w:p w14:paraId="2703297D" w14:textId="77777777" w:rsidR="0037398A" w:rsidRPr="007528E0" w:rsidRDefault="0037398A" w:rsidP="0037398A">
      <w:pPr>
        <w:spacing w:before="100" w:beforeAutospacing="1" w:after="100" w:afterAutospacing="1"/>
        <w:rPr>
          <w:rFonts w:eastAsia="Calibri" w:cs="Arial"/>
          <w:b/>
          <w:i/>
          <w:sz w:val="22"/>
          <w:szCs w:val="22"/>
          <w:lang w:val="es-CO"/>
        </w:rPr>
      </w:pPr>
      <w:r w:rsidRPr="007528E0">
        <w:rPr>
          <w:rFonts w:eastAsia="Calibri" w:cs="Arial"/>
          <w:b/>
          <w:i/>
          <w:sz w:val="22"/>
          <w:szCs w:val="22"/>
          <w:lang w:val="es-CO"/>
        </w:rPr>
        <w:t>Situaciones para tener en cuenta en la intoxicación por metanol:</w:t>
      </w:r>
    </w:p>
    <w:p w14:paraId="3F5B6472" w14:textId="77777777" w:rsidR="0037398A" w:rsidRPr="007528E0" w:rsidRDefault="0037398A" w:rsidP="0037398A">
      <w:pPr>
        <w:spacing w:before="100" w:beforeAutospacing="1" w:after="100" w:afterAutospacing="1"/>
        <w:rPr>
          <w:rFonts w:eastAsia="Calibri" w:cs="Arial"/>
          <w:sz w:val="22"/>
          <w:szCs w:val="22"/>
          <w:lang w:val="es-CO"/>
        </w:rPr>
      </w:pPr>
      <w:r w:rsidRPr="007528E0">
        <w:rPr>
          <w:rFonts w:eastAsia="Calibri" w:cs="Arial"/>
          <w:sz w:val="22"/>
          <w:szCs w:val="22"/>
          <w:lang w:val="es-CO"/>
        </w:rPr>
        <w:t xml:space="preserve">Pueden existir varias víctimas simultáneamente cuando la intoxicación se presenta por la ingesta de bebidas adulteradas por metanol, por lo que es necesario comunicar esto lo más pronto posible a las autoridades y prevenir nuevos casos. Igualmente debemos tener cuidado de realizar la </w:t>
      </w:r>
      <w:proofErr w:type="spellStart"/>
      <w:r w:rsidRPr="007528E0">
        <w:rPr>
          <w:rFonts w:eastAsia="Calibri" w:cs="Arial"/>
          <w:sz w:val="22"/>
          <w:szCs w:val="22"/>
          <w:lang w:val="es-CO"/>
        </w:rPr>
        <w:t>etiloterapia</w:t>
      </w:r>
      <w:proofErr w:type="spellEnd"/>
      <w:r w:rsidRPr="007528E0">
        <w:rPr>
          <w:rFonts w:eastAsia="Calibri" w:cs="Arial"/>
          <w:sz w:val="22"/>
          <w:szCs w:val="22"/>
          <w:lang w:val="es-CO"/>
        </w:rPr>
        <w:t xml:space="preserve"> con una bebida de licor (cuando no tenemos ampollas) que nos garantice no estar contaminada con metanol.</w:t>
      </w:r>
    </w:p>
    <w:p w14:paraId="3029408F" w14:textId="77777777" w:rsidR="0037398A" w:rsidRPr="007528E0" w:rsidRDefault="0037398A" w:rsidP="0037398A">
      <w:pPr>
        <w:spacing w:before="100" w:beforeAutospacing="1" w:after="100" w:afterAutospacing="1"/>
        <w:rPr>
          <w:rFonts w:eastAsia="Calibri" w:cs="Arial"/>
          <w:sz w:val="22"/>
          <w:szCs w:val="22"/>
          <w:lang w:val="es-CO"/>
        </w:rPr>
      </w:pPr>
      <w:r w:rsidRPr="007528E0">
        <w:rPr>
          <w:rFonts w:eastAsia="Calibri" w:cs="Arial"/>
          <w:sz w:val="22"/>
          <w:szCs w:val="22"/>
          <w:lang w:val="es-CO"/>
        </w:rPr>
        <w:t xml:space="preserve">Frecuentemente esta intoxicación se complica por la demora en su diagnóstico. </w:t>
      </w:r>
    </w:p>
    <w:p w14:paraId="399E6AF1" w14:textId="77777777" w:rsidR="0037398A" w:rsidRPr="007528E0" w:rsidRDefault="0037398A" w:rsidP="0037398A">
      <w:pPr>
        <w:spacing w:before="100" w:beforeAutospacing="1" w:after="100" w:afterAutospacing="1"/>
        <w:rPr>
          <w:rFonts w:eastAsia="Calibri" w:cs="Arial"/>
          <w:sz w:val="22"/>
          <w:szCs w:val="22"/>
          <w:lang w:val="es-CO"/>
        </w:rPr>
      </w:pPr>
      <w:r w:rsidRPr="007528E0">
        <w:rPr>
          <w:rFonts w:eastAsia="Calibri" w:cs="Arial"/>
          <w:sz w:val="22"/>
          <w:szCs w:val="22"/>
          <w:lang w:val="es-CO"/>
        </w:rPr>
        <w:t>Lo niveles de alcohol etílico en niños: estos pacientes tienen una capacidad reducida para metabolizar el alcohol con respecto a los adultos por eso es conveniente hacer un monitoreo estricto a fin de evaluar que el paciente no tenga niveles de alcoholemia demasiado elevados.</w:t>
      </w:r>
    </w:p>
    <w:p w14:paraId="0D7973D9" w14:textId="77777777" w:rsidR="0037398A" w:rsidRPr="007528E0" w:rsidRDefault="0037398A" w:rsidP="0037398A">
      <w:pPr>
        <w:spacing w:before="100" w:beforeAutospacing="1" w:after="100" w:afterAutospacing="1"/>
        <w:rPr>
          <w:rFonts w:eastAsia="Calibri" w:cs="Arial"/>
          <w:sz w:val="22"/>
          <w:szCs w:val="22"/>
          <w:lang w:val="es-CO"/>
        </w:rPr>
      </w:pPr>
      <w:r w:rsidRPr="007528E0">
        <w:rPr>
          <w:rFonts w:eastAsia="Calibri" w:cs="Arial"/>
          <w:sz w:val="22"/>
          <w:szCs w:val="22"/>
          <w:lang w:val="es-CO"/>
        </w:rPr>
        <w:t>Las complicaciones por niveles demasiado elevados de alcohol etílico son: depresión del estado de conciencia, acidosis metabólica, hipoglicemia. Complicaciones que también se pueden presentar por el metanol.</w:t>
      </w:r>
    </w:p>
    <w:p w14:paraId="075E0C93" w14:textId="77777777" w:rsidR="0037398A" w:rsidRPr="007528E0" w:rsidRDefault="0037398A" w:rsidP="0037398A">
      <w:pPr>
        <w:spacing w:before="100" w:beforeAutospacing="1" w:after="100" w:afterAutospacing="1"/>
        <w:rPr>
          <w:rFonts w:eastAsia="Calibri" w:cs="Arial"/>
          <w:sz w:val="22"/>
          <w:szCs w:val="22"/>
          <w:lang w:val="es-CO"/>
        </w:rPr>
      </w:pPr>
      <w:r w:rsidRPr="007528E0">
        <w:rPr>
          <w:rFonts w:eastAsia="Calibri" w:cs="Arial"/>
          <w:sz w:val="22"/>
          <w:szCs w:val="22"/>
          <w:lang w:val="es-CO"/>
        </w:rPr>
        <w:t>En Colombia no contamos con el antídoto ideal para utilizar en este caso que es el 4-metilpirazole (</w:t>
      </w:r>
      <w:proofErr w:type="spellStart"/>
      <w:r w:rsidRPr="007528E0">
        <w:rPr>
          <w:rFonts w:eastAsia="Calibri" w:cs="Arial"/>
          <w:sz w:val="22"/>
          <w:szCs w:val="22"/>
          <w:lang w:val="es-CO"/>
        </w:rPr>
        <w:t>fomepizol</w:t>
      </w:r>
      <w:proofErr w:type="spellEnd"/>
      <w:r w:rsidRPr="007528E0">
        <w:rPr>
          <w:rFonts w:eastAsia="Calibri" w:cs="Arial"/>
          <w:sz w:val="22"/>
          <w:szCs w:val="22"/>
          <w:lang w:val="es-CO"/>
        </w:rPr>
        <w:t xml:space="preserve">), motivo por el cual debemos recurrir a la </w:t>
      </w:r>
      <w:proofErr w:type="spellStart"/>
      <w:r w:rsidRPr="007528E0">
        <w:rPr>
          <w:rFonts w:eastAsia="Calibri" w:cs="Arial"/>
          <w:sz w:val="22"/>
          <w:szCs w:val="22"/>
          <w:lang w:val="es-CO"/>
        </w:rPr>
        <w:t>etiloterapia</w:t>
      </w:r>
      <w:proofErr w:type="spellEnd"/>
      <w:r w:rsidRPr="007528E0">
        <w:rPr>
          <w:rFonts w:eastAsia="Calibri" w:cs="Arial"/>
          <w:sz w:val="22"/>
          <w:szCs w:val="22"/>
          <w:lang w:val="es-CO"/>
        </w:rPr>
        <w:t xml:space="preserve">, está a pesar de ser útil no deja de tener serios inconvenientes en su manejo, además, debido a la prolongada vida media del metanol, la </w:t>
      </w:r>
      <w:proofErr w:type="spellStart"/>
      <w:r w:rsidRPr="007528E0">
        <w:rPr>
          <w:rFonts w:eastAsia="Calibri" w:cs="Arial"/>
          <w:sz w:val="22"/>
          <w:szCs w:val="22"/>
          <w:lang w:val="es-CO"/>
        </w:rPr>
        <w:t>etiloterapia</w:t>
      </w:r>
      <w:proofErr w:type="spellEnd"/>
      <w:r w:rsidRPr="007528E0">
        <w:rPr>
          <w:rFonts w:eastAsia="Calibri" w:cs="Arial"/>
          <w:sz w:val="22"/>
          <w:szCs w:val="22"/>
          <w:lang w:val="es-CO"/>
        </w:rPr>
        <w:t xml:space="preserve"> puede llegar a requerirse por varios días, siendo el promedio 72 horas </w:t>
      </w:r>
      <w:r w:rsidRPr="007528E0">
        <w:rPr>
          <w:rFonts w:eastAsia="Calibri" w:cs="Arial"/>
          <w:sz w:val="22"/>
          <w:szCs w:val="22"/>
          <w:lang w:val="es-CO"/>
        </w:rPr>
        <w:fldChar w:fldCharType="begin" w:fldLock="1"/>
      </w:r>
      <w:r w:rsidRPr="007528E0">
        <w:rPr>
          <w:rFonts w:eastAsia="Calibri" w:cs="Arial"/>
          <w:sz w:val="22"/>
          <w:szCs w:val="22"/>
          <w:lang w:val="es-CO"/>
        </w:rPr>
        <w:instrText>ADDIN CSL_CITATION { "citationItems" : [ { "id" : "ITEM-1", "itemData" : { "author" : [ { "dropping-particle" : "", "family" : "Adriana Zamora Suarez", "given" : "MD", "non-dropping-particle" : "", "parse-names" : false, "suffix" : "" } ], "editor" : [ { "dropping-particle" : "", "family" : "Distribuna", "given" : "Editorial", "non-dropping-particle" : "", "parse-names" : false, "suffix" : "" } ], "id" : "ITEM-1", "issued" : { "date-parts" : [ [ "2014" ] ] }, "number-of-pages" : "3-5", "title" : "Intoxicaciones en la practica clinica", "type" : "book" }, "uris" : [ "http://www.mendeley.com/documents/?uuid=dab63e2e-2c1a-41eb-8bca-65988c1d6830" ] } ], "mendeley" : { "formattedCitation" : "(22)", "plainTextFormattedCitation" : "(22)", "previouslyFormattedCitation" : "(22)" }, "properties" : { "noteIndex" : 0 }, "schema" : "https://github.com/citation-style-language/schema/raw/master/csl-citation.json" }</w:instrText>
      </w:r>
      <w:r w:rsidRPr="007528E0">
        <w:rPr>
          <w:rFonts w:eastAsia="Calibri" w:cs="Arial"/>
          <w:sz w:val="22"/>
          <w:szCs w:val="22"/>
          <w:lang w:val="es-CO"/>
        </w:rPr>
        <w:fldChar w:fldCharType="separate"/>
      </w:r>
      <w:r w:rsidRPr="007528E0">
        <w:rPr>
          <w:rFonts w:eastAsia="Calibri" w:cs="Arial"/>
          <w:noProof/>
          <w:sz w:val="22"/>
          <w:szCs w:val="22"/>
          <w:lang w:val="es-CO"/>
        </w:rPr>
        <w:t>(22)</w:t>
      </w:r>
      <w:r w:rsidRPr="007528E0">
        <w:rPr>
          <w:rFonts w:eastAsia="Calibri" w:cs="Arial"/>
          <w:sz w:val="22"/>
          <w:szCs w:val="22"/>
          <w:lang w:val="es-CO"/>
        </w:rPr>
        <w:fldChar w:fldCharType="end"/>
      </w:r>
      <w:r w:rsidRPr="007528E0">
        <w:rPr>
          <w:rFonts w:eastAsia="Calibri" w:cs="Arial"/>
          <w:sz w:val="22"/>
          <w:szCs w:val="22"/>
          <w:lang w:val="es-CO"/>
        </w:rPr>
        <w:t>.</w:t>
      </w:r>
    </w:p>
    <w:p w14:paraId="3E15147B" w14:textId="77777777" w:rsidR="0037398A" w:rsidRPr="007528E0" w:rsidRDefault="0037398A" w:rsidP="0037398A">
      <w:pPr>
        <w:pStyle w:val="Ttulo2"/>
        <w:numPr>
          <w:ilvl w:val="0"/>
          <w:numId w:val="25"/>
        </w:numPr>
        <w:spacing w:before="100" w:beforeAutospacing="1" w:after="100" w:afterAutospacing="1"/>
        <w:jc w:val="left"/>
        <w:rPr>
          <w:sz w:val="22"/>
          <w:szCs w:val="22"/>
        </w:rPr>
      </w:pPr>
      <w:bookmarkStart w:id="18" w:name="_Toc464122681"/>
      <w:bookmarkStart w:id="19" w:name="_Toc505456658"/>
      <w:r w:rsidRPr="007528E0">
        <w:rPr>
          <w:sz w:val="22"/>
          <w:szCs w:val="22"/>
        </w:rPr>
        <w:lastRenderedPageBreak/>
        <w:t>Intoxicación por metales</w:t>
      </w:r>
      <w:bookmarkEnd w:id="18"/>
      <w:r w:rsidRPr="007528E0">
        <w:rPr>
          <w:sz w:val="22"/>
          <w:szCs w:val="22"/>
        </w:rPr>
        <w:t xml:space="preserve"> (Grupo Sustancia 4)</w:t>
      </w:r>
      <w:bookmarkEnd w:id="19"/>
    </w:p>
    <w:p w14:paraId="49BF8B8C" w14:textId="77777777" w:rsidR="0037398A" w:rsidRPr="007528E0" w:rsidRDefault="0037398A" w:rsidP="0037398A">
      <w:pPr>
        <w:pStyle w:val="Prrafodelista"/>
        <w:spacing w:before="100" w:beforeAutospacing="1" w:after="100" w:afterAutospacing="1" w:line="240" w:lineRule="auto"/>
        <w:ind w:left="0"/>
        <w:rPr>
          <w:rFonts w:eastAsia="Times New Roman" w:cs="Arial"/>
          <w:szCs w:val="22"/>
          <w:lang w:val="es-ES" w:eastAsia="es-ES"/>
        </w:rPr>
      </w:pPr>
      <w:r w:rsidRPr="007528E0">
        <w:rPr>
          <w:rFonts w:eastAsia="Times New Roman" w:cs="Arial"/>
          <w:szCs w:val="22"/>
          <w:lang w:val="es-ES" w:eastAsia="es-ES"/>
        </w:rPr>
        <w:t>La presencia de ciertos elementos químicos en el medio ambiente, como los metales (cadmio, plomo, cobre, mercurio, etc.), son consecuencia de su presencia espontánea en la naturaleza o de la actividad humana que incide directamente en los posibles riesgos químicos que su presencia puede generar para la salud humana</w:t>
      </w:r>
      <w:r w:rsidRPr="007528E0">
        <w:rPr>
          <w:rFonts w:eastAsia="Times New Roman" w:cs="Arial"/>
          <w:szCs w:val="22"/>
          <w:lang w:val="es-ES" w:eastAsia="es-ES"/>
        </w:rPr>
        <w:fldChar w:fldCharType="begin" w:fldLock="1"/>
      </w:r>
      <w:r w:rsidRPr="007528E0">
        <w:rPr>
          <w:rFonts w:eastAsia="Times New Roman" w:cs="Arial"/>
          <w:szCs w:val="22"/>
          <w:lang w:val="es-ES" w:eastAsia="es-ES"/>
        </w:rPr>
        <w:instrText>ADDIN CSL_CITATION { "citationItems" : [ { "id" : "ITEM-1", "itemData" : { "author" : [ { "dropping-particle" : "", "family" : "Garc\u00eda D., Olivares S., Santana J., Lima L., Ruiz L., Calder\u00f3n P.", "given" : "\u00c1vila I. 2012.", "non-dropping-particle" : "", "parse-names" : false, "suffix" : "" } ], "container-title" : "Revista Cubana de Salud y Trabajo", "id" : "ITEM-1", "issue" : "13", "issued" : { "date-parts" : [ [ "2012" ] ] }, "page" : "8-10", "title" : "Evaluaci\u00f3n de riesgos a la salud por exposici\u00f3n a metales pesados en cercan\u00edas de sitios potencialmente peligrosos con actividad agr\u00edcola", "type" : "article-journal", "volume" : "1" }, "uris" : [ "http://www.mendeley.com/documents/?uuid=d68c7251-941b-4509-a47f-a16126579c44" ] } ], "mendeley" : { "formattedCitation" : "(38)", "plainTextFormattedCitation" : "(38)", "previouslyFormattedCitation" : "(38)" }, "properties" : { "noteIndex" : 0 }, "schema" : "https://github.com/citation-style-language/schema/raw/master/csl-citation.json" }</w:instrText>
      </w:r>
      <w:r w:rsidRPr="007528E0">
        <w:rPr>
          <w:rFonts w:eastAsia="Times New Roman" w:cs="Arial"/>
          <w:szCs w:val="22"/>
          <w:lang w:val="es-ES" w:eastAsia="es-ES"/>
        </w:rPr>
        <w:fldChar w:fldCharType="separate"/>
      </w:r>
      <w:r w:rsidRPr="007528E0">
        <w:rPr>
          <w:rFonts w:eastAsia="Times New Roman" w:cs="Arial"/>
          <w:noProof/>
          <w:szCs w:val="22"/>
          <w:lang w:val="es-ES" w:eastAsia="es-ES"/>
        </w:rPr>
        <w:t>(38)</w:t>
      </w:r>
      <w:r w:rsidRPr="007528E0">
        <w:rPr>
          <w:rFonts w:eastAsia="Times New Roman" w:cs="Arial"/>
          <w:szCs w:val="22"/>
          <w:lang w:val="es-ES" w:eastAsia="es-ES"/>
        </w:rPr>
        <w:fldChar w:fldCharType="end"/>
      </w:r>
      <w:r w:rsidRPr="007528E0">
        <w:rPr>
          <w:rFonts w:eastAsia="Times New Roman" w:cs="Arial"/>
          <w:szCs w:val="22"/>
          <w:lang w:val="es-ES" w:eastAsia="es-ES"/>
        </w:rPr>
        <w:t xml:space="preserve">.En este manual se mencionan los metales que han presentado mayor número de intoxicaciones a lo largo de la vigilancia realizada, sin desconocer que existen muchos más. </w:t>
      </w:r>
    </w:p>
    <w:p w14:paraId="54596408" w14:textId="77777777" w:rsidR="0037398A" w:rsidRPr="007528E0" w:rsidRDefault="0037398A" w:rsidP="0037398A">
      <w:pPr>
        <w:pStyle w:val="Prrafodelista"/>
        <w:spacing w:before="100" w:beforeAutospacing="1" w:after="100" w:afterAutospacing="1" w:line="240" w:lineRule="auto"/>
        <w:ind w:left="0"/>
        <w:rPr>
          <w:rFonts w:eastAsia="Times New Roman" w:cs="Arial"/>
          <w:szCs w:val="22"/>
          <w:lang w:val="es-ES" w:eastAsia="es-ES"/>
        </w:rPr>
      </w:pPr>
    </w:p>
    <w:p w14:paraId="045F6F83" w14:textId="77777777" w:rsidR="0037398A" w:rsidRPr="007528E0" w:rsidRDefault="0037398A" w:rsidP="0037398A">
      <w:pPr>
        <w:pStyle w:val="Prrafodelista"/>
        <w:spacing w:before="100" w:beforeAutospacing="1" w:after="100" w:afterAutospacing="1" w:line="240" w:lineRule="auto"/>
        <w:ind w:left="0"/>
        <w:rPr>
          <w:rFonts w:eastAsia="Calibri" w:cs="Arial"/>
          <w:b/>
          <w:szCs w:val="22"/>
        </w:rPr>
      </w:pPr>
      <w:r w:rsidRPr="007528E0">
        <w:rPr>
          <w:rFonts w:eastAsia="Calibri" w:cs="Arial"/>
          <w:b/>
          <w:szCs w:val="22"/>
        </w:rPr>
        <w:t>Mercurio</w:t>
      </w:r>
    </w:p>
    <w:p w14:paraId="5C459794" w14:textId="77777777" w:rsidR="0037398A" w:rsidRPr="007528E0" w:rsidRDefault="0037398A" w:rsidP="0037398A">
      <w:pPr>
        <w:autoSpaceDE w:val="0"/>
        <w:autoSpaceDN w:val="0"/>
        <w:adjustRightInd w:val="0"/>
        <w:spacing w:before="100" w:beforeAutospacing="1" w:after="100" w:afterAutospacing="1"/>
        <w:rPr>
          <w:rFonts w:eastAsia="Times New Roman" w:cs="Arial"/>
          <w:sz w:val="22"/>
          <w:szCs w:val="22"/>
          <w:lang w:val="es-ES"/>
        </w:rPr>
      </w:pPr>
      <w:r w:rsidRPr="007528E0">
        <w:rPr>
          <w:rFonts w:eastAsia="Times New Roman" w:cs="Arial"/>
          <w:sz w:val="22"/>
          <w:szCs w:val="22"/>
          <w:lang w:val="es-ES"/>
        </w:rPr>
        <w:t xml:space="preserve">El mercurio (Hg) es un metal pesado, considerado un contaminante altamente tóxico. En su estado elemental es volátil, lo cual facilita su transporte a largas distancias a través de la atmósfera, por lo que la contaminación ambiental causada por el mismo representa un grave problema a nivel mundial. Actividades como la minería de oro, en donde es empleado el Hg metálico, han contribuido con su distribución global, afectando los ecosistemas y la salud del hombre </w:t>
      </w:r>
      <w:r w:rsidRPr="007528E0">
        <w:rPr>
          <w:rFonts w:eastAsia="Times New Roman" w:cs="Arial"/>
          <w:sz w:val="22"/>
          <w:szCs w:val="22"/>
          <w:lang w:val="es-ES"/>
        </w:rPr>
        <w:fldChar w:fldCharType="begin" w:fldLock="1"/>
      </w:r>
      <w:r w:rsidRPr="007528E0">
        <w:rPr>
          <w:rFonts w:eastAsia="Times New Roman" w:cs="Arial"/>
          <w:sz w:val="22"/>
          <w:szCs w:val="22"/>
          <w:lang w:val="es-ES"/>
        </w:rPr>
        <w:instrText>ADDIN CSL_CITATION { "citationItems" : [ { "id" : "ITEM-1", "itemData" : { "author" : [ { "dropping-particle" : "", "family" : "Olivero J., Young F.", "given" : "Caballero K.", "non-dropping-particle" : "", "parse-names" : false, "suffix" : "" } ], "container-title" : "Rev. Int. Contam. Ambie", "id" : "ITEM-1", "issue" : "30", "issued" : { "date-parts" : [ [ "2014" ] ] }, "page" : "7-13", "title" : "Contaminaci\u00f3n por mercurio en aire del distrito minero de San Mart\u00edn de Loba en el departamento de Bol\u00edvar, Colombia.", "type" : "article-journal", "volume" : "1" }, "uris" : [ "http://www.mendeley.com/documents/?uuid=ebef0bcc-031e-4d71-97ac-a113a81354e9" ] } ], "mendeley" : { "formattedCitation" : "(39)", "plainTextFormattedCitation" : "(39)", "previouslyFormattedCitation" : "(39)" }, "properties" : { "noteIndex" : 0 }, "schema" : "https://github.com/citation-style-language/schema/raw/master/csl-citation.json" }</w:instrText>
      </w:r>
      <w:r w:rsidRPr="007528E0">
        <w:rPr>
          <w:rFonts w:eastAsia="Times New Roman" w:cs="Arial"/>
          <w:sz w:val="22"/>
          <w:szCs w:val="22"/>
          <w:lang w:val="es-ES"/>
        </w:rPr>
        <w:fldChar w:fldCharType="separate"/>
      </w:r>
      <w:r w:rsidRPr="007528E0">
        <w:rPr>
          <w:rFonts w:eastAsia="Times New Roman" w:cs="Arial"/>
          <w:noProof/>
          <w:sz w:val="22"/>
          <w:szCs w:val="22"/>
          <w:lang w:val="es-ES"/>
        </w:rPr>
        <w:t>(39)</w:t>
      </w:r>
      <w:r w:rsidRPr="007528E0">
        <w:rPr>
          <w:rFonts w:eastAsia="Times New Roman" w:cs="Arial"/>
          <w:sz w:val="22"/>
          <w:szCs w:val="22"/>
          <w:lang w:val="es-ES"/>
        </w:rPr>
        <w:fldChar w:fldCharType="end"/>
      </w:r>
      <w:r w:rsidRPr="007528E0">
        <w:rPr>
          <w:rFonts w:eastAsia="Times New Roman" w:cs="Arial"/>
          <w:sz w:val="22"/>
          <w:szCs w:val="22"/>
          <w:lang w:val="es-ES"/>
        </w:rPr>
        <w:t>.</w:t>
      </w:r>
    </w:p>
    <w:p w14:paraId="74D5024C" w14:textId="77777777" w:rsidR="0037398A" w:rsidRPr="007528E0" w:rsidRDefault="0037398A" w:rsidP="0037398A">
      <w:pPr>
        <w:spacing w:before="100" w:beforeAutospacing="1" w:after="100" w:afterAutospacing="1"/>
        <w:rPr>
          <w:rFonts w:cs="Arial"/>
          <w:sz w:val="22"/>
          <w:szCs w:val="22"/>
          <w:shd w:val="clear" w:color="auto" w:fill="FFFFFF"/>
        </w:rPr>
      </w:pPr>
      <w:r w:rsidRPr="007528E0">
        <w:rPr>
          <w:rFonts w:eastAsia="Times New Roman" w:cs="Arial"/>
          <w:sz w:val="22"/>
          <w:szCs w:val="22"/>
          <w:lang w:val="es-ES"/>
        </w:rPr>
        <w:t xml:space="preserve">Para la OMS, el mercurio es uno de los diez productos o grupos de productos químicos que plantean especiales problemas de salud pública. </w:t>
      </w:r>
    </w:p>
    <w:p w14:paraId="2AC60F47" w14:textId="77777777" w:rsidR="0037398A" w:rsidRPr="007528E0" w:rsidRDefault="0037398A" w:rsidP="0037398A">
      <w:pPr>
        <w:autoSpaceDE w:val="0"/>
        <w:autoSpaceDN w:val="0"/>
        <w:adjustRightInd w:val="0"/>
        <w:spacing w:before="100" w:beforeAutospacing="1" w:after="100" w:afterAutospacing="1"/>
        <w:rPr>
          <w:rFonts w:eastAsia="Times New Roman" w:cs="Arial"/>
          <w:sz w:val="22"/>
          <w:szCs w:val="22"/>
          <w:lang w:val="es-ES"/>
        </w:rPr>
      </w:pPr>
      <w:r w:rsidRPr="007528E0">
        <w:rPr>
          <w:rFonts w:eastAsia="Times New Roman" w:cs="Arial"/>
          <w:sz w:val="22"/>
          <w:szCs w:val="22"/>
          <w:lang w:val="es-ES"/>
        </w:rPr>
        <w:t xml:space="preserve">El mercurio es muy tóxico, en particular cuando se metaboliza para formar </w:t>
      </w:r>
      <w:proofErr w:type="spellStart"/>
      <w:r w:rsidRPr="007528E0">
        <w:rPr>
          <w:rFonts w:eastAsia="Times New Roman" w:cs="Arial"/>
          <w:sz w:val="22"/>
          <w:szCs w:val="22"/>
          <w:lang w:val="es-ES"/>
        </w:rPr>
        <w:t>metíl</w:t>
      </w:r>
      <w:proofErr w:type="spellEnd"/>
      <w:r w:rsidRPr="007528E0">
        <w:rPr>
          <w:rFonts w:eastAsia="Times New Roman" w:cs="Arial"/>
          <w:sz w:val="22"/>
          <w:szCs w:val="22"/>
          <w:lang w:val="es-ES"/>
        </w:rPr>
        <w:t xml:space="preserve"> mercurio. Puede ser mortal por inhalación y perjudicial por absorción cutánea. Alrededor del 80% del vapor de mercurio inhalando pasa a la sangre a través de los pulmones. Puede tener efectos perjudiciales en los sistemas nervioso, digestivo, respiratorio e inmunitario y en los riñones, además de provocar daños pulmonares. Los efectos adversos de la exposición al mercurio para la salud pueden ser los siguientes: temblores, trastornos de la visión y la audición, parálisis, insomnio, inestabilidad emocional, deficiencia del crecimiento durante el desarrollo fetal y problemas de concentración y retraso en el desarrollo durante la infancia. Estudios recientes parecen indicar que el mercurio tal vez carezca de umbral por debajo del cual no se producen algunos efectos adversos </w:t>
      </w:r>
      <w:r w:rsidRPr="007528E0">
        <w:rPr>
          <w:rFonts w:eastAsia="Times New Roman" w:cs="Arial"/>
          <w:sz w:val="22"/>
          <w:szCs w:val="22"/>
          <w:lang w:val="es-ES"/>
        </w:rPr>
        <w:fldChar w:fldCharType="begin" w:fldLock="1"/>
      </w:r>
      <w:r w:rsidRPr="007528E0">
        <w:rPr>
          <w:rFonts w:eastAsia="Times New Roman" w:cs="Arial"/>
          <w:sz w:val="22"/>
          <w:szCs w:val="22"/>
          <w:lang w:val="es-ES"/>
        </w:rPr>
        <w:instrText>ADDIN CSL_CITATION { "citationItems" : [ { "id" : "ITEM-1", "itemData" : { "author" : [ { "dropping-particle" : "", "family" : "WHO", "given" : "", "non-dropping-particle" : "", "parse-names" : false, "suffix" : "" } ], "id" : "ITEM-1", "issued" : { "date-parts" : [ [ "2004" ] ] }, "title" : "El Mercurio en el Sector de la Salud. Ginebra: OMS Departamento de Salud P\u00fablica y Medio Ambiente Agua, Saneamiento y Salud", "type" : "report" }, "uris" : [ "http://www.mendeley.com/documents/?uuid=d6eee277-6999-4358-9f06-d209a2c24098" ] } ], "mendeley" : { "formattedCitation" : "(40)", "plainTextFormattedCitation" : "(40)", "previouslyFormattedCitation" : "(40)" }, "properties" : { "noteIndex" : 0 }, "schema" : "https://github.com/citation-style-language/schema/raw/master/csl-citation.json" }</w:instrText>
      </w:r>
      <w:r w:rsidRPr="007528E0">
        <w:rPr>
          <w:rFonts w:eastAsia="Times New Roman" w:cs="Arial"/>
          <w:sz w:val="22"/>
          <w:szCs w:val="22"/>
          <w:lang w:val="es-ES"/>
        </w:rPr>
        <w:fldChar w:fldCharType="separate"/>
      </w:r>
      <w:r w:rsidRPr="007528E0">
        <w:rPr>
          <w:rFonts w:eastAsia="Times New Roman" w:cs="Arial"/>
          <w:noProof/>
          <w:sz w:val="22"/>
          <w:szCs w:val="22"/>
          <w:lang w:val="es-ES"/>
        </w:rPr>
        <w:t>(40)</w:t>
      </w:r>
      <w:r w:rsidRPr="007528E0">
        <w:rPr>
          <w:rFonts w:eastAsia="Times New Roman" w:cs="Arial"/>
          <w:sz w:val="22"/>
          <w:szCs w:val="22"/>
          <w:lang w:val="es-ES"/>
        </w:rPr>
        <w:fldChar w:fldCharType="end"/>
      </w:r>
      <w:r w:rsidRPr="007528E0">
        <w:rPr>
          <w:rFonts w:eastAsia="Times New Roman" w:cs="Arial"/>
          <w:sz w:val="22"/>
          <w:szCs w:val="22"/>
          <w:lang w:val="es-ES"/>
        </w:rPr>
        <w:t>.</w:t>
      </w:r>
    </w:p>
    <w:p w14:paraId="0B44DF67" w14:textId="77777777" w:rsidR="0037398A" w:rsidRPr="007528E0" w:rsidRDefault="0037398A" w:rsidP="0037398A">
      <w:pPr>
        <w:spacing w:before="100" w:beforeAutospacing="1" w:after="100" w:afterAutospacing="1"/>
        <w:rPr>
          <w:rFonts w:eastAsia="Times New Roman" w:cs="Arial"/>
          <w:sz w:val="22"/>
          <w:szCs w:val="22"/>
          <w:lang w:val="es-ES"/>
        </w:rPr>
      </w:pPr>
      <w:r w:rsidRPr="007528E0">
        <w:rPr>
          <w:rFonts w:eastAsia="Times New Roman" w:cs="Arial"/>
          <w:sz w:val="22"/>
          <w:szCs w:val="22"/>
          <w:lang w:val="es-ES"/>
        </w:rPr>
        <w:t>El mercurio existe en varias formas: elemental (o metálico), inorgánico (exposición ocupacional) y orgánico (como el metilmercurio, que penetra en el cuerpo humano por vía alimentaria)</w:t>
      </w:r>
      <w:r w:rsidRPr="007528E0">
        <w:rPr>
          <w:rFonts w:eastAsia="Times New Roman" w:cs="Arial"/>
          <w:sz w:val="22"/>
          <w:szCs w:val="22"/>
          <w:lang w:val="es-ES"/>
        </w:rPr>
        <w:fldChar w:fldCharType="begin" w:fldLock="1"/>
      </w:r>
      <w:r w:rsidRPr="007528E0">
        <w:rPr>
          <w:rFonts w:eastAsia="Times New Roman" w:cs="Arial"/>
          <w:sz w:val="22"/>
          <w:szCs w:val="22"/>
          <w:lang w:val="es-ES"/>
        </w:rPr>
        <w:instrText>ADDIN CSL_CITATION { "citationItems" : [ { "id" : "ITEM-1", "itemData" : { "URL" : "http://www.sertox.com.ar/retel/default.htm. ", "accessed" : { "date-parts" : [ [ "2017", "6", "20" ] ] }, "author" : [ { "dropping-particle" : "", "family" : "Molina C F, Arango C.M", "given" : "Serna M", "non-dropping-particle" : "", "parse-names" : false, "suffix" : "" } ], "container-title" : "Retel.", "id" : "ITEM-1", "issued" : { "date-parts" : [ [ "2010" ] ] }, "page" : "7 - 19", "title" : "Mercurio: implicaciones en la salud y el medio ambiente", "type" : "webpage" }, "uris" : [ "http://www.mendeley.com/documents/?uuid=2babb475-bfe8-48f9-a47b-8ca20a5f23ee" ] } ], "mendeley" : { "formattedCitation" : "(41)", "plainTextFormattedCitation" : "(41)", "previouslyFormattedCitation" : "(41)" }, "properties" : { "noteIndex" : 0 }, "schema" : "https://github.com/citation-style-language/schema/raw/master/csl-citation.json" }</w:instrText>
      </w:r>
      <w:r w:rsidRPr="007528E0">
        <w:rPr>
          <w:rFonts w:eastAsia="Times New Roman" w:cs="Arial"/>
          <w:sz w:val="22"/>
          <w:szCs w:val="22"/>
          <w:lang w:val="es-ES"/>
        </w:rPr>
        <w:fldChar w:fldCharType="separate"/>
      </w:r>
      <w:r w:rsidRPr="007528E0">
        <w:rPr>
          <w:rFonts w:eastAsia="Times New Roman" w:cs="Arial"/>
          <w:noProof/>
          <w:sz w:val="22"/>
          <w:szCs w:val="22"/>
          <w:lang w:val="es-ES"/>
        </w:rPr>
        <w:t>(41)</w:t>
      </w:r>
      <w:r w:rsidRPr="007528E0">
        <w:rPr>
          <w:rFonts w:eastAsia="Times New Roman" w:cs="Arial"/>
          <w:sz w:val="22"/>
          <w:szCs w:val="22"/>
          <w:lang w:val="es-ES"/>
        </w:rPr>
        <w:fldChar w:fldCharType="end"/>
      </w:r>
      <w:r w:rsidRPr="007528E0">
        <w:rPr>
          <w:rFonts w:eastAsia="Times New Roman" w:cs="Arial"/>
          <w:sz w:val="22"/>
          <w:szCs w:val="22"/>
          <w:lang w:val="es-ES"/>
        </w:rPr>
        <w:t>.</w:t>
      </w:r>
    </w:p>
    <w:p w14:paraId="6C3B2644" w14:textId="77777777" w:rsidR="0037398A" w:rsidRPr="007528E0" w:rsidRDefault="0037398A" w:rsidP="0037398A">
      <w:pPr>
        <w:spacing w:before="100" w:beforeAutospacing="1" w:after="100" w:afterAutospacing="1"/>
        <w:rPr>
          <w:rFonts w:eastAsia="Calibri" w:cs="Arial"/>
          <w:sz w:val="22"/>
          <w:szCs w:val="22"/>
        </w:rPr>
      </w:pPr>
      <w:r w:rsidRPr="007528E0">
        <w:rPr>
          <w:rFonts w:eastAsia="Calibri" w:cs="Arial"/>
          <w:sz w:val="22"/>
          <w:szCs w:val="22"/>
        </w:rPr>
        <w:t xml:space="preserve">Algunas de las principales catástrofes que se han presentado en el mundo a causa de la contaminación con mercurio son como la que sucedió en la bahía de Minamata, por descargas de </w:t>
      </w:r>
      <w:proofErr w:type="spellStart"/>
      <w:r w:rsidRPr="007528E0">
        <w:rPr>
          <w:rFonts w:eastAsia="Calibri" w:cs="Arial"/>
          <w:sz w:val="22"/>
          <w:szCs w:val="22"/>
        </w:rPr>
        <w:t>metíl</w:t>
      </w:r>
      <w:proofErr w:type="spellEnd"/>
      <w:r w:rsidRPr="007528E0">
        <w:rPr>
          <w:rFonts w:eastAsia="Calibri" w:cs="Arial"/>
          <w:sz w:val="22"/>
          <w:szCs w:val="22"/>
        </w:rPr>
        <w:t xml:space="preserve"> mercurio al mar. Las personas afectadas presentaron y trastornos sensoriales bilaterales, especialmente marcados en las extremidades, ataxia, desequilibrio, astenia, anormalidades en los movimientos oculares, estrechamiento en el campo visual e hipoacusia. Se presentaron nacimientos de niños con parálisis cerebral, clara evidencia de los efectos teratogénicos del </w:t>
      </w:r>
      <w:proofErr w:type="spellStart"/>
      <w:r w:rsidRPr="007528E0">
        <w:rPr>
          <w:rFonts w:eastAsia="Calibri" w:cs="Arial"/>
          <w:sz w:val="22"/>
          <w:szCs w:val="22"/>
        </w:rPr>
        <w:t>metíl</w:t>
      </w:r>
      <w:proofErr w:type="spellEnd"/>
      <w:r w:rsidRPr="007528E0">
        <w:rPr>
          <w:rFonts w:eastAsia="Calibri" w:cs="Arial"/>
          <w:sz w:val="22"/>
          <w:szCs w:val="22"/>
        </w:rPr>
        <w:t xml:space="preserve"> mercurio. Asimismo, la mayor </w:t>
      </w:r>
      <w:r w:rsidRPr="007528E0">
        <w:rPr>
          <w:rFonts w:eastAsia="Calibri" w:cs="Arial"/>
          <w:sz w:val="22"/>
          <w:szCs w:val="22"/>
        </w:rPr>
        <w:lastRenderedPageBreak/>
        <w:t xml:space="preserve">intoxicación que se ha presentado por esta sustancia fue la ocurrida en Irak entre 1971 y 1972, al menos 6.000 personas se intoxicaron y 459 murieron, debido al consumo de trigo fumigado con </w:t>
      </w:r>
      <w:proofErr w:type="spellStart"/>
      <w:r w:rsidRPr="007528E0">
        <w:rPr>
          <w:rFonts w:eastAsia="Calibri" w:cs="Arial"/>
          <w:sz w:val="22"/>
          <w:szCs w:val="22"/>
        </w:rPr>
        <w:t>metíl</w:t>
      </w:r>
      <w:proofErr w:type="spellEnd"/>
      <w:r w:rsidRPr="007528E0">
        <w:rPr>
          <w:rFonts w:eastAsia="Calibri" w:cs="Arial"/>
          <w:sz w:val="22"/>
          <w:szCs w:val="22"/>
        </w:rPr>
        <w:t xml:space="preserve"> mercurio </w:t>
      </w:r>
      <w:r w:rsidRPr="007528E0">
        <w:rPr>
          <w:rFonts w:eastAsia="Calibri" w:cs="Arial"/>
          <w:sz w:val="22"/>
          <w:szCs w:val="22"/>
        </w:rPr>
        <w:fldChar w:fldCharType="begin" w:fldLock="1"/>
      </w:r>
      <w:r w:rsidRPr="007528E0">
        <w:rPr>
          <w:rFonts w:eastAsia="Calibri" w:cs="Arial"/>
          <w:sz w:val="22"/>
          <w:szCs w:val="22"/>
        </w:rPr>
        <w:instrText>ADDIN CSL_CITATION { "citationItems" : [ { "id" : "ITEM-1", "itemData" : { "author" : [ { "dropping-particle" : "", "family" : "Rodr\u00edguez C", "given" : "Sociedad Colombiana de Medicina del Trabajo.", "non-dropping-particle" : "", "parse-names" : false, "suffix" : "" } ], "id" : "ITEM-1", "issued" : { "date-parts" : [ [ "0" ] ] }, "title" : "Nuevos protocolos para el diagn\u00f3stico de enfermedades profesionales. Cap\u00edtulo: mercurio", "type" : "book" }, "uris" : [ "http://www.mendeley.com/documents/?uuid=ccdbb7b8-9a89-4cac-89e4-66524a3822ce" ] } ], "mendeley" : { "formattedCitation" : "(42)", "plainTextFormattedCitation" : "(42)", "previouslyFormattedCitation" : "(42)" }, "properties" : { "noteIndex" : 0 }, "schema" : "https://github.com/citation-style-language/schema/raw/master/csl-citation.json" }</w:instrText>
      </w:r>
      <w:r w:rsidRPr="007528E0">
        <w:rPr>
          <w:rFonts w:eastAsia="Calibri" w:cs="Arial"/>
          <w:sz w:val="22"/>
          <w:szCs w:val="22"/>
        </w:rPr>
        <w:fldChar w:fldCharType="separate"/>
      </w:r>
      <w:r w:rsidRPr="007528E0">
        <w:rPr>
          <w:rFonts w:eastAsia="Calibri" w:cs="Arial"/>
          <w:noProof/>
          <w:sz w:val="22"/>
          <w:szCs w:val="22"/>
        </w:rPr>
        <w:t>(42)</w:t>
      </w:r>
      <w:r w:rsidRPr="007528E0">
        <w:rPr>
          <w:rFonts w:eastAsia="Calibri" w:cs="Arial"/>
          <w:sz w:val="22"/>
          <w:szCs w:val="22"/>
        </w:rPr>
        <w:fldChar w:fldCharType="end"/>
      </w:r>
      <w:r w:rsidRPr="007528E0">
        <w:rPr>
          <w:rFonts w:eastAsia="Calibri" w:cs="Arial"/>
          <w:sz w:val="22"/>
          <w:szCs w:val="22"/>
        </w:rPr>
        <w:t>.</w:t>
      </w:r>
    </w:p>
    <w:p w14:paraId="3437F338" w14:textId="77777777" w:rsidR="0037398A" w:rsidRPr="007528E0" w:rsidRDefault="0037398A" w:rsidP="0037398A">
      <w:pPr>
        <w:spacing w:before="100" w:beforeAutospacing="1" w:after="100" w:afterAutospacing="1"/>
        <w:rPr>
          <w:rFonts w:eastAsia="Calibri" w:cs="Arial"/>
          <w:sz w:val="22"/>
          <w:szCs w:val="22"/>
        </w:rPr>
      </w:pPr>
      <w:r w:rsidRPr="007528E0">
        <w:rPr>
          <w:rFonts w:eastAsia="Calibri" w:cs="Arial"/>
          <w:sz w:val="22"/>
          <w:szCs w:val="22"/>
        </w:rPr>
        <w:t>En la tabla 6, se describen las fuentes de exposición de acuerdo al tipo de mercurio</w:t>
      </w:r>
    </w:p>
    <w:p w14:paraId="617A7033" w14:textId="77777777" w:rsidR="0037398A" w:rsidRPr="007528E0" w:rsidRDefault="0037398A" w:rsidP="0037398A">
      <w:pPr>
        <w:pStyle w:val="Descripcin"/>
        <w:spacing w:before="100" w:beforeAutospacing="1" w:after="100" w:afterAutospacing="1"/>
        <w:jc w:val="center"/>
        <w:rPr>
          <w:rFonts w:cs="Arial"/>
          <w:color w:val="auto"/>
          <w:sz w:val="22"/>
          <w:szCs w:val="22"/>
        </w:rPr>
      </w:pPr>
      <w:bookmarkStart w:id="20" w:name="_Toc505456252"/>
      <w:r w:rsidRPr="007528E0">
        <w:rPr>
          <w:rFonts w:cs="Arial"/>
          <w:b/>
          <w:color w:val="auto"/>
          <w:sz w:val="22"/>
          <w:szCs w:val="22"/>
        </w:rPr>
        <w:t xml:space="preserve">Tabla </w:t>
      </w:r>
      <w:r w:rsidRPr="007528E0">
        <w:rPr>
          <w:rFonts w:cs="Arial"/>
          <w:b/>
          <w:color w:val="auto"/>
          <w:sz w:val="22"/>
          <w:szCs w:val="22"/>
        </w:rPr>
        <w:fldChar w:fldCharType="begin"/>
      </w:r>
      <w:r w:rsidRPr="007528E0">
        <w:rPr>
          <w:rFonts w:cs="Arial"/>
          <w:b/>
          <w:color w:val="auto"/>
          <w:sz w:val="22"/>
          <w:szCs w:val="22"/>
        </w:rPr>
        <w:instrText xml:space="preserve"> SEQ Tabla \* ARABIC </w:instrText>
      </w:r>
      <w:r w:rsidRPr="007528E0">
        <w:rPr>
          <w:rFonts w:cs="Arial"/>
          <w:b/>
          <w:color w:val="auto"/>
          <w:sz w:val="22"/>
          <w:szCs w:val="22"/>
        </w:rPr>
        <w:fldChar w:fldCharType="separate"/>
      </w:r>
      <w:r w:rsidRPr="007528E0">
        <w:rPr>
          <w:rFonts w:cs="Arial"/>
          <w:b/>
          <w:noProof/>
          <w:color w:val="auto"/>
          <w:sz w:val="22"/>
          <w:szCs w:val="22"/>
        </w:rPr>
        <w:t>6</w:t>
      </w:r>
      <w:r w:rsidRPr="007528E0">
        <w:rPr>
          <w:rFonts w:cs="Arial"/>
          <w:b/>
          <w:color w:val="auto"/>
          <w:sz w:val="22"/>
          <w:szCs w:val="22"/>
        </w:rPr>
        <w:fldChar w:fldCharType="end"/>
      </w:r>
      <w:r w:rsidRPr="007528E0">
        <w:rPr>
          <w:rFonts w:cs="Arial"/>
          <w:color w:val="auto"/>
          <w:sz w:val="22"/>
          <w:szCs w:val="22"/>
        </w:rPr>
        <w:t>. Tipo de mercurio y fuentes de exposición.</w:t>
      </w:r>
      <w:bookmarkEnd w:id="20"/>
    </w:p>
    <w:tbl>
      <w:tblPr>
        <w:tblStyle w:val="Tablaconcuadrcula"/>
        <w:tblW w:w="9204" w:type="dxa"/>
        <w:tblLayout w:type="fixed"/>
        <w:tblLook w:val="0000" w:firstRow="0" w:lastRow="0" w:firstColumn="0" w:lastColumn="0" w:noHBand="0" w:noVBand="0"/>
      </w:tblPr>
      <w:tblGrid>
        <w:gridCol w:w="1668"/>
        <w:gridCol w:w="1701"/>
        <w:gridCol w:w="2268"/>
        <w:gridCol w:w="3567"/>
      </w:tblGrid>
      <w:tr w:rsidR="007528E0" w:rsidRPr="007528E0" w14:paraId="5AB097B6" w14:textId="77777777" w:rsidTr="007528E0">
        <w:tc>
          <w:tcPr>
            <w:tcW w:w="1668" w:type="dxa"/>
          </w:tcPr>
          <w:p w14:paraId="312F51F5" w14:textId="77777777" w:rsidR="0037398A" w:rsidRPr="007528E0" w:rsidRDefault="0037398A" w:rsidP="007528E0">
            <w:pPr>
              <w:pStyle w:val="Normal1"/>
              <w:spacing w:before="100" w:beforeAutospacing="1" w:after="100" w:afterAutospacing="1"/>
              <w:jc w:val="center"/>
              <w:rPr>
                <w:rFonts w:ascii="Arial" w:hAnsi="Arial" w:cs="Arial"/>
                <w:b/>
                <w:color w:val="auto"/>
                <w:sz w:val="20"/>
                <w:szCs w:val="20"/>
              </w:rPr>
            </w:pPr>
            <w:r w:rsidRPr="007528E0">
              <w:rPr>
                <w:rFonts w:ascii="Arial" w:hAnsi="Arial" w:cs="Arial"/>
                <w:b/>
                <w:color w:val="auto"/>
                <w:sz w:val="20"/>
                <w:szCs w:val="20"/>
              </w:rPr>
              <w:t>Tipo de mercurio</w:t>
            </w:r>
          </w:p>
        </w:tc>
        <w:tc>
          <w:tcPr>
            <w:tcW w:w="1701" w:type="dxa"/>
          </w:tcPr>
          <w:p w14:paraId="7F680063" w14:textId="77777777" w:rsidR="0037398A" w:rsidRPr="007528E0" w:rsidRDefault="0037398A" w:rsidP="007528E0">
            <w:pPr>
              <w:pStyle w:val="Normal1"/>
              <w:spacing w:before="100" w:beforeAutospacing="1" w:after="100" w:afterAutospacing="1"/>
              <w:jc w:val="center"/>
              <w:rPr>
                <w:rFonts w:ascii="Arial" w:hAnsi="Arial" w:cs="Arial"/>
                <w:color w:val="auto"/>
                <w:sz w:val="20"/>
                <w:szCs w:val="20"/>
              </w:rPr>
            </w:pPr>
            <w:r w:rsidRPr="007528E0">
              <w:rPr>
                <w:rFonts w:ascii="Arial" w:eastAsia="Calibri" w:hAnsi="Arial" w:cs="Arial"/>
                <w:b/>
                <w:color w:val="auto"/>
                <w:sz w:val="20"/>
                <w:szCs w:val="20"/>
                <w:lang w:val="es-CO" w:eastAsia="es-CO"/>
              </w:rPr>
              <w:t>Fórmula química</w:t>
            </w:r>
          </w:p>
        </w:tc>
        <w:tc>
          <w:tcPr>
            <w:tcW w:w="2268" w:type="dxa"/>
          </w:tcPr>
          <w:p w14:paraId="53E3D4BE" w14:textId="77777777" w:rsidR="0037398A" w:rsidRPr="007528E0" w:rsidRDefault="0037398A" w:rsidP="007528E0">
            <w:pPr>
              <w:pStyle w:val="Normal1"/>
              <w:spacing w:before="100" w:beforeAutospacing="1" w:after="100" w:afterAutospacing="1"/>
              <w:jc w:val="center"/>
              <w:rPr>
                <w:rFonts w:ascii="Arial" w:hAnsi="Arial" w:cs="Arial"/>
                <w:color w:val="auto"/>
                <w:sz w:val="20"/>
                <w:szCs w:val="20"/>
              </w:rPr>
            </w:pPr>
            <w:r w:rsidRPr="007528E0">
              <w:rPr>
                <w:rFonts w:ascii="Arial" w:eastAsia="Calibri" w:hAnsi="Arial" w:cs="Arial"/>
                <w:b/>
                <w:color w:val="auto"/>
                <w:sz w:val="20"/>
                <w:szCs w:val="20"/>
              </w:rPr>
              <w:t>Características y ejemplos</w:t>
            </w:r>
          </w:p>
        </w:tc>
        <w:tc>
          <w:tcPr>
            <w:tcW w:w="3567" w:type="dxa"/>
          </w:tcPr>
          <w:p w14:paraId="666563C0" w14:textId="77777777" w:rsidR="0037398A" w:rsidRPr="007528E0" w:rsidRDefault="0037398A" w:rsidP="007528E0">
            <w:pPr>
              <w:pStyle w:val="Normal1"/>
              <w:spacing w:before="100" w:beforeAutospacing="1" w:after="100" w:afterAutospacing="1"/>
              <w:jc w:val="center"/>
              <w:rPr>
                <w:rFonts w:ascii="Arial" w:hAnsi="Arial" w:cs="Arial"/>
                <w:color w:val="auto"/>
                <w:sz w:val="20"/>
                <w:szCs w:val="20"/>
              </w:rPr>
            </w:pPr>
            <w:r w:rsidRPr="007528E0">
              <w:rPr>
                <w:rFonts w:ascii="Arial" w:eastAsia="Calibri" w:hAnsi="Arial" w:cs="Arial"/>
                <w:b/>
                <w:color w:val="auto"/>
                <w:sz w:val="20"/>
                <w:szCs w:val="20"/>
              </w:rPr>
              <w:t>Fuentes de exposición</w:t>
            </w:r>
          </w:p>
        </w:tc>
      </w:tr>
      <w:tr w:rsidR="007528E0" w:rsidRPr="007528E0" w14:paraId="481C6F0D" w14:textId="77777777" w:rsidTr="007528E0">
        <w:tc>
          <w:tcPr>
            <w:tcW w:w="1668" w:type="dxa"/>
          </w:tcPr>
          <w:p w14:paraId="43B90E96" w14:textId="77777777" w:rsidR="0037398A" w:rsidRPr="007528E0" w:rsidRDefault="0037398A" w:rsidP="007528E0">
            <w:pPr>
              <w:pStyle w:val="Normal1"/>
              <w:spacing w:before="100" w:beforeAutospacing="1" w:after="100" w:afterAutospacing="1"/>
              <w:rPr>
                <w:rFonts w:ascii="Arial" w:hAnsi="Arial" w:cs="Arial"/>
                <w:color w:val="auto"/>
                <w:sz w:val="20"/>
                <w:szCs w:val="20"/>
              </w:rPr>
            </w:pPr>
            <w:r w:rsidRPr="007528E0">
              <w:rPr>
                <w:rFonts w:ascii="Arial" w:eastAsia="Calibri" w:hAnsi="Arial" w:cs="Arial"/>
                <w:b/>
                <w:color w:val="auto"/>
                <w:sz w:val="20"/>
                <w:szCs w:val="20"/>
              </w:rPr>
              <w:t>Mercurio elemental</w:t>
            </w:r>
          </w:p>
        </w:tc>
        <w:tc>
          <w:tcPr>
            <w:tcW w:w="1701" w:type="dxa"/>
          </w:tcPr>
          <w:p w14:paraId="2D7178CB" w14:textId="77777777" w:rsidR="0037398A" w:rsidRPr="007528E0" w:rsidRDefault="0037398A" w:rsidP="007528E0">
            <w:pPr>
              <w:pStyle w:val="Normal1"/>
              <w:spacing w:before="100" w:beforeAutospacing="1" w:after="100" w:afterAutospacing="1"/>
              <w:jc w:val="both"/>
              <w:rPr>
                <w:rFonts w:ascii="Arial" w:hAnsi="Arial" w:cs="Arial"/>
                <w:color w:val="auto"/>
                <w:sz w:val="20"/>
                <w:szCs w:val="20"/>
              </w:rPr>
            </w:pPr>
            <w:r w:rsidRPr="007528E0">
              <w:rPr>
                <w:rFonts w:ascii="Arial" w:eastAsia="Calibri" w:hAnsi="Arial" w:cs="Arial"/>
                <w:color w:val="auto"/>
                <w:sz w:val="20"/>
                <w:szCs w:val="20"/>
              </w:rPr>
              <w:t>Hg</w:t>
            </w:r>
            <w:r w:rsidRPr="007528E0">
              <w:rPr>
                <w:rFonts w:ascii="Arial" w:eastAsia="Calibri" w:hAnsi="Arial" w:cs="Arial"/>
                <w:color w:val="auto"/>
                <w:sz w:val="20"/>
                <w:szCs w:val="20"/>
                <w:vertAlign w:val="superscript"/>
              </w:rPr>
              <w:t>0</w:t>
            </w:r>
          </w:p>
        </w:tc>
        <w:tc>
          <w:tcPr>
            <w:tcW w:w="2268" w:type="dxa"/>
          </w:tcPr>
          <w:p w14:paraId="7533D797" w14:textId="77777777" w:rsidR="0037398A" w:rsidRPr="007528E0" w:rsidRDefault="0037398A" w:rsidP="007528E0">
            <w:pPr>
              <w:pStyle w:val="Normal1"/>
              <w:spacing w:before="100" w:beforeAutospacing="1" w:after="100" w:afterAutospacing="1"/>
              <w:jc w:val="both"/>
              <w:rPr>
                <w:rFonts w:ascii="Arial" w:hAnsi="Arial" w:cs="Arial"/>
                <w:color w:val="auto"/>
                <w:sz w:val="20"/>
                <w:szCs w:val="20"/>
              </w:rPr>
            </w:pPr>
            <w:r w:rsidRPr="007528E0">
              <w:rPr>
                <w:rFonts w:ascii="Arial" w:eastAsia="Calibri" w:hAnsi="Arial" w:cs="Arial"/>
                <w:color w:val="auto"/>
                <w:sz w:val="20"/>
                <w:szCs w:val="20"/>
              </w:rPr>
              <w:t>Líquido y emite vapores a temperatura ambiente - Azogue</w:t>
            </w:r>
          </w:p>
        </w:tc>
        <w:tc>
          <w:tcPr>
            <w:tcW w:w="3567" w:type="dxa"/>
          </w:tcPr>
          <w:p w14:paraId="60E29F82" w14:textId="77777777" w:rsidR="0037398A" w:rsidRPr="007528E0" w:rsidRDefault="0037398A" w:rsidP="007528E0">
            <w:pPr>
              <w:pStyle w:val="Normal1"/>
              <w:spacing w:before="100" w:beforeAutospacing="1" w:after="100" w:afterAutospacing="1"/>
              <w:jc w:val="both"/>
              <w:rPr>
                <w:rFonts w:ascii="Arial" w:hAnsi="Arial" w:cs="Arial"/>
                <w:color w:val="auto"/>
                <w:sz w:val="20"/>
                <w:szCs w:val="20"/>
              </w:rPr>
            </w:pPr>
            <w:r w:rsidRPr="007528E0">
              <w:rPr>
                <w:rFonts w:ascii="Arial" w:eastAsia="Calibri" w:hAnsi="Arial" w:cs="Arial"/>
                <w:color w:val="auto"/>
                <w:sz w:val="20"/>
                <w:szCs w:val="20"/>
              </w:rPr>
              <w:t>Medio ocupacional: en la minería se utiliza en la extracción y purificación del oro (proceso denominado amalgamación: mezcla de mercurio con oro que posteriormente se somete a fundición liberando vapores de mercurio).</w:t>
            </w:r>
          </w:p>
          <w:p w14:paraId="710E2E8B" w14:textId="77777777" w:rsidR="0037398A" w:rsidRPr="007528E0" w:rsidRDefault="0037398A" w:rsidP="007528E0">
            <w:pPr>
              <w:pStyle w:val="Normal1"/>
              <w:spacing w:before="100" w:beforeAutospacing="1" w:after="100" w:afterAutospacing="1"/>
              <w:jc w:val="both"/>
              <w:rPr>
                <w:rFonts w:ascii="Arial" w:hAnsi="Arial" w:cs="Arial"/>
                <w:color w:val="auto"/>
                <w:sz w:val="20"/>
                <w:szCs w:val="20"/>
              </w:rPr>
            </w:pPr>
            <w:r w:rsidRPr="007528E0">
              <w:rPr>
                <w:rFonts w:ascii="Arial" w:eastAsia="Calibri" w:hAnsi="Arial" w:cs="Arial"/>
                <w:color w:val="auto"/>
                <w:sz w:val="20"/>
                <w:szCs w:val="20"/>
              </w:rPr>
              <w:t xml:space="preserve">Otras fuentes de exposición son:  barómetros, baterías, células semiconductoras, producción de pulpa de papel, fotografía, amalgamas dentales, galvanoplastia, producción de soda cáustica, instrumentos de calibración, lámparas de neón, pinturas, manómetros, detectores infrarrojos, termómetros, lámparas fluorescentes </w:t>
            </w:r>
          </w:p>
        </w:tc>
      </w:tr>
      <w:tr w:rsidR="007528E0" w:rsidRPr="007528E0" w14:paraId="6B08752F" w14:textId="77777777" w:rsidTr="007528E0">
        <w:tc>
          <w:tcPr>
            <w:tcW w:w="1668" w:type="dxa"/>
          </w:tcPr>
          <w:p w14:paraId="05DD1693" w14:textId="77777777" w:rsidR="0037398A" w:rsidRPr="007528E0" w:rsidRDefault="0037398A" w:rsidP="007528E0">
            <w:pPr>
              <w:pStyle w:val="Normal1"/>
              <w:spacing w:before="100" w:beforeAutospacing="1" w:after="100" w:afterAutospacing="1"/>
              <w:rPr>
                <w:rFonts w:ascii="Arial" w:hAnsi="Arial" w:cs="Arial"/>
                <w:color w:val="auto"/>
                <w:sz w:val="20"/>
                <w:szCs w:val="20"/>
              </w:rPr>
            </w:pPr>
            <w:r w:rsidRPr="007528E0">
              <w:rPr>
                <w:rFonts w:ascii="Arial" w:eastAsia="Calibri" w:hAnsi="Arial" w:cs="Arial"/>
                <w:b/>
                <w:color w:val="auto"/>
                <w:sz w:val="20"/>
                <w:szCs w:val="20"/>
              </w:rPr>
              <w:t>Sales de mercurio inorgánico</w:t>
            </w:r>
          </w:p>
        </w:tc>
        <w:tc>
          <w:tcPr>
            <w:tcW w:w="1701" w:type="dxa"/>
          </w:tcPr>
          <w:p w14:paraId="0DB7B882" w14:textId="77777777" w:rsidR="0037398A" w:rsidRPr="007528E0" w:rsidRDefault="0037398A" w:rsidP="007528E0">
            <w:pPr>
              <w:pStyle w:val="Normal1"/>
              <w:spacing w:before="100" w:beforeAutospacing="1" w:after="100" w:afterAutospacing="1"/>
              <w:rPr>
                <w:rFonts w:ascii="Arial" w:hAnsi="Arial" w:cs="Arial"/>
                <w:color w:val="auto"/>
                <w:sz w:val="20"/>
                <w:szCs w:val="20"/>
              </w:rPr>
            </w:pPr>
            <w:r w:rsidRPr="007528E0">
              <w:rPr>
                <w:rFonts w:ascii="Arial" w:eastAsia="Calibri" w:hAnsi="Arial" w:cs="Arial"/>
                <w:color w:val="auto"/>
                <w:sz w:val="20"/>
                <w:szCs w:val="20"/>
              </w:rPr>
              <w:t>Hg</w:t>
            </w:r>
            <w:r w:rsidRPr="007528E0">
              <w:rPr>
                <w:rFonts w:ascii="Arial" w:eastAsia="Calibri" w:hAnsi="Arial" w:cs="Arial"/>
                <w:color w:val="auto"/>
                <w:sz w:val="20"/>
                <w:szCs w:val="20"/>
                <w:vertAlign w:val="superscript"/>
              </w:rPr>
              <w:t>+</w:t>
            </w:r>
          </w:p>
          <w:p w14:paraId="5C2E020E" w14:textId="77777777" w:rsidR="0037398A" w:rsidRPr="007528E0" w:rsidRDefault="0037398A" w:rsidP="007528E0">
            <w:pPr>
              <w:pStyle w:val="Normal1"/>
              <w:spacing w:before="100" w:beforeAutospacing="1" w:after="100" w:afterAutospacing="1"/>
              <w:rPr>
                <w:rFonts w:ascii="Arial" w:eastAsia="Calibri" w:hAnsi="Arial" w:cs="Arial"/>
                <w:color w:val="auto"/>
                <w:sz w:val="20"/>
                <w:szCs w:val="20"/>
              </w:rPr>
            </w:pPr>
          </w:p>
          <w:p w14:paraId="6C11C114" w14:textId="77777777" w:rsidR="0037398A" w:rsidRPr="007528E0" w:rsidRDefault="0037398A" w:rsidP="007528E0">
            <w:pPr>
              <w:pStyle w:val="Normal1"/>
              <w:spacing w:before="100" w:beforeAutospacing="1" w:after="100" w:afterAutospacing="1"/>
              <w:rPr>
                <w:rFonts w:ascii="Arial" w:eastAsia="Calibri" w:hAnsi="Arial" w:cs="Arial"/>
                <w:color w:val="auto"/>
                <w:sz w:val="20"/>
                <w:szCs w:val="20"/>
              </w:rPr>
            </w:pPr>
          </w:p>
          <w:p w14:paraId="00290EFC" w14:textId="77777777" w:rsidR="0037398A" w:rsidRPr="007528E0" w:rsidRDefault="0037398A" w:rsidP="007528E0">
            <w:pPr>
              <w:pStyle w:val="Normal1"/>
              <w:spacing w:before="100" w:beforeAutospacing="1" w:after="100" w:afterAutospacing="1"/>
              <w:rPr>
                <w:rFonts w:ascii="Arial" w:eastAsia="Calibri" w:hAnsi="Arial" w:cs="Arial"/>
                <w:color w:val="auto"/>
                <w:sz w:val="20"/>
                <w:szCs w:val="20"/>
              </w:rPr>
            </w:pPr>
          </w:p>
          <w:p w14:paraId="4230909F" w14:textId="77777777" w:rsidR="0037398A" w:rsidRPr="007528E0" w:rsidRDefault="0037398A" w:rsidP="007528E0">
            <w:pPr>
              <w:pStyle w:val="Normal1"/>
              <w:spacing w:before="100" w:beforeAutospacing="1" w:after="100" w:afterAutospacing="1"/>
              <w:rPr>
                <w:rFonts w:ascii="Arial" w:eastAsia="Calibri" w:hAnsi="Arial" w:cs="Arial"/>
                <w:color w:val="auto"/>
                <w:sz w:val="20"/>
                <w:szCs w:val="20"/>
              </w:rPr>
            </w:pPr>
          </w:p>
          <w:p w14:paraId="5C28EAA5" w14:textId="77777777" w:rsidR="0037398A" w:rsidRPr="007528E0" w:rsidRDefault="0037398A" w:rsidP="007528E0">
            <w:pPr>
              <w:pStyle w:val="Normal1"/>
              <w:spacing w:before="100" w:beforeAutospacing="1" w:after="100" w:afterAutospacing="1"/>
              <w:rPr>
                <w:rFonts w:ascii="Arial" w:eastAsia="Calibri" w:hAnsi="Arial" w:cs="Arial"/>
                <w:color w:val="auto"/>
                <w:sz w:val="20"/>
                <w:szCs w:val="20"/>
              </w:rPr>
            </w:pPr>
          </w:p>
          <w:p w14:paraId="28BE9DB9" w14:textId="77777777" w:rsidR="0037398A" w:rsidRPr="007528E0" w:rsidRDefault="0037398A" w:rsidP="007528E0">
            <w:pPr>
              <w:pStyle w:val="Normal1"/>
              <w:spacing w:before="100" w:beforeAutospacing="1" w:after="100" w:afterAutospacing="1"/>
              <w:rPr>
                <w:rFonts w:ascii="Arial" w:hAnsi="Arial" w:cs="Arial"/>
                <w:color w:val="auto"/>
                <w:sz w:val="20"/>
                <w:szCs w:val="20"/>
              </w:rPr>
            </w:pPr>
            <w:r w:rsidRPr="007528E0">
              <w:rPr>
                <w:rFonts w:ascii="Arial" w:eastAsia="Calibri" w:hAnsi="Arial" w:cs="Arial"/>
                <w:color w:val="auto"/>
                <w:sz w:val="20"/>
                <w:szCs w:val="20"/>
              </w:rPr>
              <w:t>Hg</w:t>
            </w:r>
            <w:r w:rsidRPr="007528E0">
              <w:rPr>
                <w:rFonts w:ascii="Arial" w:eastAsia="Calibri" w:hAnsi="Arial" w:cs="Arial"/>
                <w:color w:val="auto"/>
                <w:sz w:val="20"/>
                <w:szCs w:val="20"/>
                <w:vertAlign w:val="superscript"/>
              </w:rPr>
              <w:t>2+</w:t>
            </w:r>
          </w:p>
          <w:p w14:paraId="33B59D9F" w14:textId="77777777" w:rsidR="0037398A" w:rsidRPr="007528E0" w:rsidRDefault="0037398A" w:rsidP="007528E0">
            <w:pPr>
              <w:pStyle w:val="Normal1"/>
              <w:spacing w:before="100" w:beforeAutospacing="1" w:after="100" w:afterAutospacing="1"/>
              <w:rPr>
                <w:rFonts w:ascii="Arial" w:hAnsi="Arial" w:cs="Arial"/>
                <w:color w:val="auto"/>
                <w:sz w:val="20"/>
                <w:szCs w:val="20"/>
              </w:rPr>
            </w:pPr>
            <w:proofErr w:type="spellStart"/>
            <w:r w:rsidRPr="007528E0">
              <w:rPr>
                <w:rFonts w:ascii="Arial" w:eastAsia="Calibri" w:hAnsi="Arial" w:cs="Arial"/>
                <w:color w:val="auto"/>
                <w:sz w:val="20"/>
                <w:szCs w:val="20"/>
              </w:rPr>
              <w:t>HgCl</w:t>
            </w:r>
            <w:proofErr w:type="spellEnd"/>
          </w:p>
          <w:p w14:paraId="596CA750" w14:textId="77777777" w:rsidR="0037398A" w:rsidRPr="007528E0" w:rsidRDefault="0037398A" w:rsidP="007528E0">
            <w:pPr>
              <w:pStyle w:val="Normal1"/>
              <w:spacing w:before="100" w:beforeAutospacing="1" w:after="100" w:afterAutospacing="1"/>
              <w:rPr>
                <w:rFonts w:ascii="Arial" w:hAnsi="Arial" w:cs="Arial"/>
                <w:color w:val="auto"/>
                <w:sz w:val="20"/>
                <w:szCs w:val="20"/>
              </w:rPr>
            </w:pPr>
            <w:r w:rsidRPr="007528E0">
              <w:rPr>
                <w:rFonts w:ascii="Arial" w:eastAsia="Calibri" w:hAnsi="Arial" w:cs="Arial"/>
                <w:color w:val="auto"/>
                <w:sz w:val="20"/>
                <w:szCs w:val="20"/>
              </w:rPr>
              <w:lastRenderedPageBreak/>
              <w:t>HgCl</w:t>
            </w:r>
            <w:r w:rsidRPr="007528E0">
              <w:rPr>
                <w:rFonts w:ascii="Arial" w:eastAsia="Calibri" w:hAnsi="Arial" w:cs="Arial"/>
                <w:color w:val="auto"/>
                <w:sz w:val="20"/>
                <w:szCs w:val="20"/>
                <w:vertAlign w:val="subscript"/>
              </w:rPr>
              <w:t>2</w:t>
            </w:r>
          </w:p>
        </w:tc>
        <w:tc>
          <w:tcPr>
            <w:tcW w:w="2268" w:type="dxa"/>
          </w:tcPr>
          <w:p w14:paraId="385B9E00" w14:textId="77777777" w:rsidR="0037398A" w:rsidRPr="007528E0" w:rsidRDefault="0037398A" w:rsidP="007528E0">
            <w:pPr>
              <w:pStyle w:val="Normal1"/>
              <w:spacing w:before="100" w:beforeAutospacing="1" w:after="100" w:afterAutospacing="1"/>
              <w:jc w:val="both"/>
              <w:rPr>
                <w:rFonts w:ascii="Arial" w:hAnsi="Arial" w:cs="Arial"/>
                <w:color w:val="auto"/>
                <w:sz w:val="20"/>
                <w:szCs w:val="20"/>
              </w:rPr>
            </w:pPr>
            <w:r w:rsidRPr="007528E0">
              <w:rPr>
                <w:rFonts w:ascii="Arial" w:eastAsia="Calibri" w:hAnsi="Arial" w:cs="Arial"/>
                <w:color w:val="auto"/>
                <w:sz w:val="20"/>
                <w:szCs w:val="20"/>
              </w:rPr>
              <w:lastRenderedPageBreak/>
              <w:t>Las sales mercúricas tienen aún muchas aplicaciones industriales y la descarga de residuos industriales en ríos ha introducido el mercurio en el entorno de diversas zonas del mundo</w:t>
            </w:r>
            <w:r w:rsidRPr="007528E0">
              <w:rPr>
                <w:rFonts w:ascii="Arial" w:eastAsia="Calibri" w:hAnsi="Arial" w:cs="Arial"/>
                <w:color w:val="auto"/>
                <w:sz w:val="20"/>
                <w:szCs w:val="20"/>
              </w:rPr>
              <w:fldChar w:fldCharType="begin"/>
            </w:r>
            <w:r w:rsidRPr="007528E0">
              <w:rPr>
                <w:rFonts w:ascii="Arial" w:eastAsia="Calibri" w:hAnsi="Arial" w:cs="Arial"/>
                <w:color w:val="auto"/>
                <w:sz w:val="20"/>
                <w:szCs w:val="20"/>
              </w:rPr>
              <w:instrText xml:space="preserve"> ADDIN EN.CITE &lt;EndNote&gt;&lt;Cite&gt;&lt;Author&gt;Harada M&lt;/Author&gt;&lt;Year&gt;1999&lt;/Year&gt;&lt;RecNum&gt;2495&lt;/RecNum&gt;&lt;DisplayText&gt;(29)&lt;/DisplayText&gt;&lt;record&gt;&lt;rec-number&gt;2495&lt;/rec-number&gt;&lt;foreign-keys&gt;&lt;key app="EN" db-id="009rpx2x4zssace5atw5zppkzpwrsdtvxpdr"&gt;2495&lt;/key&gt;&lt;/foreign-keys&gt;&lt;ref-type name="Journal Article"&gt;17&lt;/ref-type&gt;&lt;contributors&gt;&lt;authors&gt;&lt;author&gt;Harada M, &lt;/author&gt;&lt;author&gt;Nakachi  S, &lt;/author&gt;&lt;author&gt;Cheu T, &lt;/author&gt;&lt;author&gt;Hamada H, &lt;/author&gt;&lt;author&gt;Ono Y, &lt;/author&gt;&lt;author&gt;Tsuda T, &lt;/author&gt;&lt;author&gt;Yanagida K, &lt;/author&gt;&lt;author&gt;Kizaki T, &lt;/author&gt;&lt;author&gt;Ohno H.&lt;/author&gt;&lt;/authors&gt;&lt;/contributors&gt;&lt;titles&gt;&lt;title&gt;Monitoring of mercury pollution in Tanzania: relation between head hair mercury and health&lt;/title&gt;&lt;secondary-title&gt;Sci Total Environment&lt;/secondary-title&gt;&lt;/titles&gt;&lt;periodical&gt;&lt;full-title&gt;Sci Total Environment&lt;/full-title&gt;&lt;/periodical&gt;&lt;pages&gt;249-256&lt;/pages&gt;&lt;volume&gt;227&lt;/volume&gt;&lt;dates&gt;&lt;year&gt;1999&lt;/year&gt;&lt;/dates&gt;&lt;urls&gt;&lt;/urls&gt;&lt;/record&gt;&lt;/Cite&gt;&lt;/EndNote&gt;</w:instrText>
            </w:r>
            <w:r w:rsidRPr="007528E0">
              <w:rPr>
                <w:rFonts w:ascii="Arial" w:eastAsia="Calibri" w:hAnsi="Arial" w:cs="Arial"/>
                <w:color w:val="auto"/>
                <w:sz w:val="20"/>
                <w:szCs w:val="20"/>
              </w:rPr>
              <w:fldChar w:fldCharType="separate"/>
            </w:r>
            <w:r w:rsidRPr="007528E0">
              <w:rPr>
                <w:rFonts w:ascii="Arial" w:eastAsia="Calibri" w:hAnsi="Arial" w:cs="Arial"/>
                <w:color w:val="auto"/>
                <w:sz w:val="20"/>
                <w:szCs w:val="20"/>
              </w:rPr>
              <w:t>[65]</w:t>
            </w:r>
            <w:r w:rsidRPr="007528E0">
              <w:rPr>
                <w:rFonts w:ascii="Arial" w:eastAsia="Calibri" w:hAnsi="Arial" w:cs="Arial"/>
                <w:color w:val="auto"/>
                <w:sz w:val="20"/>
                <w:szCs w:val="20"/>
              </w:rPr>
              <w:fldChar w:fldCharType="end"/>
            </w:r>
            <w:r w:rsidRPr="007528E0">
              <w:rPr>
                <w:rFonts w:ascii="Arial" w:eastAsia="Calibri" w:hAnsi="Arial" w:cs="Arial"/>
                <w:color w:val="auto"/>
                <w:sz w:val="20"/>
                <w:szCs w:val="20"/>
              </w:rPr>
              <w:t>.</w:t>
            </w:r>
          </w:p>
          <w:p w14:paraId="2DC93C18" w14:textId="77777777" w:rsidR="0037398A" w:rsidRPr="007528E0" w:rsidRDefault="0037398A" w:rsidP="007528E0">
            <w:pPr>
              <w:pStyle w:val="Normal1"/>
              <w:spacing w:before="100" w:beforeAutospacing="1" w:after="100" w:afterAutospacing="1"/>
              <w:rPr>
                <w:rFonts w:ascii="Arial" w:hAnsi="Arial" w:cs="Arial"/>
                <w:color w:val="auto"/>
                <w:sz w:val="20"/>
                <w:szCs w:val="20"/>
              </w:rPr>
            </w:pPr>
          </w:p>
          <w:p w14:paraId="1C13333F" w14:textId="77777777" w:rsidR="0037398A" w:rsidRPr="007528E0" w:rsidRDefault="0037398A" w:rsidP="007528E0">
            <w:pPr>
              <w:pStyle w:val="Normal1"/>
              <w:spacing w:before="100" w:beforeAutospacing="1" w:after="100" w:afterAutospacing="1"/>
              <w:jc w:val="both"/>
              <w:rPr>
                <w:rFonts w:ascii="Arial" w:hAnsi="Arial" w:cs="Arial"/>
                <w:color w:val="auto"/>
                <w:sz w:val="20"/>
                <w:szCs w:val="20"/>
              </w:rPr>
            </w:pPr>
            <w:r w:rsidRPr="007528E0">
              <w:rPr>
                <w:rFonts w:ascii="Arial" w:eastAsia="Calibri" w:hAnsi="Arial" w:cs="Arial"/>
                <w:color w:val="auto"/>
                <w:sz w:val="20"/>
                <w:szCs w:val="20"/>
              </w:rPr>
              <w:t>Ion mercurioso</w:t>
            </w:r>
          </w:p>
          <w:p w14:paraId="27A1B927" w14:textId="77777777" w:rsidR="0037398A" w:rsidRPr="007528E0" w:rsidRDefault="0037398A" w:rsidP="007528E0">
            <w:pPr>
              <w:pStyle w:val="Normal1"/>
              <w:spacing w:before="100" w:beforeAutospacing="1" w:after="100" w:afterAutospacing="1"/>
              <w:jc w:val="both"/>
              <w:rPr>
                <w:rFonts w:ascii="Arial" w:hAnsi="Arial" w:cs="Arial"/>
                <w:color w:val="auto"/>
                <w:sz w:val="20"/>
                <w:szCs w:val="20"/>
              </w:rPr>
            </w:pPr>
            <w:r w:rsidRPr="007528E0">
              <w:rPr>
                <w:rFonts w:ascii="Arial" w:eastAsia="Calibri" w:hAnsi="Arial" w:cs="Arial"/>
                <w:color w:val="auto"/>
                <w:sz w:val="20"/>
                <w:szCs w:val="20"/>
              </w:rPr>
              <w:t>Ion mercúrico</w:t>
            </w:r>
          </w:p>
          <w:p w14:paraId="0248C8AA" w14:textId="77777777" w:rsidR="0037398A" w:rsidRPr="007528E0" w:rsidRDefault="0037398A" w:rsidP="007528E0">
            <w:pPr>
              <w:pStyle w:val="Normal1"/>
              <w:spacing w:before="100" w:beforeAutospacing="1" w:after="100" w:afterAutospacing="1"/>
              <w:jc w:val="both"/>
              <w:rPr>
                <w:rFonts w:ascii="Arial" w:hAnsi="Arial" w:cs="Arial"/>
                <w:color w:val="auto"/>
                <w:sz w:val="20"/>
                <w:szCs w:val="20"/>
              </w:rPr>
            </w:pPr>
            <w:r w:rsidRPr="007528E0">
              <w:rPr>
                <w:rFonts w:ascii="Arial" w:eastAsia="Calibri" w:hAnsi="Arial" w:cs="Arial"/>
                <w:color w:val="auto"/>
                <w:sz w:val="20"/>
                <w:szCs w:val="20"/>
              </w:rPr>
              <w:lastRenderedPageBreak/>
              <w:t>Cloruro mercurioso</w:t>
            </w:r>
          </w:p>
          <w:p w14:paraId="3D46DDC7" w14:textId="77777777" w:rsidR="0037398A" w:rsidRPr="007528E0" w:rsidRDefault="0037398A" w:rsidP="007528E0">
            <w:pPr>
              <w:pStyle w:val="Normal1"/>
              <w:spacing w:before="100" w:beforeAutospacing="1" w:after="100" w:afterAutospacing="1"/>
              <w:jc w:val="both"/>
              <w:rPr>
                <w:rFonts w:ascii="Arial" w:eastAsia="Calibri" w:hAnsi="Arial" w:cs="Arial"/>
                <w:color w:val="auto"/>
                <w:sz w:val="20"/>
                <w:szCs w:val="20"/>
              </w:rPr>
            </w:pPr>
            <w:r w:rsidRPr="007528E0">
              <w:rPr>
                <w:rFonts w:ascii="Arial" w:eastAsia="Calibri" w:hAnsi="Arial" w:cs="Arial"/>
                <w:color w:val="auto"/>
                <w:sz w:val="20"/>
                <w:szCs w:val="20"/>
              </w:rPr>
              <w:t>Cloruro de mercurio</w:t>
            </w:r>
          </w:p>
          <w:p w14:paraId="62B6E1BA" w14:textId="77777777" w:rsidR="0037398A" w:rsidRPr="007528E0" w:rsidRDefault="0037398A" w:rsidP="007528E0">
            <w:pPr>
              <w:pStyle w:val="Normal1"/>
              <w:spacing w:before="100" w:beforeAutospacing="1" w:after="100" w:afterAutospacing="1"/>
              <w:jc w:val="both"/>
              <w:rPr>
                <w:rFonts w:ascii="Arial" w:hAnsi="Arial" w:cs="Arial"/>
                <w:color w:val="auto"/>
                <w:sz w:val="20"/>
                <w:szCs w:val="20"/>
              </w:rPr>
            </w:pPr>
            <w:r w:rsidRPr="007528E0">
              <w:rPr>
                <w:rFonts w:ascii="Arial" w:eastAsia="Calibri" w:hAnsi="Arial" w:cs="Arial"/>
                <w:color w:val="auto"/>
                <w:sz w:val="20"/>
                <w:szCs w:val="20"/>
              </w:rPr>
              <w:t>Vapores de mercurio producto de la quema de la amalgama</w:t>
            </w:r>
          </w:p>
        </w:tc>
        <w:tc>
          <w:tcPr>
            <w:tcW w:w="3567" w:type="dxa"/>
          </w:tcPr>
          <w:p w14:paraId="1CFE8386" w14:textId="77777777" w:rsidR="0037398A" w:rsidRPr="007528E0" w:rsidRDefault="0037398A" w:rsidP="007528E0">
            <w:pPr>
              <w:pStyle w:val="Normal1"/>
              <w:spacing w:before="100" w:beforeAutospacing="1" w:after="100" w:afterAutospacing="1"/>
              <w:jc w:val="both"/>
              <w:rPr>
                <w:rFonts w:ascii="Arial" w:hAnsi="Arial" w:cs="Arial"/>
                <w:color w:val="auto"/>
                <w:sz w:val="20"/>
                <w:szCs w:val="20"/>
              </w:rPr>
            </w:pPr>
            <w:r w:rsidRPr="007528E0">
              <w:rPr>
                <w:rFonts w:ascii="Arial" w:eastAsia="Calibri" w:hAnsi="Arial" w:cs="Arial"/>
                <w:color w:val="auto"/>
                <w:sz w:val="20"/>
                <w:szCs w:val="20"/>
              </w:rPr>
              <w:lastRenderedPageBreak/>
              <w:t>Conservantes de madera,  producción de acetaldehído, producción de cloruro de vinilo, desinfectantes, productos para embalsamado y taxidermia, cosméticos, tintas para  tatuajes, explosivos, laboratorios químicos, geles espermicidas, industria de la perfumería, plateado  de espejos, fabricación de sombreros, lámparas de vapor de mercurio, fabricación de tintas.</w:t>
            </w:r>
          </w:p>
        </w:tc>
      </w:tr>
      <w:tr w:rsidR="007528E0" w:rsidRPr="007528E0" w14:paraId="4371F3E1" w14:textId="77777777" w:rsidTr="007528E0">
        <w:tc>
          <w:tcPr>
            <w:tcW w:w="1668" w:type="dxa"/>
          </w:tcPr>
          <w:p w14:paraId="3E846D2F" w14:textId="77777777" w:rsidR="0037398A" w:rsidRPr="007528E0" w:rsidRDefault="0037398A" w:rsidP="007528E0">
            <w:pPr>
              <w:pStyle w:val="Normal1"/>
              <w:spacing w:before="100" w:beforeAutospacing="1" w:after="100" w:afterAutospacing="1"/>
              <w:jc w:val="both"/>
              <w:rPr>
                <w:rFonts w:ascii="Arial" w:hAnsi="Arial" w:cs="Arial"/>
                <w:color w:val="auto"/>
                <w:sz w:val="20"/>
                <w:szCs w:val="20"/>
              </w:rPr>
            </w:pPr>
            <w:r w:rsidRPr="007528E0">
              <w:rPr>
                <w:rFonts w:ascii="Arial" w:eastAsia="Calibri" w:hAnsi="Arial" w:cs="Arial"/>
                <w:b/>
                <w:color w:val="auto"/>
                <w:sz w:val="20"/>
                <w:szCs w:val="20"/>
              </w:rPr>
              <w:t>Compuestos de mercurio orgánico</w:t>
            </w:r>
          </w:p>
        </w:tc>
        <w:tc>
          <w:tcPr>
            <w:tcW w:w="1701" w:type="dxa"/>
          </w:tcPr>
          <w:p w14:paraId="795D6722" w14:textId="77777777" w:rsidR="0037398A" w:rsidRPr="007528E0" w:rsidRDefault="0037398A" w:rsidP="007528E0">
            <w:pPr>
              <w:pStyle w:val="Normal1"/>
              <w:spacing w:before="100" w:beforeAutospacing="1" w:after="100" w:afterAutospacing="1"/>
              <w:jc w:val="both"/>
              <w:rPr>
                <w:rFonts w:ascii="Arial" w:hAnsi="Arial" w:cs="Arial"/>
                <w:color w:val="auto"/>
                <w:sz w:val="20"/>
                <w:szCs w:val="20"/>
              </w:rPr>
            </w:pPr>
            <w:r w:rsidRPr="007528E0">
              <w:rPr>
                <w:rFonts w:ascii="Arial" w:eastAsia="Calibri" w:hAnsi="Arial" w:cs="Arial"/>
                <w:color w:val="auto"/>
                <w:sz w:val="20"/>
                <w:szCs w:val="20"/>
              </w:rPr>
              <w:t xml:space="preserve">Compuestos de cadena corta de </w:t>
            </w:r>
            <w:proofErr w:type="spellStart"/>
            <w:r w:rsidRPr="007528E0">
              <w:rPr>
                <w:rFonts w:ascii="Arial" w:eastAsia="Calibri" w:hAnsi="Arial" w:cs="Arial"/>
                <w:color w:val="auto"/>
                <w:sz w:val="20"/>
                <w:szCs w:val="20"/>
              </w:rPr>
              <w:t>alquilmercurio</w:t>
            </w:r>
            <w:proofErr w:type="spellEnd"/>
          </w:p>
          <w:p w14:paraId="0F4A72FF" w14:textId="77777777" w:rsidR="0037398A" w:rsidRPr="007528E0" w:rsidRDefault="0037398A" w:rsidP="007528E0">
            <w:pPr>
              <w:pStyle w:val="Normal1"/>
              <w:spacing w:before="100" w:beforeAutospacing="1" w:after="100" w:afterAutospacing="1"/>
              <w:jc w:val="both"/>
              <w:rPr>
                <w:rFonts w:ascii="Arial" w:hAnsi="Arial" w:cs="Arial"/>
                <w:color w:val="auto"/>
                <w:sz w:val="20"/>
                <w:szCs w:val="20"/>
              </w:rPr>
            </w:pPr>
            <w:r w:rsidRPr="007528E0">
              <w:rPr>
                <w:rFonts w:ascii="Arial" w:eastAsia="Calibri" w:hAnsi="Arial" w:cs="Arial"/>
                <w:color w:val="auto"/>
                <w:sz w:val="20"/>
                <w:szCs w:val="20"/>
              </w:rPr>
              <w:t xml:space="preserve">Compuestos de cadena larga de </w:t>
            </w:r>
            <w:proofErr w:type="spellStart"/>
            <w:r w:rsidRPr="007528E0">
              <w:rPr>
                <w:rFonts w:ascii="Arial" w:eastAsia="Calibri" w:hAnsi="Arial" w:cs="Arial"/>
                <w:color w:val="auto"/>
                <w:sz w:val="20"/>
                <w:szCs w:val="20"/>
              </w:rPr>
              <w:t>arilmercurio</w:t>
            </w:r>
            <w:proofErr w:type="spellEnd"/>
          </w:p>
        </w:tc>
        <w:tc>
          <w:tcPr>
            <w:tcW w:w="2268" w:type="dxa"/>
          </w:tcPr>
          <w:p w14:paraId="362A6CFD" w14:textId="77777777" w:rsidR="0037398A" w:rsidRPr="007528E0" w:rsidRDefault="0037398A" w:rsidP="007528E0">
            <w:pPr>
              <w:pStyle w:val="Normal1"/>
              <w:spacing w:before="100" w:beforeAutospacing="1" w:after="100" w:afterAutospacing="1"/>
              <w:jc w:val="both"/>
              <w:rPr>
                <w:rFonts w:ascii="Arial" w:hAnsi="Arial" w:cs="Arial"/>
                <w:color w:val="auto"/>
                <w:sz w:val="20"/>
                <w:szCs w:val="20"/>
              </w:rPr>
            </w:pPr>
            <w:r w:rsidRPr="007528E0">
              <w:rPr>
                <w:rFonts w:ascii="Arial" w:eastAsia="Calibri" w:hAnsi="Arial" w:cs="Arial"/>
                <w:color w:val="auto"/>
                <w:sz w:val="20"/>
                <w:szCs w:val="20"/>
              </w:rPr>
              <w:t xml:space="preserve">Metilmercurio, </w:t>
            </w:r>
            <w:proofErr w:type="spellStart"/>
            <w:r w:rsidRPr="007528E0">
              <w:rPr>
                <w:rFonts w:ascii="Arial" w:eastAsia="Calibri" w:hAnsi="Arial" w:cs="Arial"/>
                <w:color w:val="auto"/>
                <w:sz w:val="20"/>
                <w:szCs w:val="20"/>
              </w:rPr>
              <w:t>etilmercurio</w:t>
            </w:r>
            <w:proofErr w:type="spellEnd"/>
            <w:r w:rsidRPr="007528E0">
              <w:rPr>
                <w:rFonts w:ascii="Arial" w:eastAsia="Calibri" w:hAnsi="Arial" w:cs="Arial"/>
                <w:color w:val="auto"/>
                <w:sz w:val="20"/>
                <w:szCs w:val="20"/>
              </w:rPr>
              <w:t xml:space="preserve">, </w:t>
            </w:r>
            <w:proofErr w:type="spellStart"/>
            <w:r w:rsidRPr="007528E0">
              <w:rPr>
                <w:rFonts w:ascii="Arial" w:eastAsia="Calibri" w:hAnsi="Arial" w:cs="Arial"/>
                <w:color w:val="auto"/>
                <w:sz w:val="20"/>
                <w:szCs w:val="20"/>
              </w:rPr>
              <w:t>dimetilmercurio</w:t>
            </w:r>
            <w:proofErr w:type="spellEnd"/>
          </w:p>
          <w:p w14:paraId="14A40346" w14:textId="77777777" w:rsidR="0037398A" w:rsidRPr="007528E0" w:rsidRDefault="0037398A" w:rsidP="007528E0">
            <w:pPr>
              <w:pStyle w:val="Normal1"/>
              <w:spacing w:before="100" w:beforeAutospacing="1" w:after="100" w:afterAutospacing="1"/>
              <w:jc w:val="both"/>
              <w:rPr>
                <w:rFonts w:ascii="Arial" w:hAnsi="Arial" w:cs="Arial"/>
                <w:color w:val="auto"/>
                <w:sz w:val="20"/>
                <w:szCs w:val="20"/>
              </w:rPr>
            </w:pPr>
            <w:proofErr w:type="spellStart"/>
            <w:r w:rsidRPr="007528E0">
              <w:rPr>
                <w:rFonts w:ascii="Arial" w:eastAsia="Calibri" w:hAnsi="Arial" w:cs="Arial"/>
                <w:color w:val="auto"/>
                <w:sz w:val="20"/>
                <w:szCs w:val="20"/>
              </w:rPr>
              <w:t>Metoxietilmercurio</w:t>
            </w:r>
            <w:proofErr w:type="spellEnd"/>
            <w:r w:rsidRPr="007528E0">
              <w:rPr>
                <w:rFonts w:ascii="Arial" w:eastAsia="Calibri" w:hAnsi="Arial" w:cs="Arial"/>
                <w:color w:val="auto"/>
                <w:sz w:val="20"/>
                <w:szCs w:val="20"/>
              </w:rPr>
              <w:t xml:space="preserve">, </w:t>
            </w:r>
            <w:proofErr w:type="spellStart"/>
            <w:r w:rsidRPr="007528E0">
              <w:rPr>
                <w:rFonts w:ascii="Arial" w:eastAsia="Calibri" w:hAnsi="Arial" w:cs="Arial"/>
                <w:color w:val="auto"/>
                <w:sz w:val="20"/>
                <w:szCs w:val="20"/>
              </w:rPr>
              <w:t>fenilmercurio</w:t>
            </w:r>
            <w:proofErr w:type="spellEnd"/>
            <w:r w:rsidRPr="007528E0">
              <w:rPr>
                <w:rFonts w:ascii="Arial" w:eastAsia="Calibri" w:hAnsi="Arial" w:cs="Arial"/>
                <w:color w:val="auto"/>
                <w:sz w:val="20"/>
                <w:szCs w:val="20"/>
              </w:rPr>
              <w:fldChar w:fldCharType="begin"/>
            </w:r>
            <w:r w:rsidRPr="007528E0">
              <w:rPr>
                <w:rFonts w:ascii="Arial" w:eastAsia="Calibri" w:hAnsi="Arial" w:cs="Arial"/>
                <w:color w:val="auto"/>
                <w:sz w:val="20"/>
                <w:szCs w:val="20"/>
              </w:rPr>
              <w:instrText xml:space="preserve"> ADDIN EN.CITE &lt;EndNote&gt;&lt;Cite&gt;&lt;Author&gt;Young-Jin&lt;/Author&gt;&lt;Year&gt;2007&lt;/Year&gt;&lt;RecNum&gt;2496&lt;/RecNum&gt;&lt;DisplayText&gt;(31)&lt;/DisplayText&gt;&lt;record&gt;&lt;rec-number&gt;2496&lt;/rec-number&gt;&lt;foreign-keys&gt;&lt;key app="EN" db-id="009rpx2x4zssace5atw5zppkzpwrsdtvxpdr"&gt;2496&lt;/key&gt;&lt;/foreign-keys&gt;&lt;ref-type name="Electronic Book Section"&gt;60&lt;/ref-type&gt;&lt;contributors&gt;&lt;authors&gt;&lt;author&gt;Young-Jin, S. &lt;/author&gt;&lt;/authors&gt;&lt;/contributors&gt;&lt;titles&gt;&lt;title&gt;Mercury&lt;/title&gt;&lt;secondary-title&gt;Goldfrank´s toxicological emergencies &lt;/secondary-title&gt;&lt;/titles&gt;&lt;edition&gt;8th&lt;/edition&gt;&lt;dates&gt;&lt;year&gt;2007&lt;/year&gt;&lt;/dates&gt;&lt;pub-location&gt;United States of America&lt;/pub-location&gt;&lt;publisher&gt;McGraw – Hill&lt;/publisher&gt;&lt;isbn&gt;0-07-150957-7&lt;/isbn&gt;&lt;urls&gt;&lt;/urls&gt;&lt;electronic-resource-num&gt;10.1036/007144310X&lt;/electronic-resource-num&gt;&lt;/record&gt;&lt;/Cite&gt;&lt;/EndNote&gt;</w:instrText>
            </w:r>
            <w:r w:rsidRPr="007528E0">
              <w:rPr>
                <w:rFonts w:ascii="Arial" w:eastAsia="Calibri" w:hAnsi="Arial" w:cs="Arial"/>
                <w:color w:val="auto"/>
                <w:sz w:val="20"/>
                <w:szCs w:val="20"/>
              </w:rPr>
              <w:fldChar w:fldCharType="separate"/>
            </w:r>
            <w:r w:rsidRPr="007528E0">
              <w:rPr>
                <w:rFonts w:ascii="Arial" w:eastAsia="Calibri" w:hAnsi="Arial" w:cs="Arial"/>
                <w:color w:val="auto"/>
                <w:sz w:val="20"/>
                <w:szCs w:val="20"/>
              </w:rPr>
              <w:t>[67]</w:t>
            </w:r>
            <w:r w:rsidRPr="007528E0">
              <w:rPr>
                <w:rFonts w:ascii="Arial" w:eastAsia="Calibri" w:hAnsi="Arial" w:cs="Arial"/>
                <w:color w:val="auto"/>
                <w:sz w:val="20"/>
                <w:szCs w:val="20"/>
              </w:rPr>
              <w:fldChar w:fldCharType="end"/>
            </w:r>
            <w:r w:rsidRPr="007528E0">
              <w:rPr>
                <w:rFonts w:ascii="Arial" w:eastAsia="Calibri" w:hAnsi="Arial" w:cs="Arial"/>
                <w:color w:val="auto"/>
                <w:sz w:val="20"/>
                <w:szCs w:val="20"/>
              </w:rPr>
              <w:t>.</w:t>
            </w:r>
          </w:p>
        </w:tc>
        <w:tc>
          <w:tcPr>
            <w:tcW w:w="3567" w:type="dxa"/>
          </w:tcPr>
          <w:p w14:paraId="731E5457" w14:textId="77777777" w:rsidR="0037398A" w:rsidRPr="007528E0" w:rsidRDefault="0037398A" w:rsidP="007528E0">
            <w:pPr>
              <w:pStyle w:val="Normal1"/>
              <w:spacing w:before="100" w:beforeAutospacing="1" w:after="100" w:afterAutospacing="1"/>
              <w:jc w:val="both"/>
              <w:rPr>
                <w:rFonts w:ascii="Arial" w:hAnsi="Arial" w:cs="Arial"/>
                <w:color w:val="auto"/>
                <w:sz w:val="20"/>
                <w:szCs w:val="20"/>
              </w:rPr>
            </w:pPr>
            <w:r w:rsidRPr="007528E0">
              <w:rPr>
                <w:rFonts w:ascii="Arial" w:eastAsia="Calibri" w:hAnsi="Arial" w:cs="Arial"/>
                <w:color w:val="auto"/>
                <w:sz w:val="20"/>
                <w:szCs w:val="20"/>
              </w:rPr>
              <w:t>Antisépticos, agentes  bactericidas, productos para embalsamado, fungicidas, agentes  germicidas, insecticidas, servicios de lavandería,  conservantes  de semillas, conservantes para madera,  reactivos  para patología / histología, fabricación de papel.</w:t>
            </w:r>
          </w:p>
          <w:p w14:paraId="6D968B7C" w14:textId="77777777" w:rsidR="0037398A" w:rsidRPr="007528E0" w:rsidRDefault="0037398A" w:rsidP="007528E0">
            <w:pPr>
              <w:pStyle w:val="Normal1"/>
              <w:spacing w:before="100" w:beforeAutospacing="1" w:after="100" w:afterAutospacing="1"/>
              <w:rPr>
                <w:rFonts w:ascii="Arial" w:hAnsi="Arial" w:cs="Arial"/>
                <w:color w:val="auto"/>
                <w:sz w:val="20"/>
                <w:szCs w:val="20"/>
              </w:rPr>
            </w:pPr>
          </w:p>
        </w:tc>
      </w:tr>
    </w:tbl>
    <w:p w14:paraId="05A5E4DF" w14:textId="77777777" w:rsidR="0037398A" w:rsidRPr="007528E0" w:rsidRDefault="0037398A" w:rsidP="0037398A">
      <w:pPr>
        <w:spacing w:before="100" w:beforeAutospacing="1" w:after="100" w:afterAutospacing="1"/>
        <w:ind w:left="54"/>
        <w:jc w:val="center"/>
        <w:rPr>
          <w:rFonts w:eastAsia="Calibri" w:cs="Arial"/>
          <w:sz w:val="16"/>
          <w:szCs w:val="16"/>
        </w:rPr>
      </w:pPr>
      <w:r w:rsidRPr="007528E0">
        <w:rPr>
          <w:rFonts w:eastAsia="Calibri" w:cs="Arial"/>
          <w:noProof/>
          <w:sz w:val="16"/>
          <w:szCs w:val="16"/>
          <w:lang w:val="es-CO" w:eastAsia="es-CO"/>
        </w:rPr>
        <mc:AlternateContent>
          <mc:Choice Requires="wps">
            <w:drawing>
              <wp:anchor distT="0" distB="0" distL="114300" distR="114300" simplePos="0" relativeHeight="251661312" behindDoc="0" locked="0" layoutInCell="1" allowOverlap="1" wp14:anchorId="221A1F5F" wp14:editId="5F325634">
                <wp:simplePos x="0" y="0"/>
                <wp:positionH relativeFrom="column">
                  <wp:posOffset>10202545</wp:posOffset>
                </wp:positionH>
                <wp:positionV relativeFrom="paragraph">
                  <wp:posOffset>3168015</wp:posOffset>
                </wp:positionV>
                <wp:extent cx="1894205" cy="1118870"/>
                <wp:effectExtent l="5080" t="6350" r="5715" b="8255"/>
                <wp:wrapNone/>
                <wp:docPr id="16" name="Rectángulo: esquinas redondeadas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4205" cy="1118870"/>
                        </a:xfrm>
                        <a:prstGeom prst="roundRect">
                          <a:avLst>
                            <a:gd name="adj" fmla="val 16667"/>
                          </a:avLst>
                        </a:prstGeom>
                        <a:gradFill rotWithShape="1">
                          <a:gsLst>
                            <a:gs pos="0">
                              <a:srgbClr val="A8B7DF"/>
                            </a:gs>
                            <a:gs pos="50000">
                              <a:srgbClr val="9AABD9"/>
                            </a:gs>
                            <a:gs pos="100000">
                              <a:srgbClr val="879ED7"/>
                            </a:gs>
                          </a:gsLst>
                          <a:lin ang="5400000"/>
                        </a:gradFill>
                        <a:ln w="6350">
                          <a:solidFill>
                            <a:srgbClr val="4F81BD"/>
                          </a:solidFill>
                          <a:miter lim="800000"/>
                          <a:headEnd/>
                          <a:tailEnd/>
                        </a:ln>
                      </wps:spPr>
                      <wps:txbx>
                        <w:txbxContent>
                          <w:p w14:paraId="786E940D" w14:textId="77777777" w:rsidR="00F87462" w:rsidRDefault="00F87462" w:rsidP="0037398A">
                            <w:pPr>
                              <w:pStyle w:val="Prrafodelista"/>
                              <w:numPr>
                                <w:ilvl w:val="0"/>
                                <w:numId w:val="16"/>
                              </w:numPr>
                              <w:spacing w:after="0" w:line="240" w:lineRule="auto"/>
                              <w:jc w:val="left"/>
                              <w:textAlignment w:val="baseline"/>
                              <w:rPr>
                                <w:rFonts w:eastAsia="Times New Roman"/>
                                <w:sz w:val="18"/>
                              </w:rPr>
                            </w:pPr>
                            <w:r w:rsidRPr="000C1FD7">
                              <w:rPr>
                                <w:rFonts w:ascii="Calibri" w:hAnsi="Calibri"/>
                                <w:color w:val="000000"/>
                                <w:kern w:val="24"/>
                                <w:sz w:val="18"/>
                                <w:szCs w:val="18"/>
                              </w:rPr>
                              <w:t>Neurotoxicidad retardada (parestesias, ataxia, disartria, alteraciones visuales o auditivas o convulsiones).</w:t>
                            </w:r>
                          </w:p>
                          <w:p w14:paraId="4532B55A" w14:textId="77777777" w:rsidR="00F87462" w:rsidRDefault="00F87462" w:rsidP="0037398A">
                            <w:pPr>
                              <w:pStyle w:val="Prrafodelista"/>
                              <w:numPr>
                                <w:ilvl w:val="0"/>
                                <w:numId w:val="16"/>
                              </w:numPr>
                              <w:spacing w:after="0" w:line="240" w:lineRule="auto"/>
                              <w:jc w:val="left"/>
                              <w:textAlignment w:val="baseline"/>
                              <w:rPr>
                                <w:rFonts w:eastAsia="Times New Roman"/>
                                <w:sz w:val="18"/>
                              </w:rPr>
                            </w:pPr>
                            <w:r w:rsidRPr="000C1FD7">
                              <w:rPr>
                                <w:rFonts w:ascii="Calibri" w:hAnsi="Calibri"/>
                                <w:color w:val="000000"/>
                                <w:kern w:val="24"/>
                                <w:sz w:val="18"/>
                                <w:szCs w:val="18"/>
                              </w:rPr>
                              <w:t>Alteración tubular renal</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221A1F5F" id="Rectángulo: esquinas redondeadas 16" o:spid="_x0000_s1026" style="position:absolute;left:0;text-align:left;margin-left:803.35pt;margin-top:249.45pt;width:149.15pt;height:8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" fillcolor="#a8b7df" strokecolor="#4f81bd" strokeweight=".5pt">
                <v:fill color2="#879ed7" rotate="t" colors="0 #a8b7df;.5 #9aabd9;1 #879ed7" focus="100%" type="gradient">
                  <o:fill v:ext="view" type="gradientUnscaled"/>
                </v:fill>
                <v:stroke joinstyle="miter"/>
                <v:textbox>
                  <w:txbxContent>
                    <w:p w14:paraId="786E940D" w14:textId="77777777" w:rsidR="00F87462" w:rsidRDefault="00F87462" w:rsidP="0037398A">
                      <w:pPr>
                        <w:pStyle w:val="Prrafodelista"/>
                        <w:numPr>
                          <w:ilvl w:val="0"/>
                          <w:numId w:val="16"/>
                        </w:numPr>
                        <w:spacing w:after="0" w:line="240" w:lineRule="auto"/>
                        <w:jc w:val="left"/>
                        <w:textAlignment w:val="baseline"/>
                        <w:rPr>
                          <w:rFonts w:eastAsia="Times New Roman"/>
                          <w:sz w:val="18"/>
                        </w:rPr>
                      </w:pPr>
                      <w:r w:rsidRPr="000C1FD7">
                        <w:rPr>
                          <w:rFonts w:ascii="Calibri" w:hAnsi="Calibri"/>
                          <w:color w:val="000000"/>
                          <w:kern w:val="24"/>
                          <w:sz w:val="18"/>
                          <w:szCs w:val="18"/>
                        </w:rPr>
                        <w:t>Neurotoxicidad retardada (parestesias, ataxia, disartria, alteraciones visuales o auditivas o convulsiones).</w:t>
                      </w:r>
                    </w:p>
                    <w:p w14:paraId="4532B55A" w14:textId="77777777" w:rsidR="00F87462" w:rsidRDefault="00F87462" w:rsidP="0037398A">
                      <w:pPr>
                        <w:pStyle w:val="Prrafodelista"/>
                        <w:numPr>
                          <w:ilvl w:val="0"/>
                          <w:numId w:val="16"/>
                        </w:numPr>
                        <w:spacing w:after="0" w:line="240" w:lineRule="auto"/>
                        <w:jc w:val="left"/>
                        <w:textAlignment w:val="baseline"/>
                        <w:rPr>
                          <w:rFonts w:eastAsia="Times New Roman"/>
                          <w:sz w:val="18"/>
                        </w:rPr>
                      </w:pPr>
                      <w:r w:rsidRPr="000C1FD7">
                        <w:rPr>
                          <w:rFonts w:ascii="Calibri" w:hAnsi="Calibri"/>
                          <w:color w:val="000000"/>
                          <w:kern w:val="24"/>
                          <w:sz w:val="18"/>
                          <w:szCs w:val="18"/>
                        </w:rPr>
                        <w:t>Alteración tubular renal</w:t>
                      </w:r>
                    </w:p>
                  </w:txbxContent>
                </v:textbox>
              </v:roundrect>
            </w:pict>
          </mc:Fallback>
        </mc:AlternateContent>
      </w:r>
      <w:r w:rsidRPr="007528E0">
        <w:rPr>
          <w:rFonts w:eastAsia="Calibri" w:cs="Arial"/>
          <w:noProof/>
          <w:sz w:val="16"/>
          <w:szCs w:val="16"/>
          <w:lang w:val="es-CO" w:eastAsia="es-CO"/>
        </w:rPr>
        <mc:AlternateContent>
          <mc:Choice Requires="wps">
            <w:drawing>
              <wp:anchor distT="0" distB="0" distL="114300" distR="114300" simplePos="0" relativeHeight="251660288" behindDoc="0" locked="0" layoutInCell="1" allowOverlap="1" wp14:anchorId="2921E8CD" wp14:editId="14ECC722">
                <wp:simplePos x="0" y="0"/>
                <wp:positionH relativeFrom="column">
                  <wp:posOffset>10202545</wp:posOffset>
                </wp:positionH>
                <wp:positionV relativeFrom="paragraph">
                  <wp:posOffset>989330</wp:posOffset>
                </wp:positionV>
                <wp:extent cx="1866900" cy="1116330"/>
                <wp:effectExtent l="5080" t="8890" r="13970" b="8255"/>
                <wp:wrapNone/>
                <wp:docPr id="15" name="Rectángulo: esquinas redondeadas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6900" cy="1116330"/>
                        </a:xfrm>
                        <a:prstGeom prst="roundRect">
                          <a:avLst>
                            <a:gd name="adj" fmla="val 16667"/>
                          </a:avLst>
                        </a:prstGeom>
                        <a:gradFill rotWithShape="1">
                          <a:gsLst>
                            <a:gs pos="0">
                              <a:srgbClr val="A8B7DF"/>
                            </a:gs>
                            <a:gs pos="50000">
                              <a:srgbClr val="9AABD9"/>
                            </a:gs>
                            <a:gs pos="100000">
                              <a:srgbClr val="879ED7"/>
                            </a:gs>
                          </a:gsLst>
                          <a:lin ang="5400000"/>
                        </a:gradFill>
                        <a:ln w="6350">
                          <a:solidFill>
                            <a:srgbClr val="4F81BD"/>
                          </a:solidFill>
                          <a:miter lim="800000"/>
                          <a:headEnd/>
                          <a:tailEnd/>
                        </a:ln>
                      </wps:spPr>
                      <wps:txbx>
                        <w:txbxContent>
                          <w:p w14:paraId="2BC535FF" w14:textId="77777777" w:rsidR="00F87462" w:rsidRDefault="00F87462" w:rsidP="0037398A">
                            <w:pPr>
                              <w:pStyle w:val="Prrafodelista"/>
                              <w:numPr>
                                <w:ilvl w:val="0"/>
                                <w:numId w:val="15"/>
                              </w:numPr>
                              <w:spacing w:after="0" w:line="240" w:lineRule="auto"/>
                              <w:jc w:val="left"/>
                              <w:textAlignment w:val="baseline"/>
                              <w:rPr>
                                <w:rFonts w:eastAsia="Times New Roman"/>
                                <w:sz w:val="18"/>
                              </w:rPr>
                            </w:pPr>
                            <w:r w:rsidRPr="000C1FD7">
                              <w:rPr>
                                <w:rFonts w:ascii="Calibri" w:hAnsi="Calibri"/>
                                <w:color w:val="000000"/>
                                <w:kern w:val="24"/>
                                <w:sz w:val="18"/>
                                <w:szCs w:val="18"/>
                              </w:rPr>
                              <w:t>Síntomas tracto gastrointestinales agudos.</w:t>
                            </w:r>
                          </w:p>
                          <w:p w14:paraId="47B535C1" w14:textId="77777777" w:rsidR="00F87462" w:rsidRDefault="00F87462" w:rsidP="0037398A">
                            <w:pPr>
                              <w:pStyle w:val="Prrafodelista"/>
                              <w:numPr>
                                <w:ilvl w:val="0"/>
                                <w:numId w:val="15"/>
                              </w:numPr>
                              <w:spacing w:after="0" w:line="240" w:lineRule="auto"/>
                              <w:jc w:val="left"/>
                              <w:textAlignment w:val="baseline"/>
                              <w:rPr>
                                <w:rFonts w:eastAsia="Times New Roman"/>
                                <w:sz w:val="18"/>
                              </w:rPr>
                            </w:pPr>
                            <w:r w:rsidRPr="000C1FD7">
                              <w:rPr>
                                <w:rFonts w:ascii="Calibri" w:hAnsi="Calibri"/>
                                <w:color w:val="000000"/>
                                <w:kern w:val="24"/>
                                <w:sz w:val="18"/>
                                <w:szCs w:val="18"/>
                              </w:rPr>
                              <w:t>Temblor</w:t>
                            </w:r>
                          </w:p>
                          <w:p w14:paraId="0DDBF6D9" w14:textId="77777777" w:rsidR="00F87462" w:rsidRDefault="00F87462" w:rsidP="0037398A">
                            <w:pPr>
                              <w:pStyle w:val="Prrafodelista"/>
                              <w:numPr>
                                <w:ilvl w:val="0"/>
                                <w:numId w:val="15"/>
                              </w:numPr>
                              <w:spacing w:after="0" w:line="240" w:lineRule="auto"/>
                              <w:jc w:val="left"/>
                              <w:textAlignment w:val="baseline"/>
                              <w:rPr>
                                <w:rFonts w:eastAsia="Times New Roman"/>
                                <w:sz w:val="18"/>
                              </w:rPr>
                            </w:pPr>
                            <w:r w:rsidRPr="000C1FD7">
                              <w:rPr>
                                <w:rFonts w:ascii="Calibri" w:hAnsi="Calibri"/>
                                <w:color w:val="000000"/>
                                <w:kern w:val="24"/>
                                <w:sz w:val="18"/>
                                <w:szCs w:val="18"/>
                              </w:rPr>
                              <w:t>Dificultad respiratoria.</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2921E8CD" id="Rectángulo: esquinas redondeadas 15" o:spid="_x0000_s1027" style="position:absolute;left:0;text-align:left;margin-left:803.35pt;margin-top:77.9pt;width:147pt;height:87.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" fillcolor="#a8b7df" strokecolor="#4f81bd" strokeweight=".5pt">
                <v:fill color2="#879ed7" rotate="t" colors="0 #a8b7df;.5 #9aabd9;1 #879ed7" focus="100%" type="gradient">
                  <o:fill v:ext="view" type="gradientUnscaled"/>
                </v:fill>
                <v:stroke joinstyle="miter"/>
                <v:textbox>
                  <w:txbxContent>
                    <w:p w14:paraId="2BC535FF" w14:textId="77777777" w:rsidR="00F87462" w:rsidRDefault="00F87462" w:rsidP="0037398A">
                      <w:pPr>
                        <w:pStyle w:val="Prrafodelista"/>
                        <w:numPr>
                          <w:ilvl w:val="0"/>
                          <w:numId w:val="15"/>
                        </w:numPr>
                        <w:spacing w:after="0" w:line="240" w:lineRule="auto"/>
                        <w:jc w:val="left"/>
                        <w:textAlignment w:val="baseline"/>
                        <w:rPr>
                          <w:rFonts w:eastAsia="Times New Roman"/>
                          <w:sz w:val="18"/>
                        </w:rPr>
                      </w:pPr>
                      <w:r w:rsidRPr="000C1FD7">
                        <w:rPr>
                          <w:rFonts w:ascii="Calibri" w:hAnsi="Calibri"/>
                          <w:color w:val="000000"/>
                          <w:kern w:val="24"/>
                          <w:sz w:val="18"/>
                          <w:szCs w:val="18"/>
                        </w:rPr>
                        <w:t>Síntomas tracto gastrointestinales agudos.</w:t>
                      </w:r>
                    </w:p>
                    <w:p w14:paraId="47B535C1" w14:textId="77777777" w:rsidR="00F87462" w:rsidRDefault="00F87462" w:rsidP="0037398A">
                      <w:pPr>
                        <w:pStyle w:val="Prrafodelista"/>
                        <w:numPr>
                          <w:ilvl w:val="0"/>
                          <w:numId w:val="15"/>
                        </w:numPr>
                        <w:spacing w:after="0" w:line="240" w:lineRule="auto"/>
                        <w:jc w:val="left"/>
                        <w:textAlignment w:val="baseline"/>
                        <w:rPr>
                          <w:rFonts w:eastAsia="Times New Roman"/>
                          <w:sz w:val="18"/>
                        </w:rPr>
                      </w:pPr>
                      <w:r w:rsidRPr="000C1FD7">
                        <w:rPr>
                          <w:rFonts w:ascii="Calibri" w:hAnsi="Calibri"/>
                          <w:color w:val="000000"/>
                          <w:kern w:val="24"/>
                          <w:sz w:val="18"/>
                          <w:szCs w:val="18"/>
                        </w:rPr>
                        <w:t>Temblor</w:t>
                      </w:r>
                    </w:p>
                    <w:p w14:paraId="0DDBF6D9" w14:textId="77777777" w:rsidR="00F87462" w:rsidRDefault="00F87462" w:rsidP="0037398A">
                      <w:pPr>
                        <w:pStyle w:val="Prrafodelista"/>
                        <w:numPr>
                          <w:ilvl w:val="0"/>
                          <w:numId w:val="15"/>
                        </w:numPr>
                        <w:spacing w:after="0" w:line="240" w:lineRule="auto"/>
                        <w:jc w:val="left"/>
                        <w:textAlignment w:val="baseline"/>
                        <w:rPr>
                          <w:rFonts w:eastAsia="Times New Roman"/>
                          <w:sz w:val="18"/>
                        </w:rPr>
                      </w:pPr>
                      <w:r w:rsidRPr="000C1FD7">
                        <w:rPr>
                          <w:rFonts w:ascii="Calibri" w:hAnsi="Calibri"/>
                          <w:color w:val="000000"/>
                          <w:kern w:val="24"/>
                          <w:sz w:val="18"/>
                          <w:szCs w:val="18"/>
                        </w:rPr>
                        <w:t>Dificultad respiratoria.</w:t>
                      </w:r>
                    </w:p>
                  </w:txbxContent>
                </v:textbox>
              </v:roundrect>
            </w:pict>
          </mc:Fallback>
        </mc:AlternateContent>
      </w:r>
      <w:r w:rsidRPr="007528E0">
        <w:rPr>
          <w:rFonts w:eastAsia="Calibri" w:cs="Arial"/>
          <w:noProof/>
          <w:sz w:val="16"/>
          <w:szCs w:val="16"/>
          <w:lang w:val="es-CO" w:eastAsia="es-CO"/>
        </w:rPr>
        <mc:AlternateContent>
          <mc:Choice Requires="wps">
            <w:drawing>
              <wp:anchor distT="0" distB="0" distL="114300" distR="114300" simplePos="0" relativeHeight="251659264" behindDoc="0" locked="0" layoutInCell="1" allowOverlap="1" wp14:anchorId="5AA021D7" wp14:editId="4C3F21AD">
                <wp:simplePos x="0" y="0"/>
                <wp:positionH relativeFrom="column">
                  <wp:posOffset>10441305</wp:posOffset>
                </wp:positionH>
                <wp:positionV relativeFrom="paragraph">
                  <wp:posOffset>-2437130</wp:posOffset>
                </wp:positionV>
                <wp:extent cx="1593850" cy="696595"/>
                <wp:effectExtent l="15240" t="11430" r="10160" b="15875"/>
                <wp:wrapNone/>
                <wp:docPr id="14" name="Forma libre: forma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93850" cy="696595"/>
                        </a:xfrm>
                        <a:custGeom>
                          <a:avLst/>
                          <a:gdLst>
                            <a:gd name="T0" fmla="*/ 0 w 1593744"/>
                            <a:gd name="T1" fmla="*/ 0 h 696873"/>
                            <a:gd name="T2" fmla="*/ 1477596 w 1593744"/>
                            <a:gd name="T3" fmla="*/ 0 h 696873"/>
                            <a:gd name="T4" fmla="*/ 1593744 w 1593744"/>
                            <a:gd name="T5" fmla="*/ 116148 h 696873"/>
                            <a:gd name="T6" fmla="*/ 1593744 w 1593744"/>
                            <a:gd name="T7" fmla="*/ 696873 h 696873"/>
                            <a:gd name="T8" fmla="*/ 0 w 1593744"/>
                            <a:gd name="T9" fmla="*/ 696873 h 696873"/>
                            <a:gd name="T10" fmla="*/ 0 w 1593744"/>
                            <a:gd name="T11" fmla="*/ 0 h 696873"/>
                            <a:gd name="T12" fmla="*/ 0 60000 65536"/>
                            <a:gd name="T13" fmla="*/ 0 60000 65536"/>
                            <a:gd name="T14" fmla="*/ 0 60000 65536"/>
                            <a:gd name="T15" fmla="*/ 0 60000 65536"/>
                            <a:gd name="T16" fmla="*/ 0 60000 65536"/>
                            <a:gd name="T17" fmla="*/ 0 60000 65536"/>
                            <a:gd name="T18" fmla="*/ 0 w 1593744"/>
                            <a:gd name="T19" fmla="*/ 0 h 696873"/>
                            <a:gd name="T20" fmla="*/ 1593744 w 1593744"/>
                            <a:gd name="T21" fmla="*/ 696873 h 696873"/>
                          </a:gdLst>
                          <a:ahLst/>
                          <a:cxnLst>
                            <a:cxn ang="T12">
                              <a:pos x="T0" y="T1"/>
                            </a:cxn>
                            <a:cxn ang="T13">
                              <a:pos x="T2" y="T3"/>
                            </a:cxn>
                            <a:cxn ang="T14">
                              <a:pos x="T4" y="T5"/>
                            </a:cxn>
                            <a:cxn ang="T15">
                              <a:pos x="T6" y="T7"/>
                            </a:cxn>
                            <a:cxn ang="T16">
                              <a:pos x="T8" y="T9"/>
                            </a:cxn>
                            <a:cxn ang="T17">
                              <a:pos x="T10" y="T11"/>
                            </a:cxn>
                          </a:cxnLst>
                          <a:rect l="T18" t="T19" r="T20" b="T21"/>
                          <a:pathLst>
                            <a:path w="1593744" h="696873">
                              <a:moveTo>
                                <a:pt x="0" y="0"/>
                              </a:moveTo>
                              <a:lnTo>
                                <a:pt x="1477596" y="0"/>
                              </a:lnTo>
                              <a:lnTo>
                                <a:pt x="1593744" y="116148"/>
                              </a:lnTo>
                              <a:lnTo>
                                <a:pt x="1593744" y="696873"/>
                              </a:lnTo>
                              <a:lnTo>
                                <a:pt x="0" y="696873"/>
                              </a:lnTo>
                              <a:lnTo>
                                <a:pt x="0" y="0"/>
                              </a:lnTo>
                              <a:close/>
                            </a:path>
                          </a:pathLst>
                        </a:custGeom>
                        <a:solidFill>
                          <a:srgbClr val="F79646"/>
                        </a:solidFill>
                        <a:ln w="19050">
                          <a:solidFill>
                            <a:srgbClr val="FFFFFF"/>
                          </a:solidFill>
                          <a:miter lim="800000"/>
                          <a:headEnd/>
                          <a:tailEnd/>
                        </a:ln>
                      </wps:spPr>
                      <wps:txbx>
                        <w:txbxContent>
                          <w:p w14:paraId="7FA137F5" w14:textId="77777777" w:rsidR="00F87462" w:rsidRDefault="00F87462" w:rsidP="0037398A">
                            <w:pPr>
                              <w:pStyle w:val="NormalWeb"/>
                              <w:spacing w:before="0" w:beforeAutospacing="0" w:after="0" w:afterAutospacing="0"/>
                              <w:jc w:val="center"/>
                            </w:pPr>
                            <w:r w:rsidRPr="000C1FD7">
                              <w:rPr>
                                <w:rFonts w:ascii="Calibri" w:hAnsi="Calibri"/>
                                <w:color w:val="FFFFFF"/>
                                <w:kern w:val="24"/>
                                <w:sz w:val="28"/>
                                <w:szCs w:val="28"/>
                              </w:rPr>
                              <w:t>ORGÁNICO</w:t>
                            </w:r>
                          </w:p>
                          <w:p w14:paraId="66ECA2C5" w14:textId="77777777" w:rsidR="00F87462" w:rsidRDefault="00F87462" w:rsidP="0037398A">
                            <w:pPr>
                              <w:pStyle w:val="NormalWeb"/>
                              <w:spacing w:before="0" w:beforeAutospacing="0" w:after="0" w:afterAutospacing="0"/>
                              <w:jc w:val="center"/>
                            </w:pPr>
                            <w:r w:rsidRPr="000C1FD7">
                              <w:rPr>
                                <w:rFonts w:ascii="Calibri" w:hAnsi="Calibri"/>
                                <w:color w:val="FFFFFF"/>
                                <w:kern w:val="24"/>
                                <w:sz w:val="28"/>
                                <w:szCs w:val="28"/>
                              </w:rPr>
                              <w:t>(</w:t>
                            </w:r>
                            <w:r w:rsidRPr="000C1FD7">
                              <w:rPr>
                                <w:rFonts w:ascii="Calibri" w:hAnsi="Calibri"/>
                                <w:color w:val="FFFFFF"/>
                                <w:kern w:val="24"/>
                                <w:sz w:val="28"/>
                                <w:szCs w:val="28"/>
                              </w:rPr>
                              <w:t>metilmercurio)</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AA021D7" id="Forma libre: forma 14" o:spid="_x0000_s1028" style="position:absolute;left:0;text-align:left;margin-left:822.15pt;margin-top:-191.9pt;width:125.5pt;height:54.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93744,69687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" adj="-11796480,,5400" path="m,l1477596,r116148,116148l1593744,696873,,696873,,xe" fillcolor="#f79646" strokecolor="white" strokeweight="1.5pt">
                <v:stroke joinstyle="miter"/>
                <v:formulas/>
                <v:path arrowok="t" o:connecttype="custom" o:connectlocs="0,0;1477694,0;1593850,116102;1593850,696595;0,696595;0,0" o:connectangles="0,0,0,0,0,0" textboxrect="0,0,1593744,696873"/>
                <v:textbox>
                  <w:txbxContent>
                    <w:p w14:paraId="7FA137F5" w14:textId="77777777" w:rsidR="00F87462" w:rsidRDefault="00F87462" w:rsidP="0037398A">
                      <w:pPr>
                        <w:pStyle w:val="NormalWeb"/>
                        <w:spacing w:before="0" w:beforeAutospacing="0" w:after="0" w:afterAutospacing="0"/>
                        <w:jc w:val="center"/>
                      </w:pPr>
                      <w:r w:rsidRPr="000C1FD7">
                        <w:rPr>
                          <w:rFonts w:ascii="Calibri" w:hAnsi="Calibri"/>
                          <w:color w:val="FFFFFF"/>
                          <w:kern w:val="24"/>
                          <w:sz w:val="28"/>
                          <w:szCs w:val="28"/>
                        </w:rPr>
                        <w:t>ORGÁNICO</w:t>
                      </w:r>
                    </w:p>
                    <w:p w14:paraId="66ECA2C5" w14:textId="77777777" w:rsidR="00F87462" w:rsidRDefault="00F87462" w:rsidP="0037398A">
                      <w:pPr>
                        <w:pStyle w:val="NormalWeb"/>
                        <w:spacing w:before="0" w:beforeAutospacing="0" w:after="0" w:afterAutospacing="0"/>
                        <w:jc w:val="center"/>
                      </w:pPr>
                      <w:r w:rsidRPr="000C1FD7">
                        <w:rPr>
                          <w:rFonts w:ascii="Calibri" w:hAnsi="Calibri"/>
                          <w:color w:val="FFFFFF"/>
                          <w:kern w:val="24"/>
                          <w:sz w:val="28"/>
                          <w:szCs w:val="28"/>
                        </w:rPr>
                        <w:t>(</w:t>
                      </w:r>
                      <w:r w:rsidRPr="000C1FD7">
                        <w:rPr>
                          <w:rFonts w:ascii="Calibri" w:hAnsi="Calibri"/>
                          <w:color w:val="FFFFFF"/>
                          <w:kern w:val="24"/>
                          <w:sz w:val="28"/>
                          <w:szCs w:val="28"/>
                        </w:rPr>
                        <w:t>metilmercurio)</w:t>
                      </w:r>
                    </w:p>
                  </w:txbxContent>
                </v:textbox>
              </v:shape>
            </w:pict>
          </mc:Fallback>
        </mc:AlternateContent>
      </w:r>
      <w:r w:rsidRPr="007528E0">
        <w:rPr>
          <w:rFonts w:eastAsia="Calibri" w:cs="Arial"/>
          <w:sz w:val="16"/>
          <w:szCs w:val="16"/>
        </w:rPr>
        <w:t>Fuente: Elaborada a partir de las referencias</w:t>
      </w:r>
      <w:r w:rsidRPr="007528E0">
        <w:rPr>
          <w:rFonts w:eastAsia="Calibri" w:cs="Arial"/>
          <w:sz w:val="16"/>
          <w:szCs w:val="16"/>
        </w:rPr>
        <w:fldChar w:fldCharType="begin" w:fldLock="1"/>
      </w:r>
      <w:r w:rsidRPr="007528E0">
        <w:rPr>
          <w:rFonts w:eastAsia="Calibri" w:cs="Arial"/>
          <w:sz w:val="16"/>
          <w:szCs w:val="16"/>
        </w:rPr>
        <w:instrText>ADDIN CSL_CITATION { "citationItems" : [ { "id" : "ITEM-1", "itemData" : { "author" : [ { "dropping-particle" : "", "family" : "Guti\u00e9rrez E, Casas D, Mu\u00f1oz A, Mac\u00edas J, Segovia J, Orozco M", "given" : "Daessle L.", "non-dropping-particle" : "", "parse-names" : false, "suffix" : "" } ], "container-title" : "Ciencias Marinas en linea", "id" : "ITEM-1", "issued" : { "date-parts" : [ [ "2007" ] ] }, "title" : "Distribuci\u00f3n espacial y enriquecimiento de mercurio en sedimentos superficiales de la costa noroccidental de Baja California, M\u00e9xico", "type" : "article-journal", "volume" : "33" }, "uris" : [ "http://www.mendeley.com/documents/?uuid=fb3d5b32-0c8b-42d7-8138-16ebd581e760" ] } ], "mendeley" : { "formattedCitation" : "(43)", "plainTextFormattedCitation" : "(43)", "previouslyFormattedCitation" : "(43)" }, "properties" : { "noteIndex" : 0 }, "schema" : "https://github.com/citation-style-language/schema/raw/master/csl-citation.json" }</w:instrText>
      </w:r>
      <w:r w:rsidRPr="007528E0">
        <w:rPr>
          <w:rFonts w:eastAsia="Calibri" w:cs="Arial"/>
          <w:sz w:val="16"/>
          <w:szCs w:val="16"/>
        </w:rPr>
        <w:fldChar w:fldCharType="separate"/>
      </w:r>
      <w:r w:rsidRPr="007528E0">
        <w:rPr>
          <w:rFonts w:eastAsia="Calibri" w:cs="Arial"/>
          <w:noProof/>
          <w:sz w:val="16"/>
          <w:szCs w:val="16"/>
        </w:rPr>
        <w:t>(43)</w:t>
      </w:r>
      <w:r w:rsidRPr="007528E0">
        <w:rPr>
          <w:rFonts w:eastAsia="Calibri" w:cs="Arial"/>
          <w:sz w:val="16"/>
          <w:szCs w:val="16"/>
        </w:rPr>
        <w:fldChar w:fldCharType="end"/>
      </w:r>
      <w:r w:rsidRPr="007528E0">
        <w:rPr>
          <w:rFonts w:eastAsia="Calibri" w:cs="Arial"/>
          <w:sz w:val="16"/>
          <w:szCs w:val="16"/>
        </w:rPr>
        <w:fldChar w:fldCharType="begin" w:fldLock="1"/>
      </w:r>
      <w:r w:rsidRPr="007528E0">
        <w:rPr>
          <w:rFonts w:eastAsia="Calibri" w:cs="Arial"/>
          <w:sz w:val="16"/>
          <w:szCs w:val="16"/>
        </w:rPr>
        <w:instrText>ADDIN CSL_CITATION { "citationItems" : [ { "id" : "ITEM-1", "itemData" : { "URL" : "http://www.fmed.uba.ar/depto/toxico1 /mercurio.pdf.", "accessed" : { "date-parts" : [ [ "2004", "6", "20" ] ] }, "author" : [ { "dropping-particle" : "", "family" : "Ministerio de Salud", "given" : "", "non-dropping-particle" : "", "parse-names" : false, "suffix" : "" }, { "dropping-particle" : "", "family" : "acional. Buenos Aires", "given" : "Argentina: PNRQ; 2008 (Programa Nacional de Riesgos Qu\u00edmicos).", "non-dropping-particle" : "", "parse-names" : false, "suffix" : "" } ], "id" : "ITEM-1", "issued" : { "date-parts" : [ [ "2008" ] ] }, "title" : "Mercurio: cartilla informativa. Programa nacional de Riesgos Qu\u00edmicos, departamento de salud ambiental, direcci\u00f3n nacional de determinantes de la salud e investigaci\u00f3n", "type" : "webpage" }, "uris" : [ "http://www.mendeley.com/documents/?uuid=c8578f84-ece8-4cdc-a845-c0e1fb8eea73" ] } ], "mendeley" : { "formattedCitation" : "(44)", "plainTextFormattedCitation" : "(44)", "previouslyFormattedCitation" : "(44)" }, "properties" : { "noteIndex" : 0 }, "schema" : "https://github.com/citation-style-language/schema/raw/master/csl-citation.json" }</w:instrText>
      </w:r>
      <w:r w:rsidRPr="007528E0">
        <w:rPr>
          <w:rFonts w:eastAsia="Calibri" w:cs="Arial"/>
          <w:sz w:val="16"/>
          <w:szCs w:val="16"/>
        </w:rPr>
        <w:fldChar w:fldCharType="separate"/>
      </w:r>
      <w:r w:rsidRPr="007528E0">
        <w:rPr>
          <w:rFonts w:eastAsia="Calibri" w:cs="Arial"/>
          <w:noProof/>
          <w:sz w:val="16"/>
          <w:szCs w:val="16"/>
        </w:rPr>
        <w:t>(44)</w:t>
      </w:r>
      <w:r w:rsidRPr="007528E0">
        <w:rPr>
          <w:rFonts w:eastAsia="Calibri" w:cs="Arial"/>
          <w:sz w:val="16"/>
          <w:szCs w:val="16"/>
        </w:rPr>
        <w:fldChar w:fldCharType="end"/>
      </w:r>
      <w:r w:rsidRPr="007528E0">
        <w:rPr>
          <w:rFonts w:eastAsia="Calibri" w:cs="Arial"/>
          <w:sz w:val="16"/>
          <w:szCs w:val="16"/>
        </w:rPr>
        <w:fldChar w:fldCharType="begin" w:fldLock="1"/>
      </w:r>
      <w:r w:rsidRPr="007528E0">
        <w:rPr>
          <w:rFonts w:eastAsia="Calibri" w:cs="Arial"/>
          <w:sz w:val="16"/>
          <w:szCs w:val="16"/>
        </w:rPr>
        <w:instrText>ADDIN CSL_CITATION { "citationItems" : [ { "id" : "ITEM-1", "itemData" : { "author" : [ { "dropping-particle" : "", "family" : "Olivero J, Mendoza C", "given" : "Mestre J", "non-dropping-particle" : "", "parse-names" : false, "suffix" : "" } ], "container-title" : "Rev Salud P\u00fablica", "id" : "ITEM-1", "issue" : "376", "issued" : { "date-parts" : [ [ "1995" ] ] }, "page" : "379", "title" : "Mercurio en cabello de diferentes grupos ocupacionales en una zona de miner\u00eda aur\u00edfera en el Norte de Colombia", "type" : "article-journal", "volume" : "29(5)" }, "uris" : [ "http://www.mendeley.com/documents/?uuid=256b857b-84d7-4218-a9bd-6167cce54ccb" ] } ], "mendeley" : { "formattedCitation" : "(45)", "plainTextFormattedCitation" : "(45)", "previouslyFormattedCitation" : "(45)" }, "properties" : { "noteIndex" : 0 }, "schema" : "https://github.com/citation-style-language/schema/raw/master/csl-citation.json" }</w:instrText>
      </w:r>
      <w:r w:rsidRPr="007528E0">
        <w:rPr>
          <w:rFonts w:eastAsia="Calibri" w:cs="Arial"/>
          <w:sz w:val="16"/>
          <w:szCs w:val="16"/>
        </w:rPr>
        <w:fldChar w:fldCharType="separate"/>
      </w:r>
      <w:r w:rsidRPr="007528E0">
        <w:rPr>
          <w:rFonts w:eastAsia="Calibri" w:cs="Arial"/>
          <w:noProof/>
          <w:sz w:val="16"/>
          <w:szCs w:val="16"/>
        </w:rPr>
        <w:t>(45)</w:t>
      </w:r>
      <w:r w:rsidRPr="007528E0">
        <w:rPr>
          <w:rFonts w:eastAsia="Calibri" w:cs="Arial"/>
          <w:sz w:val="16"/>
          <w:szCs w:val="16"/>
        </w:rPr>
        <w:fldChar w:fldCharType="end"/>
      </w:r>
      <w:r w:rsidRPr="007528E0">
        <w:rPr>
          <w:rFonts w:eastAsia="Calibri" w:cs="Arial"/>
          <w:sz w:val="16"/>
          <w:szCs w:val="16"/>
        </w:rPr>
        <w:fldChar w:fldCharType="begin" w:fldLock="1"/>
      </w:r>
      <w:r w:rsidRPr="007528E0">
        <w:rPr>
          <w:rFonts w:eastAsia="Calibri" w:cs="Arial"/>
          <w:sz w:val="16"/>
          <w:szCs w:val="16"/>
        </w:rPr>
        <w:instrText>ADDIN CSL_CITATION { "citationItems" : [ { "id" : "ITEM-1", "itemData" : { "author" : [ { "dropping-particle" : "", "family" : "J.A", "given" : "Moreno", "non-dropping-particle" : "", "parse-names" : false, "suffix" : "" } ], "id" : "ITEM-1", "issued" : { "date-parts" : [ [ "2008" ] ] }, "title" : "Alteraciones comportamentales y de personalidad debido a la exposici\u00f3n ocupacional a mercurio en un grupo mineros del oro de la regi\u00f3n del Bagre Antioquia", "type" : "report" }, "uris" : [ "http://www.mendeley.com/documents/?uuid=dbb33154-98d1-4576-ac28-ec7651cc01da" ] } ], "mendeley" : { "formattedCitation" : "(46)", "plainTextFormattedCitation" : "(46)", "previouslyFormattedCitation" : "(46)" }, "properties" : { "noteIndex" : 0 }, "schema" : "https://github.com/citation-style-language/schema/raw/master/csl-citation.json" }</w:instrText>
      </w:r>
      <w:r w:rsidRPr="007528E0">
        <w:rPr>
          <w:rFonts w:eastAsia="Calibri" w:cs="Arial"/>
          <w:sz w:val="16"/>
          <w:szCs w:val="16"/>
        </w:rPr>
        <w:fldChar w:fldCharType="separate"/>
      </w:r>
      <w:r w:rsidRPr="007528E0">
        <w:rPr>
          <w:rFonts w:eastAsia="Calibri" w:cs="Arial"/>
          <w:noProof/>
          <w:sz w:val="16"/>
          <w:szCs w:val="16"/>
        </w:rPr>
        <w:t>(46)</w:t>
      </w:r>
      <w:r w:rsidRPr="007528E0">
        <w:rPr>
          <w:rFonts w:eastAsia="Calibri" w:cs="Arial"/>
          <w:sz w:val="16"/>
          <w:szCs w:val="16"/>
        </w:rPr>
        <w:fldChar w:fldCharType="end"/>
      </w:r>
      <w:r w:rsidRPr="007528E0">
        <w:rPr>
          <w:rFonts w:eastAsia="Calibri" w:cs="Arial"/>
          <w:sz w:val="16"/>
          <w:szCs w:val="16"/>
        </w:rPr>
        <w:t xml:space="preserve"> </w:t>
      </w:r>
    </w:p>
    <w:p w14:paraId="4849E23A" w14:textId="77777777" w:rsidR="0037398A" w:rsidRPr="007528E0" w:rsidRDefault="0037398A" w:rsidP="0037398A">
      <w:pPr>
        <w:pStyle w:val="Normal1"/>
        <w:spacing w:before="100" w:beforeAutospacing="1" w:after="100" w:afterAutospacing="1"/>
        <w:jc w:val="both"/>
        <w:rPr>
          <w:rFonts w:ascii="Arial" w:eastAsia="Calibri" w:hAnsi="Arial" w:cs="Arial"/>
          <w:b/>
          <w:color w:val="auto"/>
          <w:sz w:val="22"/>
          <w:szCs w:val="22"/>
          <w:u w:val="single"/>
        </w:rPr>
      </w:pPr>
      <w:r w:rsidRPr="007528E0">
        <w:rPr>
          <w:rFonts w:ascii="Arial" w:eastAsia="Calibri" w:hAnsi="Arial" w:cs="Arial"/>
          <w:b/>
          <w:color w:val="auto"/>
          <w:sz w:val="22"/>
          <w:szCs w:val="22"/>
          <w:u w:val="single"/>
        </w:rPr>
        <w:t>Manifestaciones clínicas</w:t>
      </w:r>
    </w:p>
    <w:p w14:paraId="5578B325" w14:textId="73369A1F" w:rsidR="0037398A" w:rsidRPr="007528E0" w:rsidRDefault="0037398A" w:rsidP="0037398A">
      <w:pPr>
        <w:pStyle w:val="Normal1"/>
        <w:spacing w:before="100" w:beforeAutospacing="1" w:after="100" w:afterAutospacing="1"/>
        <w:jc w:val="both"/>
        <w:rPr>
          <w:rFonts w:ascii="Arial" w:eastAsia="Calibri" w:hAnsi="Arial" w:cs="Arial"/>
          <w:color w:val="auto"/>
          <w:sz w:val="22"/>
          <w:szCs w:val="22"/>
        </w:rPr>
      </w:pPr>
      <w:r w:rsidRPr="007528E0">
        <w:rPr>
          <w:rFonts w:ascii="Arial" w:eastAsia="Calibri" w:hAnsi="Arial" w:cs="Arial"/>
          <w:color w:val="auto"/>
          <w:sz w:val="22"/>
          <w:szCs w:val="22"/>
        </w:rPr>
        <w:t xml:space="preserve">Varían de acuerdo al tipo de compuesto, a la dosis y frecuencia de la exposición. Los principales hallazgos clínicos se presentan en el algoritmo de intoxicación por mercurio </w:t>
      </w:r>
      <w:r w:rsidRPr="007528E0">
        <w:rPr>
          <w:rFonts w:ascii="Arial" w:eastAsia="Calibri" w:hAnsi="Arial" w:cs="Arial"/>
          <w:color w:val="auto"/>
          <w:sz w:val="22"/>
          <w:szCs w:val="22"/>
        </w:rPr>
        <w:fldChar w:fldCharType="begin" w:fldLock="1"/>
      </w:r>
      <w:r w:rsidRPr="007528E0">
        <w:rPr>
          <w:rFonts w:ascii="Arial" w:eastAsia="Calibri" w:hAnsi="Arial" w:cs="Arial"/>
          <w:color w:val="auto"/>
          <w:sz w:val="22"/>
          <w:szCs w:val="22"/>
        </w:rPr>
        <w:instrText>ADDIN CSL_CITATION { "citationItems" : [ { "id" : "ITEM-1", "itemData" : { "author" : [ { "dropping-particle" : "de", "family" : "Salud", "given" : "Instituto Nacional", "non-dropping-particle" : "", "parse-names" : false, "suffix" : "" } ], "id" : "ITEM-1", "issued" : { "date-parts" : [ [ "2017" ] ] }, "number-of-pages" : "7", "title" : "Intoxicaciones por sustancias qu\u00edmicas- algoritmos", "type" : "report" }, "uris" : [ "http://www.mendeley.com/documents/?uuid=5782bd2e-b137-4f2a-8ee6-de189450702e" ] } ], "mendeley" : { "formattedCitation" : "(47)", "plainTextFormattedCitation" : "(47)", "previouslyFormattedCitation" : "(47)" }, "properties" : { "noteIndex" : 0 }, "schema" : "https://github.com/citation-style-language/schema/raw/master/csl-citation.json" }</w:instrText>
      </w:r>
      <w:r w:rsidRPr="007528E0">
        <w:rPr>
          <w:rFonts w:ascii="Arial" w:eastAsia="Calibri" w:hAnsi="Arial" w:cs="Arial"/>
          <w:color w:val="auto"/>
          <w:sz w:val="22"/>
          <w:szCs w:val="22"/>
        </w:rPr>
        <w:fldChar w:fldCharType="separate"/>
      </w:r>
      <w:r w:rsidRPr="007528E0">
        <w:rPr>
          <w:rFonts w:ascii="Arial" w:eastAsia="Calibri" w:hAnsi="Arial" w:cs="Arial"/>
          <w:noProof/>
          <w:color w:val="auto"/>
          <w:sz w:val="22"/>
          <w:szCs w:val="22"/>
        </w:rPr>
        <w:t>(47)</w:t>
      </w:r>
      <w:r w:rsidRPr="007528E0">
        <w:rPr>
          <w:rFonts w:ascii="Arial" w:eastAsia="Calibri" w:hAnsi="Arial" w:cs="Arial"/>
          <w:color w:val="auto"/>
          <w:sz w:val="22"/>
          <w:szCs w:val="22"/>
        </w:rPr>
        <w:fldChar w:fldCharType="end"/>
      </w:r>
      <w:r w:rsidRPr="007528E0">
        <w:rPr>
          <w:rFonts w:ascii="Arial" w:eastAsia="Calibri" w:hAnsi="Arial" w:cs="Arial"/>
          <w:color w:val="auto"/>
          <w:sz w:val="22"/>
          <w:szCs w:val="22"/>
        </w:rPr>
        <w:t>.</w:t>
      </w:r>
    </w:p>
    <w:p w14:paraId="127D77BF" w14:textId="77777777" w:rsidR="0037398A" w:rsidRPr="007528E0" w:rsidRDefault="0037398A" w:rsidP="0037398A">
      <w:pPr>
        <w:pStyle w:val="Normal1"/>
        <w:spacing w:before="100" w:beforeAutospacing="1" w:after="100" w:afterAutospacing="1"/>
        <w:jc w:val="both"/>
        <w:rPr>
          <w:rFonts w:ascii="Arial" w:eastAsia="Calibri" w:hAnsi="Arial" w:cs="Arial"/>
          <w:color w:val="auto"/>
          <w:sz w:val="22"/>
          <w:szCs w:val="22"/>
        </w:rPr>
      </w:pPr>
      <w:r w:rsidRPr="007528E0">
        <w:rPr>
          <w:rFonts w:ascii="Arial" w:eastAsia="Calibri" w:hAnsi="Arial" w:cs="Arial"/>
          <w:noProof/>
          <w:color w:val="auto"/>
          <w:sz w:val="22"/>
          <w:szCs w:val="22"/>
          <w:lang w:val="es-CO" w:eastAsia="es-CO"/>
        </w:rPr>
        <mc:AlternateContent>
          <mc:Choice Requires="wpg">
            <w:drawing>
              <wp:anchor distT="0" distB="0" distL="114300" distR="114300" simplePos="0" relativeHeight="251662336" behindDoc="0" locked="0" layoutInCell="1" allowOverlap="1" wp14:anchorId="2CFBCB42" wp14:editId="52B15B8C">
                <wp:simplePos x="0" y="0"/>
                <wp:positionH relativeFrom="column">
                  <wp:posOffset>-221615</wp:posOffset>
                </wp:positionH>
                <wp:positionV relativeFrom="paragraph">
                  <wp:posOffset>119380</wp:posOffset>
                </wp:positionV>
                <wp:extent cx="6281420" cy="2329815"/>
                <wp:effectExtent l="10795" t="12065" r="13335" b="10795"/>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1420" cy="2329815"/>
                          <a:chOff x="0" y="0"/>
                          <a:chExt cx="69393" cy="26373"/>
                        </a:xfrm>
                      </wpg:grpSpPr>
                      <wps:wsp>
                        <wps:cNvPr id="4" name="9 Recortar rectángulo de esquina sencilla"/>
                        <wps:cNvSpPr>
                          <a:spLocks/>
                        </wps:cNvSpPr>
                        <wps:spPr bwMode="auto">
                          <a:xfrm>
                            <a:off x="15708" y="0"/>
                            <a:ext cx="13128" cy="4460"/>
                          </a:xfrm>
                          <a:custGeom>
                            <a:avLst/>
                            <a:gdLst>
                              <a:gd name="T0" fmla="*/ 0 w 1312863"/>
                              <a:gd name="T1" fmla="*/ 0 h 446088"/>
                              <a:gd name="T2" fmla="*/ 1238514 w 1312863"/>
                              <a:gd name="T3" fmla="*/ 0 h 446088"/>
                              <a:gd name="T4" fmla="*/ 1312863 w 1312863"/>
                              <a:gd name="T5" fmla="*/ 74349 h 446088"/>
                              <a:gd name="T6" fmla="*/ 1312863 w 1312863"/>
                              <a:gd name="T7" fmla="*/ 446088 h 446088"/>
                              <a:gd name="T8" fmla="*/ 0 w 1312863"/>
                              <a:gd name="T9" fmla="*/ 446088 h 446088"/>
                              <a:gd name="T10" fmla="*/ 0 w 1312863"/>
                              <a:gd name="T11" fmla="*/ 0 h 446088"/>
                              <a:gd name="T12" fmla="*/ 0 60000 65536"/>
                              <a:gd name="T13" fmla="*/ 0 60000 65536"/>
                              <a:gd name="T14" fmla="*/ 0 60000 65536"/>
                              <a:gd name="T15" fmla="*/ 0 60000 65536"/>
                              <a:gd name="T16" fmla="*/ 0 60000 65536"/>
                              <a:gd name="T17" fmla="*/ 0 60000 65536"/>
                              <a:gd name="T18" fmla="*/ 0 w 1312863"/>
                              <a:gd name="T19" fmla="*/ 0 h 446088"/>
                              <a:gd name="T20" fmla="*/ 1312863 w 1312863"/>
                              <a:gd name="T21" fmla="*/ 446088 h 446088"/>
                            </a:gdLst>
                            <a:ahLst/>
                            <a:cxnLst>
                              <a:cxn ang="T12">
                                <a:pos x="T0" y="T1"/>
                              </a:cxn>
                              <a:cxn ang="T13">
                                <a:pos x="T2" y="T3"/>
                              </a:cxn>
                              <a:cxn ang="T14">
                                <a:pos x="T4" y="T5"/>
                              </a:cxn>
                              <a:cxn ang="T15">
                                <a:pos x="T6" y="T7"/>
                              </a:cxn>
                              <a:cxn ang="T16">
                                <a:pos x="T8" y="T9"/>
                              </a:cxn>
                              <a:cxn ang="T17">
                                <a:pos x="T10" y="T11"/>
                              </a:cxn>
                            </a:cxnLst>
                            <a:rect l="T18" t="T19" r="T20" b="T21"/>
                            <a:pathLst>
                              <a:path w="1312863" h="446088">
                                <a:moveTo>
                                  <a:pt x="0" y="0"/>
                                </a:moveTo>
                                <a:lnTo>
                                  <a:pt x="1238514" y="0"/>
                                </a:lnTo>
                                <a:lnTo>
                                  <a:pt x="1312863" y="74349"/>
                                </a:lnTo>
                                <a:lnTo>
                                  <a:pt x="1312863" y="446088"/>
                                </a:lnTo>
                                <a:lnTo>
                                  <a:pt x="0" y="446088"/>
                                </a:lnTo>
                                <a:lnTo>
                                  <a:pt x="0" y="0"/>
                                </a:lnTo>
                                <a:close/>
                              </a:path>
                            </a:pathLst>
                          </a:custGeom>
                          <a:gradFill rotWithShape="1">
                            <a:gsLst>
                              <a:gs pos="0">
                                <a:srgbClr val="B5D5A7"/>
                              </a:gs>
                              <a:gs pos="50000">
                                <a:srgbClr val="AACE99"/>
                              </a:gs>
                              <a:gs pos="100000">
                                <a:srgbClr val="9CCA86"/>
                              </a:gs>
                            </a:gsLst>
                            <a:lin ang="5400000"/>
                          </a:gradFill>
                          <a:ln w="6350">
                            <a:solidFill>
                              <a:srgbClr val="F79646"/>
                            </a:solidFill>
                            <a:miter lim="800000"/>
                            <a:headEnd/>
                            <a:tailEnd/>
                          </a:ln>
                        </wps:spPr>
                        <wps:txbx>
                          <w:txbxContent>
                            <w:p w14:paraId="272243E2" w14:textId="77777777" w:rsidR="00F87462" w:rsidRPr="000104D6" w:rsidRDefault="00F87462" w:rsidP="0037398A">
                              <w:pPr>
                                <w:pStyle w:val="NormalWeb"/>
                                <w:spacing w:before="0" w:beforeAutospacing="0" w:after="0" w:afterAutospacing="0"/>
                                <w:jc w:val="center"/>
                              </w:pPr>
                              <w:r w:rsidRPr="000C1FD7">
                                <w:rPr>
                                  <w:rFonts w:ascii="Calibri" w:hAnsi="Calibri"/>
                                  <w:kern w:val="24"/>
                                  <w:sz w:val="22"/>
                                  <w:szCs w:val="22"/>
                                </w:rPr>
                                <w:t>ELEMENTAL (metálico)</w:t>
                              </w:r>
                            </w:p>
                          </w:txbxContent>
                        </wps:txbx>
                        <wps:bodyPr rot="0" vert="horz" wrap="square" lIns="91440" tIns="45720" rIns="91440" bIns="45720" anchor="ctr" anchorCtr="0" upright="1">
                          <a:noAutofit/>
                        </wps:bodyPr>
                      </wps:wsp>
                      <wps:wsp>
                        <wps:cNvPr id="7" name="10 Recortar rectángulo de esquina sencilla"/>
                        <wps:cNvSpPr>
                          <a:spLocks/>
                        </wps:cNvSpPr>
                        <wps:spPr bwMode="auto">
                          <a:xfrm>
                            <a:off x="33528" y="0"/>
                            <a:ext cx="16065" cy="4460"/>
                          </a:xfrm>
                          <a:custGeom>
                            <a:avLst/>
                            <a:gdLst>
                              <a:gd name="T0" fmla="*/ 0 w 1606550"/>
                              <a:gd name="T1" fmla="*/ 0 h 446088"/>
                              <a:gd name="T2" fmla="*/ 1532201 w 1606550"/>
                              <a:gd name="T3" fmla="*/ 0 h 446088"/>
                              <a:gd name="T4" fmla="*/ 1606550 w 1606550"/>
                              <a:gd name="T5" fmla="*/ 74349 h 446088"/>
                              <a:gd name="T6" fmla="*/ 1606550 w 1606550"/>
                              <a:gd name="T7" fmla="*/ 446088 h 446088"/>
                              <a:gd name="T8" fmla="*/ 0 w 1606550"/>
                              <a:gd name="T9" fmla="*/ 446088 h 446088"/>
                              <a:gd name="T10" fmla="*/ 0 w 1606550"/>
                              <a:gd name="T11" fmla="*/ 0 h 446088"/>
                              <a:gd name="T12" fmla="*/ 0 60000 65536"/>
                              <a:gd name="T13" fmla="*/ 0 60000 65536"/>
                              <a:gd name="T14" fmla="*/ 0 60000 65536"/>
                              <a:gd name="T15" fmla="*/ 0 60000 65536"/>
                              <a:gd name="T16" fmla="*/ 0 60000 65536"/>
                              <a:gd name="T17" fmla="*/ 0 60000 65536"/>
                              <a:gd name="T18" fmla="*/ 0 w 1606550"/>
                              <a:gd name="T19" fmla="*/ 0 h 446088"/>
                              <a:gd name="T20" fmla="*/ 1606550 w 1606550"/>
                              <a:gd name="T21" fmla="*/ 446088 h 446088"/>
                            </a:gdLst>
                            <a:ahLst/>
                            <a:cxnLst>
                              <a:cxn ang="T12">
                                <a:pos x="T0" y="T1"/>
                              </a:cxn>
                              <a:cxn ang="T13">
                                <a:pos x="T2" y="T3"/>
                              </a:cxn>
                              <a:cxn ang="T14">
                                <a:pos x="T4" y="T5"/>
                              </a:cxn>
                              <a:cxn ang="T15">
                                <a:pos x="T6" y="T7"/>
                              </a:cxn>
                              <a:cxn ang="T16">
                                <a:pos x="T8" y="T9"/>
                              </a:cxn>
                              <a:cxn ang="T17">
                                <a:pos x="T10" y="T11"/>
                              </a:cxn>
                            </a:cxnLst>
                            <a:rect l="T18" t="T19" r="T20" b="T21"/>
                            <a:pathLst>
                              <a:path w="1606550" h="446088">
                                <a:moveTo>
                                  <a:pt x="0" y="0"/>
                                </a:moveTo>
                                <a:lnTo>
                                  <a:pt x="1532201" y="0"/>
                                </a:lnTo>
                                <a:lnTo>
                                  <a:pt x="1606550" y="74349"/>
                                </a:lnTo>
                                <a:lnTo>
                                  <a:pt x="1606550" y="446088"/>
                                </a:lnTo>
                                <a:lnTo>
                                  <a:pt x="0" y="446088"/>
                                </a:lnTo>
                                <a:lnTo>
                                  <a:pt x="0" y="0"/>
                                </a:lnTo>
                                <a:close/>
                              </a:path>
                            </a:pathLst>
                          </a:custGeom>
                          <a:gradFill rotWithShape="1">
                            <a:gsLst>
                              <a:gs pos="0">
                                <a:srgbClr val="B5D5A7"/>
                              </a:gs>
                              <a:gs pos="50000">
                                <a:srgbClr val="AACE99"/>
                              </a:gs>
                              <a:gs pos="100000">
                                <a:srgbClr val="9CCA86"/>
                              </a:gs>
                            </a:gsLst>
                            <a:lin ang="5400000"/>
                          </a:gradFill>
                          <a:ln w="6350">
                            <a:solidFill>
                              <a:srgbClr val="F79646"/>
                            </a:solidFill>
                            <a:miter lim="800000"/>
                            <a:headEnd/>
                            <a:tailEnd/>
                          </a:ln>
                        </wps:spPr>
                        <wps:txbx>
                          <w:txbxContent>
                            <w:p w14:paraId="6A442128" w14:textId="77777777" w:rsidR="00F87462" w:rsidRPr="000104D6" w:rsidRDefault="00F87462" w:rsidP="0037398A">
                              <w:pPr>
                                <w:pStyle w:val="NormalWeb"/>
                                <w:spacing w:before="0" w:beforeAutospacing="0" w:after="0" w:afterAutospacing="0"/>
                                <w:jc w:val="center"/>
                              </w:pPr>
                              <w:r w:rsidRPr="000C1FD7">
                                <w:rPr>
                                  <w:rFonts w:ascii="Calibri" w:hAnsi="Calibri"/>
                                  <w:kern w:val="24"/>
                                  <w:sz w:val="22"/>
                                  <w:szCs w:val="22"/>
                                </w:rPr>
                                <w:t xml:space="preserve"> INORGÁNICO</w:t>
                              </w:r>
                            </w:p>
                            <w:p w14:paraId="52B8DCB6" w14:textId="77777777" w:rsidR="00F87462" w:rsidRPr="000104D6" w:rsidRDefault="00F87462" w:rsidP="0037398A">
                              <w:pPr>
                                <w:pStyle w:val="NormalWeb"/>
                                <w:spacing w:before="0" w:beforeAutospacing="0" w:after="0" w:afterAutospacing="0"/>
                                <w:jc w:val="center"/>
                              </w:pPr>
                              <w:r w:rsidRPr="000C1FD7">
                                <w:rPr>
                                  <w:rFonts w:ascii="Calibri" w:hAnsi="Calibri"/>
                                  <w:kern w:val="24"/>
                                  <w:sz w:val="22"/>
                                  <w:szCs w:val="22"/>
                                </w:rPr>
                                <w:t>(</w:t>
                              </w:r>
                              <w:r w:rsidRPr="000C1FD7">
                                <w:rPr>
                                  <w:rFonts w:ascii="Calibri" w:hAnsi="Calibri"/>
                                  <w:kern w:val="24"/>
                                  <w:sz w:val="22"/>
                                  <w:szCs w:val="22"/>
                                </w:rPr>
                                <w:t>sales de mercurio)</w:t>
                              </w:r>
                            </w:p>
                          </w:txbxContent>
                        </wps:txbx>
                        <wps:bodyPr rot="0" vert="horz" wrap="square" lIns="91440" tIns="45720" rIns="91440" bIns="45720" anchor="ctr" anchorCtr="0" upright="1">
                          <a:noAutofit/>
                        </wps:bodyPr>
                      </wps:wsp>
                      <wps:wsp>
                        <wps:cNvPr id="11" name="AutoShape 8"/>
                        <wps:cNvSpPr>
                          <a:spLocks/>
                        </wps:cNvSpPr>
                        <wps:spPr bwMode="auto">
                          <a:xfrm>
                            <a:off x="53459" y="0"/>
                            <a:ext cx="13716" cy="4460"/>
                          </a:xfrm>
                          <a:custGeom>
                            <a:avLst/>
                            <a:gdLst>
                              <a:gd name="T0" fmla="*/ 0 w 1371600"/>
                              <a:gd name="T1" fmla="*/ 0 h 446088"/>
                              <a:gd name="T2" fmla="*/ 1297251 w 1371600"/>
                              <a:gd name="T3" fmla="*/ 0 h 446088"/>
                              <a:gd name="T4" fmla="*/ 1371600 w 1371600"/>
                              <a:gd name="T5" fmla="*/ 74349 h 446088"/>
                              <a:gd name="T6" fmla="*/ 1371600 w 1371600"/>
                              <a:gd name="T7" fmla="*/ 446088 h 446088"/>
                              <a:gd name="T8" fmla="*/ 0 w 1371600"/>
                              <a:gd name="T9" fmla="*/ 446088 h 446088"/>
                              <a:gd name="T10" fmla="*/ 0 w 1371600"/>
                              <a:gd name="T11" fmla="*/ 0 h 446088"/>
                              <a:gd name="T12" fmla="*/ 0 60000 65536"/>
                              <a:gd name="T13" fmla="*/ 0 60000 65536"/>
                              <a:gd name="T14" fmla="*/ 0 60000 65536"/>
                              <a:gd name="T15" fmla="*/ 0 60000 65536"/>
                              <a:gd name="T16" fmla="*/ 0 60000 65536"/>
                              <a:gd name="T17" fmla="*/ 0 60000 65536"/>
                              <a:gd name="T18" fmla="*/ 0 w 1371600"/>
                              <a:gd name="T19" fmla="*/ 0 h 446088"/>
                              <a:gd name="T20" fmla="*/ 1371600 w 1371600"/>
                              <a:gd name="T21" fmla="*/ 446088 h 446088"/>
                            </a:gdLst>
                            <a:ahLst/>
                            <a:cxnLst>
                              <a:cxn ang="T12">
                                <a:pos x="T0" y="T1"/>
                              </a:cxn>
                              <a:cxn ang="T13">
                                <a:pos x="T2" y="T3"/>
                              </a:cxn>
                              <a:cxn ang="T14">
                                <a:pos x="T4" y="T5"/>
                              </a:cxn>
                              <a:cxn ang="T15">
                                <a:pos x="T6" y="T7"/>
                              </a:cxn>
                              <a:cxn ang="T16">
                                <a:pos x="T8" y="T9"/>
                              </a:cxn>
                              <a:cxn ang="T17">
                                <a:pos x="T10" y="T11"/>
                              </a:cxn>
                            </a:cxnLst>
                            <a:rect l="T18" t="T19" r="T20" b="T21"/>
                            <a:pathLst>
                              <a:path w="1371600" h="446088">
                                <a:moveTo>
                                  <a:pt x="0" y="0"/>
                                </a:moveTo>
                                <a:lnTo>
                                  <a:pt x="1297251" y="0"/>
                                </a:lnTo>
                                <a:lnTo>
                                  <a:pt x="1371600" y="74349"/>
                                </a:lnTo>
                                <a:lnTo>
                                  <a:pt x="1371600" y="446088"/>
                                </a:lnTo>
                                <a:lnTo>
                                  <a:pt x="0" y="446088"/>
                                </a:lnTo>
                                <a:lnTo>
                                  <a:pt x="0" y="0"/>
                                </a:lnTo>
                                <a:close/>
                              </a:path>
                            </a:pathLst>
                          </a:custGeom>
                          <a:gradFill rotWithShape="1">
                            <a:gsLst>
                              <a:gs pos="0">
                                <a:srgbClr val="B5D5A7"/>
                              </a:gs>
                              <a:gs pos="50000">
                                <a:srgbClr val="AACE99"/>
                              </a:gs>
                              <a:gs pos="100000">
                                <a:srgbClr val="9CCA86"/>
                              </a:gs>
                            </a:gsLst>
                            <a:lin ang="5400000"/>
                          </a:gradFill>
                          <a:ln w="6350">
                            <a:solidFill>
                              <a:srgbClr val="F79646"/>
                            </a:solidFill>
                            <a:miter lim="800000"/>
                            <a:headEnd/>
                            <a:tailEnd/>
                          </a:ln>
                        </wps:spPr>
                        <wps:txbx>
                          <w:txbxContent>
                            <w:p w14:paraId="0250C0C1" w14:textId="77777777" w:rsidR="00F87462" w:rsidRPr="000104D6" w:rsidRDefault="00F87462" w:rsidP="0037398A">
                              <w:pPr>
                                <w:pStyle w:val="NormalWeb"/>
                                <w:spacing w:before="0" w:beforeAutospacing="0" w:after="0" w:afterAutospacing="0"/>
                                <w:jc w:val="center"/>
                              </w:pPr>
                              <w:r w:rsidRPr="000C1FD7">
                                <w:rPr>
                                  <w:rFonts w:ascii="Calibri" w:hAnsi="Calibri"/>
                                  <w:kern w:val="24"/>
                                  <w:sz w:val="22"/>
                                  <w:szCs w:val="22"/>
                                </w:rPr>
                                <w:t>ORGÁNICO</w:t>
                              </w:r>
                            </w:p>
                            <w:p w14:paraId="6EFF5253" w14:textId="77777777" w:rsidR="00F87462" w:rsidRPr="000104D6" w:rsidRDefault="00F87462" w:rsidP="0037398A">
                              <w:pPr>
                                <w:pStyle w:val="NormalWeb"/>
                                <w:spacing w:before="0" w:beforeAutospacing="0" w:after="0" w:afterAutospacing="0"/>
                                <w:jc w:val="center"/>
                              </w:pPr>
                              <w:r w:rsidRPr="000C1FD7">
                                <w:rPr>
                                  <w:rFonts w:ascii="Calibri" w:hAnsi="Calibri"/>
                                  <w:kern w:val="24"/>
                                  <w:sz w:val="22"/>
                                  <w:szCs w:val="22"/>
                                </w:rPr>
                                <w:t>(</w:t>
                              </w:r>
                              <w:r w:rsidRPr="000C1FD7">
                                <w:rPr>
                                  <w:rFonts w:ascii="Calibri" w:hAnsi="Calibri"/>
                                  <w:kern w:val="24"/>
                                  <w:sz w:val="22"/>
                                  <w:szCs w:val="22"/>
                                </w:rPr>
                                <w:t>metilmercurio)</w:t>
                              </w:r>
                            </w:p>
                          </w:txbxContent>
                        </wps:txbx>
                        <wps:bodyPr rot="0" vert="horz" wrap="square" lIns="91440" tIns="45720" rIns="91440" bIns="45720" anchor="ctr" anchorCtr="0" upright="1">
                          <a:noAutofit/>
                        </wps:bodyPr>
                      </wps:wsp>
                      <wps:wsp>
                        <wps:cNvPr id="12" name="22 Recortar rectángulo de esquina sencilla"/>
                        <wps:cNvSpPr>
                          <a:spLocks/>
                        </wps:cNvSpPr>
                        <wps:spPr bwMode="auto">
                          <a:xfrm>
                            <a:off x="0" y="5873"/>
                            <a:ext cx="11017" cy="7268"/>
                          </a:xfrm>
                          <a:custGeom>
                            <a:avLst/>
                            <a:gdLst>
                              <a:gd name="T0" fmla="*/ 0 w 1101725"/>
                              <a:gd name="T1" fmla="*/ 0 h 726778"/>
                              <a:gd name="T2" fmla="*/ 980593 w 1101725"/>
                              <a:gd name="T3" fmla="*/ 0 h 726778"/>
                              <a:gd name="T4" fmla="*/ 1101725 w 1101725"/>
                              <a:gd name="T5" fmla="*/ 121132 h 726778"/>
                              <a:gd name="T6" fmla="*/ 1101725 w 1101725"/>
                              <a:gd name="T7" fmla="*/ 726778 h 726778"/>
                              <a:gd name="T8" fmla="*/ 0 w 1101725"/>
                              <a:gd name="T9" fmla="*/ 726778 h 726778"/>
                              <a:gd name="T10" fmla="*/ 0 w 1101725"/>
                              <a:gd name="T11" fmla="*/ 0 h 726778"/>
                              <a:gd name="T12" fmla="*/ 0 60000 65536"/>
                              <a:gd name="T13" fmla="*/ 0 60000 65536"/>
                              <a:gd name="T14" fmla="*/ 0 60000 65536"/>
                              <a:gd name="T15" fmla="*/ 0 60000 65536"/>
                              <a:gd name="T16" fmla="*/ 0 60000 65536"/>
                              <a:gd name="T17" fmla="*/ 0 60000 65536"/>
                              <a:gd name="T18" fmla="*/ 0 w 1101725"/>
                              <a:gd name="T19" fmla="*/ 0 h 726778"/>
                              <a:gd name="T20" fmla="*/ 1101725 w 1101725"/>
                              <a:gd name="T21" fmla="*/ 726778 h 726778"/>
                            </a:gdLst>
                            <a:ahLst/>
                            <a:cxnLst>
                              <a:cxn ang="T12">
                                <a:pos x="T0" y="T1"/>
                              </a:cxn>
                              <a:cxn ang="T13">
                                <a:pos x="T2" y="T3"/>
                              </a:cxn>
                              <a:cxn ang="T14">
                                <a:pos x="T4" y="T5"/>
                              </a:cxn>
                              <a:cxn ang="T15">
                                <a:pos x="T6" y="T7"/>
                              </a:cxn>
                              <a:cxn ang="T16">
                                <a:pos x="T8" y="T9"/>
                              </a:cxn>
                              <a:cxn ang="T17">
                                <a:pos x="T10" y="T11"/>
                              </a:cxn>
                            </a:cxnLst>
                            <a:rect l="T18" t="T19" r="T20" b="T21"/>
                            <a:pathLst>
                              <a:path w="1101725" h="726778">
                                <a:moveTo>
                                  <a:pt x="0" y="0"/>
                                </a:moveTo>
                                <a:lnTo>
                                  <a:pt x="980593" y="0"/>
                                </a:lnTo>
                                <a:lnTo>
                                  <a:pt x="1101725" y="121132"/>
                                </a:lnTo>
                                <a:lnTo>
                                  <a:pt x="1101725" y="726778"/>
                                </a:lnTo>
                                <a:lnTo>
                                  <a:pt x="0" y="726778"/>
                                </a:lnTo>
                                <a:lnTo>
                                  <a:pt x="0" y="0"/>
                                </a:lnTo>
                                <a:close/>
                              </a:path>
                            </a:pathLst>
                          </a:custGeom>
                          <a:gradFill rotWithShape="1">
                            <a:gsLst>
                              <a:gs pos="0">
                                <a:srgbClr val="B5D5A7"/>
                              </a:gs>
                              <a:gs pos="50000">
                                <a:srgbClr val="AACE99"/>
                              </a:gs>
                              <a:gs pos="100000">
                                <a:srgbClr val="9CCA86"/>
                              </a:gs>
                            </a:gsLst>
                            <a:lin ang="5400000"/>
                          </a:gradFill>
                          <a:ln w="6350">
                            <a:solidFill>
                              <a:srgbClr val="F79646"/>
                            </a:solidFill>
                            <a:miter lim="800000"/>
                            <a:headEnd/>
                            <a:tailEnd/>
                          </a:ln>
                        </wps:spPr>
                        <wps:txbx>
                          <w:txbxContent>
                            <w:p w14:paraId="0BE2F5CB" w14:textId="77777777" w:rsidR="00F87462" w:rsidRDefault="00F87462" w:rsidP="0037398A">
                              <w:pPr>
                                <w:pStyle w:val="NormalWeb"/>
                                <w:spacing w:before="0" w:beforeAutospacing="0" w:after="0" w:afterAutospacing="0"/>
                                <w:jc w:val="center"/>
                              </w:pPr>
                              <w:r w:rsidRPr="000C1FD7">
                                <w:rPr>
                                  <w:rFonts w:ascii="Calibri" w:hAnsi="Calibri"/>
                                  <w:color w:val="000000"/>
                                  <w:kern w:val="24"/>
                                  <w:sz w:val="22"/>
                                  <w:szCs w:val="22"/>
                                </w:rPr>
                                <w:t>Intoxicación aguda</w:t>
                              </w:r>
                            </w:p>
                          </w:txbxContent>
                        </wps:txbx>
                        <wps:bodyPr rot="0" vert="horz" wrap="square" lIns="91440" tIns="45720" rIns="91440" bIns="45720" anchor="ctr" anchorCtr="0" upright="1">
                          <a:noAutofit/>
                        </wps:bodyPr>
                      </wps:wsp>
                      <wps:wsp>
                        <wps:cNvPr id="13" name="23 Recortar rectángulo de esquina sencilla"/>
                        <wps:cNvSpPr>
                          <a:spLocks/>
                        </wps:cNvSpPr>
                        <wps:spPr bwMode="auto">
                          <a:xfrm>
                            <a:off x="349" y="17938"/>
                            <a:ext cx="11017" cy="7084"/>
                          </a:xfrm>
                          <a:custGeom>
                            <a:avLst/>
                            <a:gdLst>
                              <a:gd name="T0" fmla="*/ 0 w 1101725"/>
                              <a:gd name="T1" fmla="*/ 0 h 708417"/>
                              <a:gd name="T2" fmla="*/ 983653 w 1101725"/>
                              <a:gd name="T3" fmla="*/ 0 h 708417"/>
                              <a:gd name="T4" fmla="*/ 1101725 w 1101725"/>
                              <a:gd name="T5" fmla="*/ 118072 h 708417"/>
                              <a:gd name="T6" fmla="*/ 1101725 w 1101725"/>
                              <a:gd name="T7" fmla="*/ 708417 h 708417"/>
                              <a:gd name="T8" fmla="*/ 0 w 1101725"/>
                              <a:gd name="T9" fmla="*/ 708417 h 708417"/>
                              <a:gd name="T10" fmla="*/ 0 w 1101725"/>
                              <a:gd name="T11" fmla="*/ 0 h 708417"/>
                              <a:gd name="T12" fmla="*/ 0 60000 65536"/>
                              <a:gd name="T13" fmla="*/ 0 60000 65536"/>
                              <a:gd name="T14" fmla="*/ 0 60000 65536"/>
                              <a:gd name="T15" fmla="*/ 0 60000 65536"/>
                              <a:gd name="T16" fmla="*/ 0 60000 65536"/>
                              <a:gd name="T17" fmla="*/ 0 60000 65536"/>
                              <a:gd name="T18" fmla="*/ 0 w 1101725"/>
                              <a:gd name="T19" fmla="*/ 0 h 708417"/>
                              <a:gd name="T20" fmla="*/ 1101725 w 1101725"/>
                              <a:gd name="T21" fmla="*/ 708417 h 708417"/>
                            </a:gdLst>
                            <a:ahLst/>
                            <a:cxnLst>
                              <a:cxn ang="T12">
                                <a:pos x="T0" y="T1"/>
                              </a:cxn>
                              <a:cxn ang="T13">
                                <a:pos x="T2" y="T3"/>
                              </a:cxn>
                              <a:cxn ang="T14">
                                <a:pos x="T4" y="T5"/>
                              </a:cxn>
                              <a:cxn ang="T15">
                                <a:pos x="T6" y="T7"/>
                              </a:cxn>
                              <a:cxn ang="T16">
                                <a:pos x="T8" y="T9"/>
                              </a:cxn>
                              <a:cxn ang="T17">
                                <a:pos x="T10" y="T11"/>
                              </a:cxn>
                            </a:cxnLst>
                            <a:rect l="T18" t="T19" r="T20" b="T21"/>
                            <a:pathLst>
                              <a:path w="1101725" h="708417">
                                <a:moveTo>
                                  <a:pt x="0" y="0"/>
                                </a:moveTo>
                                <a:lnTo>
                                  <a:pt x="983653" y="0"/>
                                </a:lnTo>
                                <a:lnTo>
                                  <a:pt x="1101725" y="118072"/>
                                </a:lnTo>
                                <a:lnTo>
                                  <a:pt x="1101725" y="708417"/>
                                </a:lnTo>
                                <a:lnTo>
                                  <a:pt x="0" y="708417"/>
                                </a:lnTo>
                                <a:lnTo>
                                  <a:pt x="0" y="0"/>
                                </a:lnTo>
                                <a:close/>
                              </a:path>
                            </a:pathLst>
                          </a:custGeom>
                          <a:gradFill rotWithShape="1">
                            <a:gsLst>
                              <a:gs pos="0">
                                <a:srgbClr val="B5D5A7"/>
                              </a:gs>
                              <a:gs pos="50000">
                                <a:srgbClr val="AACE99"/>
                              </a:gs>
                              <a:gs pos="100000">
                                <a:srgbClr val="9CCA86"/>
                              </a:gs>
                            </a:gsLst>
                            <a:lin ang="5400000"/>
                          </a:gradFill>
                          <a:ln w="6350">
                            <a:solidFill>
                              <a:srgbClr val="F79646"/>
                            </a:solidFill>
                            <a:miter lim="800000"/>
                            <a:headEnd/>
                            <a:tailEnd/>
                          </a:ln>
                        </wps:spPr>
                        <wps:txbx>
                          <w:txbxContent>
                            <w:p w14:paraId="0DE32E1A" w14:textId="77777777" w:rsidR="00F87462" w:rsidRDefault="00F87462" w:rsidP="0037398A">
                              <w:pPr>
                                <w:pStyle w:val="NormalWeb"/>
                                <w:spacing w:before="0" w:beforeAutospacing="0" w:after="0" w:afterAutospacing="0"/>
                                <w:jc w:val="center"/>
                              </w:pPr>
                              <w:r w:rsidRPr="000C1FD7">
                                <w:rPr>
                                  <w:rFonts w:ascii="Calibri" w:hAnsi="Calibri"/>
                                  <w:color w:val="000000"/>
                                  <w:kern w:val="24"/>
                                  <w:sz w:val="22"/>
                                  <w:szCs w:val="22"/>
                                </w:rPr>
                                <w:t>Intoxicación crónica</w:t>
                              </w:r>
                            </w:p>
                          </w:txbxContent>
                        </wps:txbx>
                        <wps:bodyPr rot="0" vert="horz" wrap="square" lIns="91440" tIns="45720" rIns="91440" bIns="45720" anchor="ctr" anchorCtr="0" upright="1">
                          <a:noAutofit/>
                        </wps:bodyPr>
                      </wps:wsp>
                      <wps:wsp>
                        <wps:cNvPr id="17" name="26 Rectángulo redondeado"/>
                        <wps:cNvSpPr>
                          <a:spLocks noChangeArrowheads="1"/>
                        </wps:cNvSpPr>
                        <wps:spPr bwMode="auto">
                          <a:xfrm>
                            <a:off x="11952" y="5977"/>
                            <a:ext cx="20988" cy="11663"/>
                          </a:xfrm>
                          <a:prstGeom prst="roundRect">
                            <a:avLst>
                              <a:gd name="adj" fmla="val 16667"/>
                            </a:avLst>
                          </a:prstGeom>
                          <a:gradFill rotWithShape="1">
                            <a:gsLst>
                              <a:gs pos="0">
                                <a:srgbClr val="A8B7DF"/>
                              </a:gs>
                              <a:gs pos="50000">
                                <a:srgbClr val="9AABD9"/>
                              </a:gs>
                              <a:gs pos="100000">
                                <a:srgbClr val="879ED7"/>
                              </a:gs>
                            </a:gsLst>
                            <a:lin ang="5400000"/>
                          </a:gradFill>
                          <a:ln w="6350">
                            <a:solidFill>
                              <a:srgbClr val="4F81BD"/>
                            </a:solidFill>
                            <a:miter lim="800000"/>
                            <a:headEnd/>
                            <a:tailEnd/>
                          </a:ln>
                        </wps:spPr>
                        <wps:txbx>
                          <w:txbxContent>
                            <w:p w14:paraId="576A78EF" w14:textId="77777777" w:rsidR="00F87462" w:rsidRDefault="00F87462" w:rsidP="0037398A">
                              <w:pPr>
                                <w:pStyle w:val="Prrafodelista"/>
                                <w:numPr>
                                  <w:ilvl w:val="0"/>
                                  <w:numId w:val="17"/>
                                </w:numPr>
                                <w:tabs>
                                  <w:tab w:val="clear" w:pos="720"/>
                                  <w:tab w:val="num" w:pos="142"/>
                                </w:tabs>
                                <w:spacing w:after="0" w:line="240" w:lineRule="auto"/>
                                <w:ind w:left="142" w:hanging="142"/>
                                <w:jc w:val="left"/>
                                <w:textAlignment w:val="baseline"/>
                                <w:rPr>
                                  <w:rFonts w:eastAsia="Times New Roman"/>
                                  <w:sz w:val="14"/>
                                </w:rPr>
                              </w:pPr>
                              <w:r w:rsidRPr="000C1FD7">
                                <w:rPr>
                                  <w:rFonts w:ascii="Calibri" w:hAnsi="Calibri"/>
                                  <w:color w:val="000000"/>
                                  <w:kern w:val="24"/>
                                  <w:sz w:val="14"/>
                                  <w:szCs w:val="16"/>
                                </w:rPr>
                                <w:t>Tos, neumonitis, edema pulmonar.</w:t>
                              </w:r>
                            </w:p>
                            <w:p w14:paraId="2AAE4AAF" w14:textId="77777777" w:rsidR="00F87462" w:rsidRDefault="00F87462" w:rsidP="0037398A">
                              <w:pPr>
                                <w:pStyle w:val="Prrafodelista"/>
                                <w:numPr>
                                  <w:ilvl w:val="0"/>
                                  <w:numId w:val="17"/>
                                </w:numPr>
                                <w:tabs>
                                  <w:tab w:val="clear" w:pos="720"/>
                                  <w:tab w:val="num" w:pos="142"/>
                                </w:tabs>
                                <w:spacing w:after="0" w:line="240" w:lineRule="auto"/>
                                <w:ind w:left="142" w:hanging="142"/>
                                <w:jc w:val="left"/>
                                <w:textAlignment w:val="baseline"/>
                                <w:rPr>
                                  <w:rFonts w:eastAsia="Times New Roman"/>
                                  <w:sz w:val="14"/>
                                </w:rPr>
                              </w:pPr>
                              <w:r w:rsidRPr="000C1FD7">
                                <w:rPr>
                                  <w:rFonts w:ascii="Calibri" w:hAnsi="Calibri"/>
                                  <w:color w:val="000000"/>
                                  <w:kern w:val="24"/>
                                  <w:sz w:val="14"/>
                                  <w:szCs w:val="16"/>
                                </w:rPr>
                                <w:t>Dificultad respiratoria.</w:t>
                              </w:r>
                            </w:p>
                            <w:p w14:paraId="7B73D797" w14:textId="77777777" w:rsidR="00F87462" w:rsidRDefault="00F87462" w:rsidP="0037398A">
                              <w:pPr>
                                <w:pStyle w:val="Prrafodelista"/>
                                <w:numPr>
                                  <w:ilvl w:val="0"/>
                                  <w:numId w:val="17"/>
                                </w:numPr>
                                <w:tabs>
                                  <w:tab w:val="clear" w:pos="720"/>
                                  <w:tab w:val="num" w:pos="142"/>
                                </w:tabs>
                                <w:spacing w:after="0" w:line="240" w:lineRule="auto"/>
                                <w:ind w:left="142" w:hanging="142"/>
                                <w:jc w:val="left"/>
                                <w:textAlignment w:val="baseline"/>
                                <w:rPr>
                                  <w:rFonts w:eastAsia="Times New Roman"/>
                                  <w:sz w:val="14"/>
                                </w:rPr>
                              </w:pPr>
                              <w:r w:rsidRPr="000C1FD7">
                                <w:rPr>
                                  <w:rFonts w:ascii="Calibri" w:hAnsi="Calibri"/>
                                  <w:color w:val="000000"/>
                                  <w:kern w:val="24"/>
                                  <w:sz w:val="14"/>
                                  <w:szCs w:val="16"/>
                                </w:rPr>
                                <w:t>Sabor metálico, vómito, diarrea.</w:t>
                              </w:r>
                            </w:p>
                            <w:p w14:paraId="2622A8A7" w14:textId="77777777" w:rsidR="00F87462" w:rsidRDefault="00F87462" w:rsidP="0037398A">
                              <w:pPr>
                                <w:pStyle w:val="Prrafodelista"/>
                                <w:numPr>
                                  <w:ilvl w:val="0"/>
                                  <w:numId w:val="17"/>
                                </w:numPr>
                                <w:tabs>
                                  <w:tab w:val="clear" w:pos="720"/>
                                  <w:tab w:val="num" w:pos="142"/>
                                </w:tabs>
                                <w:spacing w:after="0" w:line="240" w:lineRule="auto"/>
                                <w:ind w:left="142" w:hanging="142"/>
                                <w:jc w:val="left"/>
                                <w:textAlignment w:val="baseline"/>
                                <w:rPr>
                                  <w:rFonts w:eastAsia="Times New Roman"/>
                                  <w:sz w:val="14"/>
                                </w:rPr>
                              </w:pPr>
                              <w:r w:rsidRPr="000C1FD7">
                                <w:rPr>
                                  <w:rFonts w:ascii="Calibri" w:hAnsi="Calibri"/>
                                  <w:color w:val="000000"/>
                                  <w:kern w:val="24"/>
                                  <w:sz w:val="14"/>
                                  <w:szCs w:val="16"/>
                                </w:rPr>
                                <w:t>Disfagia, sialorrea.</w:t>
                              </w:r>
                            </w:p>
                            <w:p w14:paraId="1AACDE9E" w14:textId="77777777" w:rsidR="00F87462" w:rsidRDefault="00F87462" w:rsidP="0037398A">
                              <w:pPr>
                                <w:pStyle w:val="Prrafodelista"/>
                                <w:numPr>
                                  <w:ilvl w:val="0"/>
                                  <w:numId w:val="17"/>
                                </w:numPr>
                                <w:tabs>
                                  <w:tab w:val="clear" w:pos="720"/>
                                  <w:tab w:val="num" w:pos="142"/>
                                </w:tabs>
                                <w:spacing w:after="0" w:line="240" w:lineRule="auto"/>
                                <w:ind w:left="142" w:hanging="142"/>
                                <w:jc w:val="left"/>
                                <w:textAlignment w:val="baseline"/>
                                <w:rPr>
                                  <w:rFonts w:eastAsia="Times New Roman"/>
                                  <w:sz w:val="14"/>
                                </w:rPr>
                              </w:pPr>
                              <w:r w:rsidRPr="000C1FD7">
                                <w:rPr>
                                  <w:rFonts w:ascii="Calibri" w:hAnsi="Calibri"/>
                                  <w:color w:val="000000"/>
                                  <w:kern w:val="24"/>
                                  <w:sz w:val="14"/>
                                  <w:szCs w:val="16"/>
                                </w:rPr>
                                <w:t>Astenia, cefalea.</w:t>
                              </w:r>
                            </w:p>
                            <w:p w14:paraId="74E525F7" w14:textId="77777777" w:rsidR="00F87462" w:rsidRDefault="00F87462" w:rsidP="0037398A">
                              <w:pPr>
                                <w:pStyle w:val="Prrafodelista"/>
                                <w:numPr>
                                  <w:ilvl w:val="0"/>
                                  <w:numId w:val="17"/>
                                </w:numPr>
                                <w:tabs>
                                  <w:tab w:val="clear" w:pos="720"/>
                                  <w:tab w:val="num" w:pos="142"/>
                                </w:tabs>
                                <w:spacing w:after="0" w:line="240" w:lineRule="auto"/>
                                <w:ind w:left="142" w:hanging="142"/>
                                <w:jc w:val="left"/>
                                <w:textAlignment w:val="baseline"/>
                                <w:rPr>
                                  <w:rFonts w:eastAsia="Times New Roman"/>
                                  <w:sz w:val="16"/>
                                </w:rPr>
                              </w:pPr>
                              <w:r w:rsidRPr="000C1FD7">
                                <w:rPr>
                                  <w:rFonts w:ascii="Calibri" w:hAnsi="Calibri"/>
                                  <w:color w:val="000000"/>
                                  <w:kern w:val="24"/>
                                  <w:sz w:val="14"/>
                                  <w:szCs w:val="16"/>
                                </w:rPr>
                                <w:t>Inestabilidad emocional, irritabilidad., trombocitopenia.</w:t>
                              </w:r>
                            </w:p>
                          </w:txbxContent>
                        </wps:txbx>
                        <wps:bodyPr rot="0" vert="horz" wrap="square" lIns="91440" tIns="45720" rIns="91440" bIns="45720" anchor="ctr" anchorCtr="0" upright="1">
                          <a:noAutofit/>
                        </wps:bodyPr>
                      </wps:wsp>
                      <wps:wsp>
                        <wps:cNvPr id="18" name="27 Rectángulo redondeado"/>
                        <wps:cNvSpPr>
                          <a:spLocks noChangeArrowheads="1"/>
                        </wps:cNvSpPr>
                        <wps:spPr bwMode="auto">
                          <a:xfrm>
                            <a:off x="33526" y="5984"/>
                            <a:ext cx="17860" cy="10557"/>
                          </a:xfrm>
                          <a:prstGeom prst="roundRect">
                            <a:avLst>
                              <a:gd name="adj" fmla="val 16667"/>
                            </a:avLst>
                          </a:prstGeom>
                          <a:gradFill rotWithShape="1">
                            <a:gsLst>
                              <a:gs pos="0">
                                <a:srgbClr val="A8B7DF"/>
                              </a:gs>
                              <a:gs pos="50000">
                                <a:srgbClr val="9AABD9"/>
                              </a:gs>
                              <a:gs pos="100000">
                                <a:srgbClr val="879ED7"/>
                              </a:gs>
                            </a:gsLst>
                            <a:lin ang="5400000"/>
                          </a:gradFill>
                          <a:ln w="6350">
                            <a:solidFill>
                              <a:srgbClr val="4F81BD"/>
                            </a:solidFill>
                            <a:miter lim="800000"/>
                            <a:headEnd/>
                            <a:tailEnd/>
                          </a:ln>
                        </wps:spPr>
                        <wps:txbx>
                          <w:txbxContent>
                            <w:p w14:paraId="78FFFB72" w14:textId="77777777" w:rsidR="00F87462" w:rsidRDefault="00F87462" w:rsidP="0037398A">
                              <w:pPr>
                                <w:pStyle w:val="Prrafodelista"/>
                                <w:numPr>
                                  <w:ilvl w:val="0"/>
                                  <w:numId w:val="18"/>
                                </w:numPr>
                                <w:tabs>
                                  <w:tab w:val="clear" w:pos="720"/>
                                </w:tabs>
                                <w:spacing w:after="0" w:line="240" w:lineRule="auto"/>
                                <w:ind w:left="142" w:hanging="142"/>
                                <w:jc w:val="left"/>
                                <w:textAlignment w:val="baseline"/>
                                <w:rPr>
                                  <w:rFonts w:eastAsia="Times New Roman"/>
                                  <w:sz w:val="16"/>
                                </w:rPr>
                              </w:pPr>
                              <w:r w:rsidRPr="000C1FD7">
                                <w:rPr>
                                  <w:rFonts w:ascii="Calibri" w:hAnsi="Calibri"/>
                                  <w:color w:val="000000"/>
                                  <w:kern w:val="24"/>
                                  <w:sz w:val="16"/>
                                  <w:szCs w:val="16"/>
                                </w:rPr>
                                <w:t>Ribete de Gilbert</w:t>
                              </w:r>
                            </w:p>
                            <w:p w14:paraId="0F5E41FF" w14:textId="77777777" w:rsidR="00F87462" w:rsidRDefault="00F87462" w:rsidP="0037398A">
                              <w:pPr>
                                <w:pStyle w:val="Prrafodelista"/>
                                <w:numPr>
                                  <w:ilvl w:val="0"/>
                                  <w:numId w:val="18"/>
                                </w:numPr>
                                <w:tabs>
                                  <w:tab w:val="clear" w:pos="720"/>
                                </w:tabs>
                                <w:spacing w:after="0" w:line="240" w:lineRule="auto"/>
                                <w:ind w:left="142" w:hanging="142"/>
                                <w:jc w:val="left"/>
                                <w:textAlignment w:val="baseline"/>
                                <w:rPr>
                                  <w:rFonts w:eastAsia="Times New Roman"/>
                                  <w:sz w:val="16"/>
                                </w:rPr>
                              </w:pPr>
                              <w:r w:rsidRPr="000C1FD7">
                                <w:rPr>
                                  <w:rFonts w:ascii="Calibri" w:hAnsi="Calibri"/>
                                  <w:color w:val="000000"/>
                                  <w:kern w:val="24"/>
                                  <w:sz w:val="16"/>
                                  <w:szCs w:val="16"/>
                                </w:rPr>
                                <w:t>Sabor metálico</w:t>
                              </w:r>
                            </w:p>
                            <w:p w14:paraId="2E169799" w14:textId="77777777" w:rsidR="00F87462" w:rsidRDefault="00F87462" w:rsidP="0037398A">
                              <w:pPr>
                                <w:pStyle w:val="Prrafodelista"/>
                                <w:numPr>
                                  <w:ilvl w:val="0"/>
                                  <w:numId w:val="18"/>
                                </w:numPr>
                                <w:tabs>
                                  <w:tab w:val="clear" w:pos="720"/>
                                </w:tabs>
                                <w:spacing w:after="0" w:line="240" w:lineRule="auto"/>
                                <w:ind w:left="142" w:hanging="142"/>
                                <w:jc w:val="left"/>
                                <w:textAlignment w:val="baseline"/>
                                <w:rPr>
                                  <w:rFonts w:eastAsia="Times New Roman"/>
                                  <w:sz w:val="16"/>
                                </w:rPr>
                              </w:pPr>
                              <w:r w:rsidRPr="000C1FD7">
                                <w:rPr>
                                  <w:rFonts w:ascii="Calibri" w:hAnsi="Calibri"/>
                                  <w:color w:val="000000"/>
                                  <w:kern w:val="24"/>
                                  <w:sz w:val="16"/>
                                  <w:szCs w:val="16"/>
                                </w:rPr>
                                <w:t xml:space="preserve">Quemaduras en </w:t>
                              </w:r>
                              <w:r w:rsidRPr="000C1FD7">
                                <w:rPr>
                                  <w:rFonts w:ascii="Calibri" w:hAnsi="Calibri"/>
                                  <w:color w:val="000000"/>
                                  <w:kern w:val="24"/>
                                  <w:sz w:val="16"/>
                                  <w:szCs w:val="16"/>
                                </w:rPr>
                                <w:t>orofaringe</w:t>
                              </w:r>
                            </w:p>
                            <w:p w14:paraId="33C298C2" w14:textId="77777777" w:rsidR="00F87462" w:rsidRDefault="00F87462" w:rsidP="0037398A">
                              <w:pPr>
                                <w:pStyle w:val="Prrafodelista"/>
                                <w:numPr>
                                  <w:ilvl w:val="0"/>
                                  <w:numId w:val="18"/>
                                </w:numPr>
                                <w:tabs>
                                  <w:tab w:val="clear" w:pos="720"/>
                                </w:tabs>
                                <w:spacing w:after="0" w:line="240" w:lineRule="auto"/>
                                <w:ind w:left="142" w:hanging="142"/>
                                <w:jc w:val="left"/>
                                <w:textAlignment w:val="baseline"/>
                                <w:rPr>
                                  <w:rFonts w:eastAsia="Times New Roman"/>
                                  <w:sz w:val="16"/>
                                </w:rPr>
                              </w:pPr>
                              <w:r w:rsidRPr="000C1FD7">
                                <w:rPr>
                                  <w:rFonts w:ascii="Calibri" w:hAnsi="Calibri"/>
                                  <w:color w:val="000000"/>
                                  <w:kern w:val="24"/>
                                  <w:sz w:val="16"/>
                                  <w:szCs w:val="16"/>
                                </w:rPr>
                                <w:t>Náuseas, vómito, gastroenteritis hemorrágica.</w:t>
                              </w:r>
                            </w:p>
                            <w:p w14:paraId="4B6B0B97" w14:textId="77777777" w:rsidR="00F87462" w:rsidRDefault="00F87462" w:rsidP="0037398A">
                              <w:pPr>
                                <w:pStyle w:val="Prrafodelista"/>
                                <w:numPr>
                                  <w:ilvl w:val="0"/>
                                  <w:numId w:val="18"/>
                                </w:numPr>
                                <w:tabs>
                                  <w:tab w:val="clear" w:pos="720"/>
                                </w:tabs>
                                <w:spacing w:after="0" w:line="240" w:lineRule="auto"/>
                                <w:ind w:left="142" w:hanging="142"/>
                                <w:jc w:val="left"/>
                                <w:textAlignment w:val="baseline"/>
                                <w:rPr>
                                  <w:rFonts w:eastAsia="Times New Roman"/>
                                  <w:sz w:val="16"/>
                                </w:rPr>
                              </w:pPr>
                              <w:r w:rsidRPr="000C1FD7">
                                <w:rPr>
                                  <w:rFonts w:ascii="Calibri" w:hAnsi="Calibri"/>
                                  <w:color w:val="000000"/>
                                  <w:kern w:val="24"/>
                                  <w:sz w:val="16"/>
                                  <w:szCs w:val="16"/>
                                </w:rPr>
                                <w:t>Dolor abdominal, necrosis intestinal</w:t>
                              </w:r>
                            </w:p>
                            <w:p w14:paraId="64A873C6" w14:textId="77777777" w:rsidR="00F87462" w:rsidRDefault="00F87462" w:rsidP="0037398A">
                              <w:pPr>
                                <w:pStyle w:val="Prrafodelista"/>
                                <w:numPr>
                                  <w:ilvl w:val="0"/>
                                  <w:numId w:val="18"/>
                                </w:numPr>
                                <w:spacing w:after="0" w:line="240" w:lineRule="auto"/>
                                <w:jc w:val="left"/>
                                <w:textAlignment w:val="baseline"/>
                                <w:rPr>
                                  <w:rFonts w:eastAsia="Times New Roman"/>
                                  <w:sz w:val="16"/>
                                </w:rPr>
                              </w:pPr>
                              <w:r w:rsidRPr="000C1FD7">
                                <w:rPr>
                                  <w:rFonts w:ascii="Calibri" w:hAnsi="Calibri"/>
                                  <w:color w:val="000000"/>
                                  <w:kern w:val="24"/>
                                  <w:sz w:val="16"/>
                                  <w:szCs w:val="16"/>
                                </w:rPr>
                                <w:t>Falla renal</w:t>
                              </w:r>
                            </w:p>
                          </w:txbxContent>
                        </wps:txbx>
                        <wps:bodyPr rot="0" vert="horz" wrap="square" lIns="91440" tIns="45720" rIns="91440" bIns="45720" anchor="ctr" anchorCtr="0" upright="1">
                          <a:noAutofit/>
                        </wps:bodyPr>
                      </wps:wsp>
                      <wps:wsp>
                        <wps:cNvPr id="19" name="AutoShape 13"/>
                        <wps:cNvSpPr>
                          <a:spLocks noChangeArrowheads="1"/>
                        </wps:cNvSpPr>
                        <wps:spPr bwMode="auto">
                          <a:xfrm>
                            <a:off x="52163" y="6461"/>
                            <a:ext cx="16066" cy="8300"/>
                          </a:xfrm>
                          <a:prstGeom prst="roundRect">
                            <a:avLst>
                              <a:gd name="adj" fmla="val 16667"/>
                            </a:avLst>
                          </a:prstGeom>
                          <a:gradFill rotWithShape="1">
                            <a:gsLst>
                              <a:gs pos="0">
                                <a:srgbClr val="A8B7DF"/>
                              </a:gs>
                              <a:gs pos="50000">
                                <a:srgbClr val="9AABD9"/>
                              </a:gs>
                              <a:gs pos="100000">
                                <a:srgbClr val="879ED7"/>
                              </a:gs>
                            </a:gsLst>
                            <a:lin ang="5400000"/>
                          </a:gradFill>
                          <a:ln w="6350">
                            <a:solidFill>
                              <a:srgbClr val="4F81BD"/>
                            </a:solidFill>
                            <a:miter lim="800000"/>
                            <a:headEnd/>
                            <a:tailEnd/>
                          </a:ln>
                        </wps:spPr>
                        <wps:txbx>
                          <w:txbxContent>
                            <w:p w14:paraId="7E07D644" w14:textId="77777777" w:rsidR="00F87462" w:rsidRDefault="00F87462" w:rsidP="0037398A">
                              <w:pPr>
                                <w:pStyle w:val="Prrafodelista"/>
                                <w:numPr>
                                  <w:ilvl w:val="0"/>
                                  <w:numId w:val="19"/>
                                </w:numPr>
                                <w:tabs>
                                  <w:tab w:val="clear" w:pos="720"/>
                                </w:tabs>
                                <w:spacing w:after="0" w:line="240" w:lineRule="auto"/>
                                <w:ind w:left="142" w:hanging="142"/>
                                <w:jc w:val="left"/>
                                <w:textAlignment w:val="baseline"/>
                                <w:rPr>
                                  <w:rFonts w:eastAsia="Times New Roman"/>
                                  <w:sz w:val="16"/>
                                </w:rPr>
                              </w:pPr>
                              <w:r w:rsidRPr="000C1FD7">
                                <w:rPr>
                                  <w:rFonts w:ascii="Calibri" w:hAnsi="Calibri"/>
                                  <w:color w:val="000000"/>
                                  <w:kern w:val="24"/>
                                  <w:sz w:val="16"/>
                                  <w:szCs w:val="16"/>
                                </w:rPr>
                                <w:t>Síntomas tracto gastrointestinales agudos.</w:t>
                              </w:r>
                            </w:p>
                            <w:p w14:paraId="0DB3EC10" w14:textId="77777777" w:rsidR="00F87462" w:rsidRDefault="00F87462" w:rsidP="0037398A">
                              <w:pPr>
                                <w:pStyle w:val="Prrafodelista"/>
                                <w:numPr>
                                  <w:ilvl w:val="0"/>
                                  <w:numId w:val="19"/>
                                </w:numPr>
                                <w:tabs>
                                  <w:tab w:val="clear" w:pos="720"/>
                                </w:tabs>
                                <w:spacing w:after="0" w:line="240" w:lineRule="auto"/>
                                <w:ind w:left="142" w:hanging="142"/>
                                <w:jc w:val="left"/>
                                <w:textAlignment w:val="baseline"/>
                                <w:rPr>
                                  <w:rFonts w:eastAsia="Times New Roman"/>
                                  <w:sz w:val="16"/>
                                </w:rPr>
                              </w:pPr>
                              <w:r w:rsidRPr="000C1FD7">
                                <w:rPr>
                                  <w:rFonts w:ascii="Calibri" w:hAnsi="Calibri"/>
                                  <w:color w:val="000000"/>
                                  <w:kern w:val="24"/>
                                  <w:sz w:val="16"/>
                                  <w:szCs w:val="16"/>
                                </w:rPr>
                                <w:t>Temblor</w:t>
                              </w:r>
                            </w:p>
                            <w:p w14:paraId="4A73D0F1" w14:textId="77777777" w:rsidR="00F87462" w:rsidRDefault="00F87462" w:rsidP="0037398A">
                              <w:pPr>
                                <w:pStyle w:val="Prrafodelista"/>
                                <w:numPr>
                                  <w:ilvl w:val="0"/>
                                  <w:numId w:val="19"/>
                                </w:numPr>
                                <w:tabs>
                                  <w:tab w:val="clear" w:pos="720"/>
                                </w:tabs>
                                <w:spacing w:after="0" w:line="240" w:lineRule="auto"/>
                                <w:ind w:left="142" w:hanging="142"/>
                                <w:jc w:val="left"/>
                                <w:textAlignment w:val="baseline"/>
                                <w:rPr>
                                  <w:rFonts w:eastAsia="Times New Roman"/>
                                  <w:sz w:val="16"/>
                                </w:rPr>
                              </w:pPr>
                              <w:r w:rsidRPr="000C1FD7">
                                <w:rPr>
                                  <w:rFonts w:ascii="Calibri" w:hAnsi="Calibri"/>
                                  <w:color w:val="000000"/>
                                  <w:kern w:val="24"/>
                                  <w:sz w:val="16"/>
                                  <w:szCs w:val="16"/>
                                </w:rPr>
                                <w:t>Dificultad respiratoria.</w:t>
                              </w:r>
                            </w:p>
                          </w:txbxContent>
                        </wps:txbx>
                        <wps:bodyPr rot="0" vert="horz" wrap="square" lIns="91440" tIns="45720" rIns="91440" bIns="45720" anchor="ctr" anchorCtr="0" upright="1">
                          <a:noAutofit/>
                        </wps:bodyPr>
                      </wps:wsp>
                      <wps:wsp>
                        <wps:cNvPr id="20" name="29 Rectángulo redondeado"/>
                        <wps:cNvSpPr>
                          <a:spLocks noChangeArrowheads="1"/>
                        </wps:cNvSpPr>
                        <wps:spPr bwMode="auto">
                          <a:xfrm>
                            <a:off x="14064" y="18061"/>
                            <a:ext cx="35528" cy="7051"/>
                          </a:xfrm>
                          <a:prstGeom prst="roundRect">
                            <a:avLst>
                              <a:gd name="adj" fmla="val 16667"/>
                            </a:avLst>
                          </a:prstGeom>
                          <a:gradFill rotWithShape="1">
                            <a:gsLst>
                              <a:gs pos="0">
                                <a:srgbClr val="A8B7DF"/>
                              </a:gs>
                              <a:gs pos="50000">
                                <a:srgbClr val="9AABD9"/>
                              </a:gs>
                              <a:gs pos="100000">
                                <a:srgbClr val="879ED7"/>
                              </a:gs>
                            </a:gsLst>
                            <a:lin ang="5400000"/>
                          </a:gradFill>
                          <a:ln w="6350">
                            <a:solidFill>
                              <a:srgbClr val="4F81BD"/>
                            </a:solidFill>
                            <a:miter lim="800000"/>
                            <a:headEnd/>
                            <a:tailEnd/>
                          </a:ln>
                        </wps:spPr>
                        <wps:txbx>
                          <w:txbxContent>
                            <w:p w14:paraId="6780A851" w14:textId="77777777" w:rsidR="00F87462" w:rsidRDefault="00F87462" w:rsidP="0037398A">
                              <w:pPr>
                                <w:pStyle w:val="Prrafodelista"/>
                                <w:numPr>
                                  <w:ilvl w:val="0"/>
                                  <w:numId w:val="20"/>
                                </w:numPr>
                                <w:tabs>
                                  <w:tab w:val="clear" w:pos="720"/>
                                  <w:tab w:val="num" w:pos="142"/>
                                </w:tabs>
                                <w:spacing w:after="0" w:line="240" w:lineRule="auto"/>
                                <w:ind w:hanging="720"/>
                                <w:jc w:val="left"/>
                                <w:textAlignment w:val="baseline"/>
                                <w:rPr>
                                  <w:rFonts w:eastAsia="Times New Roman"/>
                                  <w:sz w:val="16"/>
                                </w:rPr>
                              </w:pPr>
                              <w:r w:rsidRPr="000C1FD7">
                                <w:rPr>
                                  <w:rFonts w:ascii="Calibri" w:hAnsi="Calibri"/>
                                  <w:color w:val="000000"/>
                                  <w:kern w:val="24"/>
                                  <w:sz w:val="16"/>
                                  <w:szCs w:val="16"/>
                                </w:rPr>
                                <w:t>Gingivoestomatitis</w:t>
                              </w:r>
                            </w:p>
                            <w:p w14:paraId="4DC60A49" w14:textId="77777777" w:rsidR="00F87462" w:rsidRDefault="00F87462" w:rsidP="0037398A">
                              <w:pPr>
                                <w:pStyle w:val="Prrafodelista"/>
                                <w:numPr>
                                  <w:ilvl w:val="0"/>
                                  <w:numId w:val="20"/>
                                </w:numPr>
                                <w:tabs>
                                  <w:tab w:val="clear" w:pos="720"/>
                                  <w:tab w:val="num" w:pos="142"/>
                                </w:tabs>
                                <w:spacing w:after="0" w:line="240" w:lineRule="auto"/>
                                <w:ind w:hanging="720"/>
                                <w:jc w:val="left"/>
                                <w:textAlignment w:val="baseline"/>
                                <w:rPr>
                                  <w:rFonts w:eastAsia="Times New Roman"/>
                                  <w:sz w:val="16"/>
                                </w:rPr>
                              </w:pPr>
                              <w:r w:rsidRPr="000C1FD7">
                                <w:rPr>
                                  <w:rFonts w:ascii="Calibri" w:hAnsi="Calibri"/>
                                  <w:color w:val="000000"/>
                                  <w:kern w:val="24"/>
                                  <w:sz w:val="16"/>
                                  <w:szCs w:val="16"/>
                                </w:rPr>
                                <w:t>Alteración tubular renal (oliguría)</w:t>
                              </w:r>
                            </w:p>
                            <w:p w14:paraId="41856AB6" w14:textId="77777777" w:rsidR="00F87462" w:rsidRDefault="00F87462" w:rsidP="0037398A">
                              <w:pPr>
                                <w:pStyle w:val="Prrafodelista"/>
                                <w:numPr>
                                  <w:ilvl w:val="0"/>
                                  <w:numId w:val="20"/>
                                </w:numPr>
                                <w:tabs>
                                  <w:tab w:val="clear" w:pos="720"/>
                                  <w:tab w:val="num" w:pos="142"/>
                                </w:tabs>
                                <w:spacing w:after="0" w:line="240" w:lineRule="auto"/>
                                <w:ind w:hanging="720"/>
                                <w:jc w:val="left"/>
                                <w:textAlignment w:val="baseline"/>
                                <w:rPr>
                                  <w:rFonts w:eastAsia="Times New Roman"/>
                                  <w:sz w:val="16"/>
                                </w:rPr>
                              </w:pPr>
                              <w:r w:rsidRPr="000C1FD7">
                                <w:rPr>
                                  <w:rFonts w:ascii="Calibri" w:hAnsi="Calibri"/>
                                  <w:color w:val="000000"/>
                                  <w:kern w:val="24"/>
                                  <w:sz w:val="16"/>
                                  <w:szCs w:val="16"/>
                                </w:rPr>
                                <w:t>Alteración neurológica (neurastenia, eretismo, acrodinia)</w:t>
                              </w:r>
                            </w:p>
                          </w:txbxContent>
                        </wps:txbx>
                        <wps:bodyPr rot="0" vert="horz" wrap="square" lIns="91440" tIns="45720" rIns="91440" bIns="45720" anchor="ctr" anchorCtr="0" upright="1">
                          <a:noAutofit/>
                        </wps:bodyPr>
                      </wps:wsp>
                      <wps:wsp>
                        <wps:cNvPr id="21" name="AutoShape 15"/>
                        <wps:cNvSpPr>
                          <a:spLocks noChangeArrowheads="1"/>
                        </wps:cNvSpPr>
                        <wps:spPr bwMode="auto">
                          <a:xfrm>
                            <a:off x="52159" y="17347"/>
                            <a:ext cx="17234" cy="9026"/>
                          </a:xfrm>
                          <a:prstGeom prst="roundRect">
                            <a:avLst>
                              <a:gd name="adj" fmla="val 16667"/>
                            </a:avLst>
                          </a:prstGeom>
                          <a:gradFill rotWithShape="1">
                            <a:gsLst>
                              <a:gs pos="0">
                                <a:srgbClr val="A8B7DF"/>
                              </a:gs>
                              <a:gs pos="50000">
                                <a:srgbClr val="9AABD9"/>
                              </a:gs>
                              <a:gs pos="100000">
                                <a:srgbClr val="879ED7"/>
                              </a:gs>
                            </a:gsLst>
                            <a:lin ang="5400000"/>
                          </a:gradFill>
                          <a:ln w="6350">
                            <a:solidFill>
                              <a:srgbClr val="4F81BD"/>
                            </a:solidFill>
                            <a:miter lim="800000"/>
                            <a:headEnd/>
                            <a:tailEnd/>
                          </a:ln>
                        </wps:spPr>
                        <wps:txbx>
                          <w:txbxContent>
                            <w:p w14:paraId="732D7383" w14:textId="77777777" w:rsidR="00F87462" w:rsidRDefault="00F87462" w:rsidP="0037398A">
                              <w:pPr>
                                <w:pStyle w:val="Prrafodelista"/>
                                <w:numPr>
                                  <w:ilvl w:val="0"/>
                                  <w:numId w:val="21"/>
                                </w:numPr>
                                <w:tabs>
                                  <w:tab w:val="clear" w:pos="720"/>
                                </w:tabs>
                                <w:spacing w:after="0" w:line="240" w:lineRule="auto"/>
                                <w:ind w:left="142" w:hanging="142"/>
                                <w:jc w:val="left"/>
                                <w:textAlignment w:val="baseline"/>
                                <w:rPr>
                                  <w:rFonts w:eastAsia="Times New Roman"/>
                                  <w:sz w:val="14"/>
                                </w:rPr>
                              </w:pPr>
                              <w:r w:rsidRPr="000C1FD7">
                                <w:rPr>
                                  <w:rFonts w:ascii="Calibri" w:hAnsi="Calibri"/>
                                  <w:color w:val="000000"/>
                                  <w:kern w:val="24"/>
                                  <w:sz w:val="14"/>
                                  <w:szCs w:val="16"/>
                                </w:rPr>
                                <w:t>Neurotoxicidad retardada (parestesias, ataxia, disartria, alteraciones visuales o auditivas o convulsiones).</w:t>
                              </w:r>
                            </w:p>
                            <w:p w14:paraId="31B554F0" w14:textId="77777777" w:rsidR="00F87462" w:rsidRDefault="00F87462" w:rsidP="0037398A">
                              <w:pPr>
                                <w:pStyle w:val="Prrafodelista"/>
                                <w:numPr>
                                  <w:ilvl w:val="0"/>
                                  <w:numId w:val="21"/>
                                </w:numPr>
                                <w:tabs>
                                  <w:tab w:val="clear" w:pos="720"/>
                                  <w:tab w:val="num" w:pos="142"/>
                                </w:tabs>
                                <w:spacing w:after="0" w:line="240" w:lineRule="auto"/>
                                <w:ind w:hanging="720"/>
                                <w:jc w:val="left"/>
                                <w:textAlignment w:val="baseline"/>
                                <w:rPr>
                                  <w:rFonts w:eastAsia="Times New Roman"/>
                                  <w:sz w:val="14"/>
                                </w:rPr>
                              </w:pPr>
                              <w:r w:rsidRPr="000C1FD7">
                                <w:rPr>
                                  <w:rFonts w:ascii="Calibri" w:hAnsi="Calibri"/>
                                  <w:color w:val="000000"/>
                                  <w:kern w:val="24"/>
                                  <w:sz w:val="14"/>
                                  <w:szCs w:val="16"/>
                                </w:rPr>
                                <w:t>Alteración tubular renal</w:t>
                              </w:r>
                            </w:p>
                          </w:txbxContent>
                        </wps:txbx>
                        <wps:bodyPr rot="0" vert="horz" wrap="square" lIns="91440" tIns="45720" rIns="91440" bIns="45720" anchor="ctr" anchorCtr="0" upright="1">
                          <a:noAutofit/>
                        </wps:bodyPr>
                      </wps:wsp>
                      <wps:wsp>
                        <wps:cNvPr id="22" name="119 Conector recto de flecha"/>
                        <wps:cNvCnPr>
                          <a:cxnSpLocks noChangeShapeType="1"/>
                        </wps:cNvCnPr>
                        <wps:spPr bwMode="auto">
                          <a:xfrm flipV="1">
                            <a:off x="11017" y="9144"/>
                            <a:ext cx="1063" cy="127"/>
                          </a:xfrm>
                          <a:prstGeom prst="straightConnector1">
                            <a:avLst/>
                          </a:prstGeom>
                          <a:noFill/>
                          <a:ln w="6350">
                            <a:solidFill>
                              <a:srgbClr val="4F81BD"/>
                            </a:solidFill>
                            <a:miter lim="800000"/>
                            <a:headEnd/>
                            <a:tailEnd type="arrow" w="med" len="med"/>
                          </a:ln>
                          <a:extLst>
                            <a:ext uri="{909E8E84-426E-40DD-AFC4-6F175D3DCCD1}">
                              <a14:hiddenFill xmlns:a14="http://schemas.microsoft.com/office/drawing/2010/main">
                                <a:noFill/>
                              </a14:hiddenFill>
                            </a:ext>
                          </a:extLst>
                        </wps:spPr>
                        <wps:bodyPr/>
                      </wps:wsp>
                      <wps:wsp>
                        <wps:cNvPr id="23" name="123 Conector recto de flecha"/>
                        <wps:cNvCnPr>
                          <a:cxnSpLocks noChangeShapeType="1"/>
                        </wps:cNvCnPr>
                        <wps:spPr bwMode="auto">
                          <a:xfrm flipV="1">
                            <a:off x="11366" y="19812"/>
                            <a:ext cx="2588" cy="127"/>
                          </a:xfrm>
                          <a:prstGeom prst="straightConnector1">
                            <a:avLst/>
                          </a:prstGeom>
                          <a:noFill/>
                          <a:ln w="6350">
                            <a:solidFill>
                              <a:srgbClr val="4F81BD"/>
                            </a:solidFill>
                            <a:miter lim="800000"/>
                            <a:headEnd/>
                            <a:tailEnd type="arrow" w="med" len="me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2CFBCB42" id="Grupo 1" o:spid="_x0000_s1029" style="position:absolute;left:0;text-align:left;margin-left:-17.45pt;margin-top:9.4pt;width:494.6pt;height:183.45pt;z-index:251662336;mso-width-relative:margin;mso-height-relative:margin" coordsize="69393,263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">
                <v:shape id="9 Recortar rectángulo de esquina sencilla" o:spid="_x0000_s1030" style="position:absolute;left:15708;width:13128;height:4460;visibility:visible;mso-wrap-style:square;v-text-anchor:middle" coordsize="1312863,4460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" adj="-11796480,,5400" path="m,l1238514,r74349,74349l1312863,446088,,446088,,xe" fillcolor="#b5d5a7" strokecolor="#f79646" strokeweight=".5pt">
                  <v:fill color2="#9cca86" rotate="t" colors="0 #b5d5a7;.5 #aace99;1 #9cca86" focus="100%" type="gradient">
                    <o:fill v:ext="view" type="gradientUnscaled"/>
                  </v:fill>
                  <v:stroke joinstyle="miter"/>
                  <v:formulas/>
                  <v:path arrowok="t" o:connecttype="custom" o:connectlocs="0,0;12385,0;13128,743;13128,4460;0,4460;0,0" o:connectangles="0,0,0,0,0,0" textboxrect="0,0,1312863,446088"/>
                  <v:textbox>
                    <w:txbxContent>
                      <w:p w14:paraId="272243E2" w14:textId="77777777" w:rsidR="00F87462" w:rsidRPr="000104D6" w:rsidRDefault="00F87462" w:rsidP="0037398A">
                        <w:pPr>
                          <w:pStyle w:val="NormalWeb"/>
                          <w:spacing w:before="0" w:beforeAutospacing="0" w:after="0" w:afterAutospacing="0"/>
                          <w:jc w:val="center"/>
                        </w:pPr>
                        <w:r w:rsidRPr="000C1FD7">
                          <w:rPr>
                            <w:rFonts w:ascii="Calibri" w:hAnsi="Calibri"/>
                            <w:kern w:val="24"/>
                            <w:sz w:val="22"/>
                            <w:szCs w:val="22"/>
                          </w:rPr>
                          <w:t>ELEMENTAL (metálico)</w:t>
                        </w:r>
                      </w:p>
                    </w:txbxContent>
                  </v:textbox>
                </v:shape>
                <v:shape id="10 Recortar rectángulo de esquina sencilla" o:spid="_x0000_s1031" style="position:absolute;left:33528;width:16065;height:4460;visibility:visible;mso-wrap-style:square;v-text-anchor:middle" coordsize="1606550,4460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" adj="-11796480,,5400" path="m,l1532201,r74349,74349l1606550,446088,,446088,,xe" fillcolor="#b5d5a7" strokecolor="#f79646" strokeweight=".5pt">
                  <v:fill color2="#9cca86" rotate="t" colors="0 #b5d5a7;.5 #aace99;1 #9cca86" focus="100%" type="gradient">
                    <o:fill v:ext="view" type="gradientUnscaled"/>
                  </v:fill>
                  <v:stroke joinstyle="miter"/>
                  <v:formulas/>
                  <v:path arrowok="t" o:connecttype="custom" o:connectlocs="0,0;15322,0;16065,743;16065,4460;0,4460;0,0" o:connectangles="0,0,0,0,0,0" textboxrect="0,0,1606550,446088"/>
                  <v:textbox>
                    <w:txbxContent>
                      <w:p w14:paraId="6A442128" w14:textId="77777777" w:rsidR="00F87462" w:rsidRPr="000104D6" w:rsidRDefault="00F87462" w:rsidP="0037398A">
                        <w:pPr>
                          <w:pStyle w:val="NormalWeb"/>
                          <w:spacing w:before="0" w:beforeAutospacing="0" w:after="0" w:afterAutospacing="0"/>
                          <w:jc w:val="center"/>
                        </w:pPr>
                        <w:r w:rsidRPr="000C1FD7">
                          <w:rPr>
                            <w:rFonts w:ascii="Calibri" w:hAnsi="Calibri"/>
                            <w:kern w:val="24"/>
                            <w:sz w:val="22"/>
                            <w:szCs w:val="22"/>
                          </w:rPr>
                          <w:t xml:space="preserve"> INORGÁNICO</w:t>
                        </w:r>
                      </w:p>
                      <w:p w14:paraId="52B8DCB6" w14:textId="77777777" w:rsidR="00F87462" w:rsidRPr="000104D6" w:rsidRDefault="00F87462" w:rsidP="0037398A">
                        <w:pPr>
                          <w:pStyle w:val="NormalWeb"/>
                          <w:spacing w:before="0" w:beforeAutospacing="0" w:after="0" w:afterAutospacing="0"/>
                          <w:jc w:val="center"/>
                        </w:pPr>
                        <w:r w:rsidRPr="000C1FD7">
                          <w:rPr>
                            <w:rFonts w:ascii="Calibri" w:hAnsi="Calibri"/>
                            <w:kern w:val="24"/>
                            <w:sz w:val="22"/>
                            <w:szCs w:val="22"/>
                          </w:rPr>
                          <w:t>(</w:t>
                        </w:r>
                        <w:r w:rsidRPr="000C1FD7">
                          <w:rPr>
                            <w:rFonts w:ascii="Calibri" w:hAnsi="Calibri"/>
                            <w:kern w:val="24"/>
                            <w:sz w:val="22"/>
                            <w:szCs w:val="22"/>
                          </w:rPr>
                          <w:t>sales de mercurio)</w:t>
                        </w:r>
                      </w:p>
                    </w:txbxContent>
                  </v:textbox>
                </v:shape>
                <v:shape id="AutoShape 8" o:spid="_x0000_s1032" style="position:absolute;left:53459;width:13716;height:4460;visibility:visible;mso-wrap-style:square;v-text-anchor:middle" coordsize="1371600,4460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" adj="-11796480,,5400" path="m,l1297251,r74349,74349l1371600,446088,,446088,,xe" fillcolor="#b5d5a7" strokecolor="#f79646" strokeweight=".5pt">
                  <v:fill color2="#9cca86" rotate="t" colors="0 #b5d5a7;.5 #aace99;1 #9cca86" focus="100%" type="gradient">
                    <o:fill v:ext="view" type="gradientUnscaled"/>
                  </v:fill>
                  <v:stroke joinstyle="miter"/>
                  <v:formulas/>
                  <v:path arrowok="t" o:connecttype="custom" o:connectlocs="0,0;12973,0;13716,743;13716,4460;0,4460;0,0" o:connectangles="0,0,0,0,0,0" textboxrect="0,0,1371600,446088"/>
                  <v:textbox>
                    <w:txbxContent>
                      <w:p w14:paraId="0250C0C1" w14:textId="77777777" w:rsidR="00F87462" w:rsidRPr="000104D6" w:rsidRDefault="00F87462" w:rsidP="0037398A">
                        <w:pPr>
                          <w:pStyle w:val="NormalWeb"/>
                          <w:spacing w:before="0" w:beforeAutospacing="0" w:after="0" w:afterAutospacing="0"/>
                          <w:jc w:val="center"/>
                        </w:pPr>
                        <w:r w:rsidRPr="000C1FD7">
                          <w:rPr>
                            <w:rFonts w:ascii="Calibri" w:hAnsi="Calibri"/>
                            <w:kern w:val="24"/>
                            <w:sz w:val="22"/>
                            <w:szCs w:val="22"/>
                          </w:rPr>
                          <w:t>ORGÁNICO</w:t>
                        </w:r>
                      </w:p>
                      <w:p w14:paraId="6EFF5253" w14:textId="77777777" w:rsidR="00F87462" w:rsidRPr="000104D6" w:rsidRDefault="00F87462" w:rsidP="0037398A">
                        <w:pPr>
                          <w:pStyle w:val="NormalWeb"/>
                          <w:spacing w:before="0" w:beforeAutospacing="0" w:after="0" w:afterAutospacing="0"/>
                          <w:jc w:val="center"/>
                        </w:pPr>
                        <w:r w:rsidRPr="000C1FD7">
                          <w:rPr>
                            <w:rFonts w:ascii="Calibri" w:hAnsi="Calibri"/>
                            <w:kern w:val="24"/>
                            <w:sz w:val="22"/>
                            <w:szCs w:val="22"/>
                          </w:rPr>
                          <w:t>(</w:t>
                        </w:r>
                        <w:r w:rsidRPr="000C1FD7">
                          <w:rPr>
                            <w:rFonts w:ascii="Calibri" w:hAnsi="Calibri"/>
                            <w:kern w:val="24"/>
                            <w:sz w:val="22"/>
                            <w:szCs w:val="22"/>
                          </w:rPr>
                          <w:t>metilmercurio)</w:t>
                        </w:r>
                      </w:p>
                    </w:txbxContent>
                  </v:textbox>
                </v:shape>
                <v:shape id="22 Recortar rectángulo de esquina sencilla" o:spid="_x0000_s1033" style="position:absolute;top:5873;width:11017;height:7268;visibility:visible;mso-wrap-style:square;v-text-anchor:middle" coordsize="1101725,72677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" adj="-11796480,,5400" path="m,l980593,r121132,121132l1101725,726778,,726778,,xe" fillcolor="#b5d5a7" strokecolor="#f79646" strokeweight=".5pt">
                  <v:fill color2="#9cca86" rotate="t" colors="0 #b5d5a7;.5 #aace99;1 #9cca86" focus="100%" type="gradient">
                    <o:fill v:ext="view" type="gradientUnscaled"/>
                  </v:fill>
                  <v:stroke joinstyle="miter"/>
                  <v:formulas/>
                  <v:path arrowok="t" o:connecttype="custom" o:connectlocs="0,0;9806,0;11017,1211;11017,7268;0,7268;0,0" o:connectangles="0,0,0,0,0,0" textboxrect="0,0,1101725,726778"/>
                  <v:textbox>
                    <w:txbxContent>
                      <w:p w14:paraId="0BE2F5CB" w14:textId="77777777" w:rsidR="00F87462" w:rsidRDefault="00F87462" w:rsidP="0037398A">
                        <w:pPr>
                          <w:pStyle w:val="NormalWeb"/>
                          <w:spacing w:before="0" w:beforeAutospacing="0" w:after="0" w:afterAutospacing="0"/>
                          <w:jc w:val="center"/>
                        </w:pPr>
                        <w:r w:rsidRPr="000C1FD7">
                          <w:rPr>
                            <w:rFonts w:ascii="Calibri" w:hAnsi="Calibri"/>
                            <w:color w:val="000000"/>
                            <w:kern w:val="24"/>
                            <w:sz w:val="22"/>
                            <w:szCs w:val="22"/>
                          </w:rPr>
                          <w:t>Intoxicación aguda</w:t>
                        </w:r>
                      </w:p>
                    </w:txbxContent>
                  </v:textbox>
                </v:shape>
                <v:shape id="23 Recortar rectángulo de esquina sencilla" o:spid="_x0000_s1034" style="position:absolute;left:349;top:17938;width:11017;height:7084;visibility:visible;mso-wrap-style:square;v-text-anchor:middle" coordsize="1101725,70841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" adj="-11796480,,5400" path="m,l983653,r118072,118072l1101725,708417,,708417,,xe" fillcolor="#b5d5a7" strokecolor="#f79646" strokeweight=".5pt">
                  <v:fill color2="#9cca86" rotate="t" colors="0 #b5d5a7;.5 #aace99;1 #9cca86" focus="100%" type="gradient">
                    <o:fill v:ext="view" type="gradientUnscaled"/>
                  </v:fill>
                  <v:stroke joinstyle="miter"/>
                  <v:formulas/>
                  <v:path arrowok="t" o:connecttype="custom" o:connectlocs="0,0;9836,0;11017,1181;11017,7084;0,7084;0,0" o:connectangles="0,0,0,0,0,0" textboxrect="0,0,1101725,708417"/>
                  <v:textbox>
                    <w:txbxContent>
                      <w:p w14:paraId="0DE32E1A" w14:textId="77777777" w:rsidR="00F87462" w:rsidRDefault="00F87462" w:rsidP="0037398A">
                        <w:pPr>
                          <w:pStyle w:val="NormalWeb"/>
                          <w:spacing w:before="0" w:beforeAutospacing="0" w:after="0" w:afterAutospacing="0"/>
                          <w:jc w:val="center"/>
                        </w:pPr>
                        <w:r w:rsidRPr="000C1FD7">
                          <w:rPr>
                            <w:rFonts w:ascii="Calibri" w:hAnsi="Calibri"/>
                            <w:color w:val="000000"/>
                            <w:kern w:val="24"/>
                            <w:sz w:val="22"/>
                            <w:szCs w:val="22"/>
                          </w:rPr>
                          <w:t>Intoxicación crónica</w:t>
                        </w:r>
                      </w:p>
                    </w:txbxContent>
                  </v:textbox>
                </v:shape>
                <v:roundrect id="26 Rectángulo redondeado" o:spid="_x0000_s1035" style="position:absolute;left:11952;top:5977;width:20988;height:1166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" fillcolor="#a8b7df" strokecolor="#4f81bd" strokeweight=".5pt">
                  <v:fill color2="#879ed7" rotate="t" colors="0 #a8b7df;.5 #9aabd9;1 #879ed7" focus="100%" type="gradient">
                    <o:fill v:ext="view" type="gradientUnscaled"/>
                  </v:fill>
                  <v:stroke joinstyle="miter"/>
                  <v:textbox>
                    <w:txbxContent>
                      <w:p w14:paraId="576A78EF" w14:textId="77777777" w:rsidR="00F87462" w:rsidRDefault="00F87462" w:rsidP="0037398A">
                        <w:pPr>
                          <w:pStyle w:val="Prrafodelista"/>
                          <w:numPr>
                            <w:ilvl w:val="0"/>
                            <w:numId w:val="17"/>
                          </w:numPr>
                          <w:tabs>
                            <w:tab w:val="clear" w:pos="720"/>
                            <w:tab w:val="num" w:pos="142"/>
                          </w:tabs>
                          <w:spacing w:after="0" w:line="240" w:lineRule="auto"/>
                          <w:ind w:left="142" w:hanging="142"/>
                          <w:jc w:val="left"/>
                          <w:textAlignment w:val="baseline"/>
                          <w:rPr>
                            <w:rFonts w:eastAsia="Times New Roman"/>
                            <w:sz w:val="14"/>
                          </w:rPr>
                        </w:pPr>
                        <w:r w:rsidRPr="000C1FD7">
                          <w:rPr>
                            <w:rFonts w:ascii="Calibri" w:hAnsi="Calibri"/>
                            <w:color w:val="000000"/>
                            <w:kern w:val="24"/>
                            <w:sz w:val="14"/>
                            <w:szCs w:val="16"/>
                          </w:rPr>
                          <w:t>Tos, neumonitis, edema pulmonar.</w:t>
                        </w:r>
                      </w:p>
                      <w:p w14:paraId="2AAE4AAF" w14:textId="77777777" w:rsidR="00F87462" w:rsidRDefault="00F87462" w:rsidP="0037398A">
                        <w:pPr>
                          <w:pStyle w:val="Prrafodelista"/>
                          <w:numPr>
                            <w:ilvl w:val="0"/>
                            <w:numId w:val="17"/>
                          </w:numPr>
                          <w:tabs>
                            <w:tab w:val="clear" w:pos="720"/>
                            <w:tab w:val="num" w:pos="142"/>
                          </w:tabs>
                          <w:spacing w:after="0" w:line="240" w:lineRule="auto"/>
                          <w:ind w:left="142" w:hanging="142"/>
                          <w:jc w:val="left"/>
                          <w:textAlignment w:val="baseline"/>
                          <w:rPr>
                            <w:rFonts w:eastAsia="Times New Roman"/>
                            <w:sz w:val="14"/>
                          </w:rPr>
                        </w:pPr>
                        <w:r w:rsidRPr="000C1FD7">
                          <w:rPr>
                            <w:rFonts w:ascii="Calibri" w:hAnsi="Calibri"/>
                            <w:color w:val="000000"/>
                            <w:kern w:val="24"/>
                            <w:sz w:val="14"/>
                            <w:szCs w:val="16"/>
                          </w:rPr>
                          <w:t>Dificultad respiratoria.</w:t>
                        </w:r>
                      </w:p>
                      <w:p w14:paraId="7B73D797" w14:textId="77777777" w:rsidR="00F87462" w:rsidRDefault="00F87462" w:rsidP="0037398A">
                        <w:pPr>
                          <w:pStyle w:val="Prrafodelista"/>
                          <w:numPr>
                            <w:ilvl w:val="0"/>
                            <w:numId w:val="17"/>
                          </w:numPr>
                          <w:tabs>
                            <w:tab w:val="clear" w:pos="720"/>
                            <w:tab w:val="num" w:pos="142"/>
                          </w:tabs>
                          <w:spacing w:after="0" w:line="240" w:lineRule="auto"/>
                          <w:ind w:left="142" w:hanging="142"/>
                          <w:jc w:val="left"/>
                          <w:textAlignment w:val="baseline"/>
                          <w:rPr>
                            <w:rFonts w:eastAsia="Times New Roman"/>
                            <w:sz w:val="14"/>
                          </w:rPr>
                        </w:pPr>
                        <w:r w:rsidRPr="000C1FD7">
                          <w:rPr>
                            <w:rFonts w:ascii="Calibri" w:hAnsi="Calibri"/>
                            <w:color w:val="000000"/>
                            <w:kern w:val="24"/>
                            <w:sz w:val="14"/>
                            <w:szCs w:val="16"/>
                          </w:rPr>
                          <w:t>Sabor metálico, vómito, diarrea.</w:t>
                        </w:r>
                      </w:p>
                      <w:p w14:paraId="2622A8A7" w14:textId="77777777" w:rsidR="00F87462" w:rsidRDefault="00F87462" w:rsidP="0037398A">
                        <w:pPr>
                          <w:pStyle w:val="Prrafodelista"/>
                          <w:numPr>
                            <w:ilvl w:val="0"/>
                            <w:numId w:val="17"/>
                          </w:numPr>
                          <w:tabs>
                            <w:tab w:val="clear" w:pos="720"/>
                            <w:tab w:val="num" w:pos="142"/>
                          </w:tabs>
                          <w:spacing w:after="0" w:line="240" w:lineRule="auto"/>
                          <w:ind w:left="142" w:hanging="142"/>
                          <w:jc w:val="left"/>
                          <w:textAlignment w:val="baseline"/>
                          <w:rPr>
                            <w:rFonts w:eastAsia="Times New Roman"/>
                            <w:sz w:val="14"/>
                          </w:rPr>
                        </w:pPr>
                        <w:r w:rsidRPr="000C1FD7">
                          <w:rPr>
                            <w:rFonts w:ascii="Calibri" w:hAnsi="Calibri"/>
                            <w:color w:val="000000"/>
                            <w:kern w:val="24"/>
                            <w:sz w:val="14"/>
                            <w:szCs w:val="16"/>
                          </w:rPr>
                          <w:t>Disfagia, sialorrea.</w:t>
                        </w:r>
                      </w:p>
                      <w:p w14:paraId="1AACDE9E" w14:textId="77777777" w:rsidR="00F87462" w:rsidRDefault="00F87462" w:rsidP="0037398A">
                        <w:pPr>
                          <w:pStyle w:val="Prrafodelista"/>
                          <w:numPr>
                            <w:ilvl w:val="0"/>
                            <w:numId w:val="17"/>
                          </w:numPr>
                          <w:tabs>
                            <w:tab w:val="clear" w:pos="720"/>
                            <w:tab w:val="num" w:pos="142"/>
                          </w:tabs>
                          <w:spacing w:after="0" w:line="240" w:lineRule="auto"/>
                          <w:ind w:left="142" w:hanging="142"/>
                          <w:jc w:val="left"/>
                          <w:textAlignment w:val="baseline"/>
                          <w:rPr>
                            <w:rFonts w:eastAsia="Times New Roman"/>
                            <w:sz w:val="14"/>
                          </w:rPr>
                        </w:pPr>
                        <w:r w:rsidRPr="000C1FD7">
                          <w:rPr>
                            <w:rFonts w:ascii="Calibri" w:hAnsi="Calibri"/>
                            <w:color w:val="000000"/>
                            <w:kern w:val="24"/>
                            <w:sz w:val="14"/>
                            <w:szCs w:val="16"/>
                          </w:rPr>
                          <w:t>Astenia, cefalea.</w:t>
                        </w:r>
                      </w:p>
                      <w:p w14:paraId="74E525F7" w14:textId="77777777" w:rsidR="00F87462" w:rsidRDefault="00F87462" w:rsidP="0037398A">
                        <w:pPr>
                          <w:pStyle w:val="Prrafodelista"/>
                          <w:numPr>
                            <w:ilvl w:val="0"/>
                            <w:numId w:val="17"/>
                          </w:numPr>
                          <w:tabs>
                            <w:tab w:val="clear" w:pos="720"/>
                            <w:tab w:val="num" w:pos="142"/>
                          </w:tabs>
                          <w:spacing w:after="0" w:line="240" w:lineRule="auto"/>
                          <w:ind w:left="142" w:hanging="142"/>
                          <w:jc w:val="left"/>
                          <w:textAlignment w:val="baseline"/>
                          <w:rPr>
                            <w:rFonts w:eastAsia="Times New Roman"/>
                            <w:sz w:val="16"/>
                          </w:rPr>
                        </w:pPr>
                        <w:r w:rsidRPr="000C1FD7">
                          <w:rPr>
                            <w:rFonts w:ascii="Calibri" w:hAnsi="Calibri"/>
                            <w:color w:val="000000"/>
                            <w:kern w:val="24"/>
                            <w:sz w:val="14"/>
                            <w:szCs w:val="16"/>
                          </w:rPr>
                          <w:t>Inestabilidad emocional, irritabilidad., trombocitopenia.</w:t>
                        </w:r>
                      </w:p>
                    </w:txbxContent>
                  </v:textbox>
                </v:roundrect>
                <v:roundrect id="27 Rectángulo redondeado" o:spid="_x0000_s1036" style="position:absolute;left:33526;top:5984;width:17860;height:1055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" fillcolor="#a8b7df" strokecolor="#4f81bd" strokeweight=".5pt">
                  <v:fill color2="#879ed7" rotate="t" colors="0 #a8b7df;.5 #9aabd9;1 #879ed7" focus="100%" type="gradient">
                    <o:fill v:ext="view" type="gradientUnscaled"/>
                  </v:fill>
                  <v:stroke joinstyle="miter"/>
                  <v:textbox>
                    <w:txbxContent>
                      <w:p w14:paraId="78FFFB72" w14:textId="77777777" w:rsidR="00F87462" w:rsidRDefault="00F87462" w:rsidP="0037398A">
                        <w:pPr>
                          <w:pStyle w:val="Prrafodelista"/>
                          <w:numPr>
                            <w:ilvl w:val="0"/>
                            <w:numId w:val="18"/>
                          </w:numPr>
                          <w:tabs>
                            <w:tab w:val="clear" w:pos="720"/>
                          </w:tabs>
                          <w:spacing w:after="0" w:line="240" w:lineRule="auto"/>
                          <w:ind w:left="142" w:hanging="142"/>
                          <w:jc w:val="left"/>
                          <w:textAlignment w:val="baseline"/>
                          <w:rPr>
                            <w:rFonts w:eastAsia="Times New Roman"/>
                            <w:sz w:val="16"/>
                          </w:rPr>
                        </w:pPr>
                        <w:r w:rsidRPr="000C1FD7">
                          <w:rPr>
                            <w:rFonts w:ascii="Calibri" w:hAnsi="Calibri"/>
                            <w:color w:val="000000"/>
                            <w:kern w:val="24"/>
                            <w:sz w:val="16"/>
                            <w:szCs w:val="16"/>
                          </w:rPr>
                          <w:t>Ribete de Gilbert</w:t>
                        </w:r>
                      </w:p>
                      <w:p w14:paraId="0F5E41FF" w14:textId="77777777" w:rsidR="00F87462" w:rsidRDefault="00F87462" w:rsidP="0037398A">
                        <w:pPr>
                          <w:pStyle w:val="Prrafodelista"/>
                          <w:numPr>
                            <w:ilvl w:val="0"/>
                            <w:numId w:val="18"/>
                          </w:numPr>
                          <w:tabs>
                            <w:tab w:val="clear" w:pos="720"/>
                          </w:tabs>
                          <w:spacing w:after="0" w:line="240" w:lineRule="auto"/>
                          <w:ind w:left="142" w:hanging="142"/>
                          <w:jc w:val="left"/>
                          <w:textAlignment w:val="baseline"/>
                          <w:rPr>
                            <w:rFonts w:eastAsia="Times New Roman"/>
                            <w:sz w:val="16"/>
                          </w:rPr>
                        </w:pPr>
                        <w:r w:rsidRPr="000C1FD7">
                          <w:rPr>
                            <w:rFonts w:ascii="Calibri" w:hAnsi="Calibri"/>
                            <w:color w:val="000000"/>
                            <w:kern w:val="24"/>
                            <w:sz w:val="16"/>
                            <w:szCs w:val="16"/>
                          </w:rPr>
                          <w:t>Sabor metálico</w:t>
                        </w:r>
                      </w:p>
                      <w:p w14:paraId="2E169799" w14:textId="77777777" w:rsidR="00F87462" w:rsidRDefault="00F87462" w:rsidP="0037398A">
                        <w:pPr>
                          <w:pStyle w:val="Prrafodelista"/>
                          <w:numPr>
                            <w:ilvl w:val="0"/>
                            <w:numId w:val="18"/>
                          </w:numPr>
                          <w:tabs>
                            <w:tab w:val="clear" w:pos="720"/>
                          </w:tabs>
                          <w:spacing w:after="0" w:line="240" w:lineRule="auto"/>
                          <w:ind w:left="142" w:hanging="142"/>
                          <w:jc w:val="left"/>
                          <w:textAlignment w:val="baseline"/>
                          <w:rPr>
                            <w:rFonts w:eastAsia="Times New Roman"/>
                            <w:sz w:val="16"/>
                          </w:rPr>
                        </w:pPr>
                        <w:r w:rsidRPr="000C1FD7">
                          <w:rPr>
                            <w:rFonts w:ascii="Calibri" w:hAnsi="Calibri"/>
                            <w:color w:val="000000"/>
                            <w:kern w:val="24"/>
                            <w:sz w:val="16"/>
                            <w:szCs w:val="16"/>
                          </w:rPr>
                          <w:t xml:space="preserve">Quemaduras en </w:t>
                        </w:r>
                        <w:r w:rsidRPr="000C1FD7">
                          <w:rPr>
                            <w:rFonts w:ascii="Calibri" w:hAnsi="Calibri"/>
                            <w:color w:val="000000"/>
                            <w:kern w:val="24"/>
                            <w:sz w:val="16"/>
                            <w:szCs w:val="16"/>
                          </w:rPr>
                          <w:t>orofaringe</w:t>
                        </w:r>
                      </w:p>
                      <w:p w14:paraId="33C298C2" w14:textId="77777777" w:rsidR="00F87462" w:rsidRDefault="00F87462" w:rsidP="0037398A">
                        <w:pPr>
                          <w:pStyle w:val="Prrafodelista"/>
                          <w:numPr>
                            <w:ilvl w:val="0"/>
                            <w:numId w:val="18"/>
                          </w:numPr>
                          <w:tabs>
                            <w:tab w:val="clear" w:pos="720"/>
                          </w:tabs>
                          <w:spacing w:after="0" w:line="240" w:lineRule="auto"/>
                          <w:ind w:left="142" w:hanging="142"/>
                          <w:jc w:val="left"/>
                          <w:textAlignment w:val="baseline"/>
                          <w:rPr>
                            <w:rFonts w:eastAsia="Times New Roman"/>
                            <w:sz w:val="16"/>
                          </w:rPr>
                        </w:pPr>
                        <w:r w:rsidRPr="000C1FD7">
                          <w:rPr>
                            <w:rFonts w:ascii="Calibri" w:hAnsi="Calibri"/>
                            <w:color w:val="000000"/>
                            <w:kern w:val="24"/>
                            <w:sz w:val="16"/>
                            <w:szCs w:val="16"/>
                          </w:rPr>
                          <w:t>Náuseas, vómito, gastroenteritis hemorrágica.</w:t>
                        </w:r>
                      </w:p>
                      <w:p w14:paraId="4B6B0B97" w14:textId="77777777" w:rsidR="00F87462" w:rsidRDefault="00F87462" w:rsidP="0037398A">
                        <w:pPr>
                          <w:pStyle w:val="Prrafodelista"/>
                          <w:numPr>
                            <w:ilvl w:val="0"/>
                            <w:numId w:val="18"/>
                          </w:numPr>
                          <w:tabs>
                            <w:tab w:val="clear" w:pos="720"/>
                          </w:tabs>
                          <w:spacing w:after="0" w:line="240" w:lineRule="auto"/>
                          <w:ind w:left="142" w:hanging="142"/>
                          <w:jc w:val="left"/>
                          <w:textAlignment w:val="baseline"/>
                          <w:rPr>
                            <w:rFonts w:eastAsia="Times New Roman"/>
                            <w:sz w:val="16"/>
                          </w:rPr>
                        </w:pPr>
                        <w:r w:rsidRPr="000C1FD7">
                          <w:rPr>
                            <w:rFonts w:ascii="Calibri" w:hAnsi="Calibri"/>
                            <w:color w:val="000000"/>
                            <w:kern w:val="24"/>
                            <w:sz w:val="16"/>
                            <w:szCs w:val="16"/>
                          </w:rPr>
                          <w:t>Dolor abdominal, necrosis intestinal</w:t>
                        </w:r>
                      </w:p>
                      <w:p w14:paraId="64A873C6" w14:textId="77777777" w:rsidR="00F87462" w:rsidRDefault="00F87462" w:rsidP="0037398A">
                        <w:pPr>
                          <w:pStyle w:val="Prrafodelista"/>
                          <w:numPr>
                            <w:ilvl w:val="0"/>
                            <w:numId w:val="18"/>
                          </w:numPr>
                          <w:spacing w:after="0" w:line="240" w:lineRule="auto"/>
                          <w:jc w:val="left"/>
                          <w:textAlignment w:val="baseline"/>
                          <w:rPr>
                            <w:rFonts w:eastAsia="Times New Roman"/>
                            <w:sz w:val="16"/>
                          </w:rPr>
                        </w:pPr>
                        <w:r w:rsidRPr="000C1FD7">
                          <w:rPr>
                            <w:rFonts w:ascii="Calibri" w:hAnsi="Calibri"/>
                            <w:color w:val="000000"/>
                            <w:kern w:val="24"/>
                            <w:sz w:val="16"/>
                            <w:szCs w:val="16"/>
                          </w:rPr>
                          <w:t>Falla renal</w:t>
                        </w:r>
                      </w:p>
                    </w:txbxContent>
                  </v:textbox>
                </v:roundrect>
                <v:roundrect id="AutoShape 13" o:spid="_x0000_s1037" style="position:absolute;left:52163;top:6461;width:16066;height:83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" fillcolor="#a8b7df" strokecolor="#4f81bd" strokeweight=".5pt">
                  <v:fill color2="#879ed7" rotate="t" colors="0 #a8b7df;.5 #9aabd9;1 #879ed7" focus="100%" type="gradient">
                    <o:fill v:ext="view" type="gradientUnscaled"/>
                  </v:fill>
                  <v:stroke joinstyle="miter"/>
                  <v:textbox>
                    <w:txbxContent>
                      <w:p w14:paraId="7E07D644" w14:textId="77777777" w:rsidR="00F87462" w:rsidRDefault="00F87462" w:rsidP="0037398A">
                        <w:pPr>
                          <w:pStyle w:val="Prrafodelista"/>
                          <w:numPr>
                            <w:ilvl w:val="0"/>
                            <w:numId w:val="19"/>
                          </w:numPr>
                          <w:tabs>
                            <w:tab w:val="clear" w:pos="720"/>
                          </w:tabs>
                          <w:spacing w:after="0" w:line="240" w:lineRule="auto"/>
                          <w:ind w:left="142" w:hanging="142"/>
                          <w:jc w:val="left"/>
                          <w:textAlignment w:val="baseline"/>
                          <w:rPr>
                            <w:rFonts w:eastAsia="Times New Roman"/>
                            <w:sz w:val="16"/>
                          </w:rPr>
                        </w:pPr>
                        <w:r w:rsidRPr="000C1FD7">
                          <w:rPr>
                            <w:rFonts w:ascii="Calibri" w:hAnsi="Calibri"/>
                            <w:color w:val="000000"/>
                            <w:kern w:val="24"/>
                            <w:sz w:val="16"/>
                            <w:szCs w:val="16"/>
                          </w:rPr>
                          <w:t>Síntomas tracto gastrointestinales agudos.</w:t>
                        </w:r>
                      </w:p>
                      <w:p w14:paraId="0DB3EC10" w14:textId="77777777" w:rsidR="00F87462" w:rsidRDefault="00F87462" w:rsidP="0037398A">
                        <w:pPr>
                          <w:pStyle w:val="Prrafodelista"/>
                          <w:numPr>
                            <w:ilvl w:val="0"/>
                            <w:numId w:val="19"/>
                          </w:numPr>
                          <w:tabs>
                            <w:tab w:val="clear" w:pos="720"/>
                          </w:tabs>
                          <w:spacing w:after="0" w:line="240" w:lineRule="auto"/>
                          <w:ind w:left="142" w:hanging="142"/>
                          <w:jc w:val="left"/>
                          <w:textAlignment w:val="baseline"/>
                          <w:rPr>
                            <w:rFonts w:eastAsia="Times New Roman"/>
                            <w:sz w:val="16"/>
                          </w:rPr>
                        </w:pPr>
                        <w:r w:rsidRPr="000C1FD7">
                          <w:rPr>
                            <w:rFonts w:ascii="Calibri" w:hAnsi="Calibri"/>
                            <w:color w:val="000000"/>
                            <w:kern w:val="24"/>
                            <w:sz w:val="16"/>
                            <w:szCs w:val="16"/>
                          </w:rPr>
                          <w:t>Temblor</w:t>
                        </w:r>
                      </w:p>
                      <w:p w14:paraId="4A73D0F1" w14:textId="77777777" w:rsidR="00F87462" w:rsidRDefault="00F87462" w:rsidP="0037398A">
                        <w:pPr>
                          <w:pStyle w:val="Prrafodelista"/>
                          <w:numPr>
                            <w:ilvl w:val="0"/>
                            <w:numId w:val="19"/>
                          </w:numPr>
                          <w:tabs>
                            <w:tab w:val="clear" w:pos="720"/>
                          </w:tabs>
                          <w:spacing w:after="0" w:line="240" w:lineRule="auto"/>
                          <w:ind w:left="142" w:hanging="142"/>
                          <w:jc w:val="left"/>
                          <w:textAlignment w:val="baseline"/>
                          <w:rPr>
                            <w:rFonts w:eastAsia="Times New Roman"/>
                            <w:sz w:val="16"/>
                          </w:rPr>
                        </w:pPr>
                        <w:r w:rsidRPr="000C1FD7">
                          <w:rPr>
                            <w:rFonts w:ascii="Calibri" w:hAnsi="Calibri"/>
                            <w:color w:val="000000"/>
                            <w:kern w:val="24"/>
                            <w:sz w:val="16"/>
                            <w:szCs w:val="16"/>
                          </w:rPr>
                          <w:t>Dificultad respiratoria.</w:t>
                        </w:r>
                      </w:p>
                    </w:txbxContent>
                  </v:textbox>
                </v:roundrect>
                <v:roundrect id="29 Rectángulo redondeado" o:spid="_x0000_s1038" style="position:absolute;left:14064;top:18061;width:35528;height:705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" fillcolor="#a8b7df" strokecolor="#4f81bd" strokeweight=".5pt">
                  <v:fill color2="#879ed7" rotate="t" colors="0 #a8b7df;.5 #9aabd9;1 #879ed7" focus="100%" type="gradient">
                    <o:fill v:ext="view" type="gradientUnscaled"/>
                  </v:fill>
                  <v:stroke joinstyle="miter"/>
                  <v:textbox>
                    <w:txbxContent>
                      <w:p w14:paraId="6780A851" w14:textId="77777777" w:rsidR="00F87462" w:rsidRDefault="00F87462" w:rsidP="0037398A">
                        <w:pPr>
                          <w:pStyle w:val="Prrafodelista"/>
                          <w:numPr>
                            <w:ilvl w:val="0"/>
                            <w:numId w:val="20"/>
                          </w:numPr>
                          <w:tabs>
                            <w:tab w:val="clear" w:pos="720"/>
                            <w:tab w:val="num" w:pos="142"/>
                          </w:tabs>
                          <w:spacing w:after="0" w:line="240" w:lineRule="auto"/>
                          <w:ind w:hanging="720"/>
                          <w:jc w:val="left"/>
                          <w:textAlignment w:val="baseline"/>
                          <w:rPr>
                            <w:rFonts w:eastAsia="Times New Roman"/>
                            <w:sz w:val="16"/>
                          </w:rPr>
                        </w:pPr>
                        <w:r w:rsidRPr="000C1FD7">
                          <w:rPr>
                            <w:rFonts w:ascii="Calibri" w:hAnsi="Calibri"/>
                            <w:color w:val="000000"/>
                            <w:kern w:val="24"/>
                            <w:sz w:val="16"/>
                            <w:szCs w:val="16"/>
                          </w:rPr>
                          <w:t>Gingivoestomatitis</w:t>
                        </w:r>
                      </w:p>
                      <w:p w14:paraId="4DC60A49" w14:textId="77777777" w:rsidR="00F87462" w:rsidRDefault="00F87462" w:rsidP="0037398A">
                        <w:pPr>
                          <w:pStyle w:val="Prrafodelista"/>
                          <w:numPr>
                            <w:ilvl w:val="0"/>
                            <w:numId w:val="20"/>
                          </w:numPr>
                          <w:tabs>
                            <w:tab w:val="clear" w:pos="720"/>
                            <w:tab w:val="num" w:pos="142"/>
                          </w:tabs>
                          <w:spacing w:after="0" w:line="240" w:lineRule="auto"/>
                          <w:ind w:hanging="720"/>
                          <w:jc w:val="left"/>
                          <w:textAlignment w:val="baseline"/>
                          <w:rPr>
                            <w:rFonts w:eastAsia="Times New Roman"/>
                            <w:sz w:val="16"/>
                          </w:rPr>
                        </w:pPr>
                        <w:r w:rsidRPr="000C1FD7">
                          <w:rPr>
                            <w:rFonts w:ascii="Calibri" w:hAnsi="Calibri"/>
                            <w:color w:val="000000"/>
                            <w:kern w:val="24"/>
                            <w:sz w:val="16"/>
                            <w:szCs w:val="16"/>
                          </w:rPr>
                          <w:t>Alteración tubular renal (oliguría)</w:t>
                        </w:r>
                      </w:p>
                      <w:p w14:paraId="41856AB6" w14:textId="77777777" w:rsidR="00F87462" w:rsidRDefault="00F87462" w:rsidP="0037398A">
                        <w:pPr>
                          <w:pStyle w:val="Prrafodelista"/>
                          <w:numPr>
                            <w:ilvl w:val="0"/>
                            <w:numId w:val="20"/>
                          </w:numPr>
                          <w:tabs>
                            <w:tab w:val="clear" w:pos="720"/>
                            <w:tab w:val="num" w:pos="142"/>
                          </w:tabs>
                          <w:spacing w:after="0" w:line="240" w:lineRule="auto"/>
                          <w:ind w:hanging="720"/>
                          <w:jc w:val="left"/>
                          <w:textAlignment w:val="baseline"/>
                          <w:rPr>
                            <w:rFonts w:eastAsia="Times New Roman"/>
                            <w:sz w:val="16"/>
                          </w:rPr>
                        </w:pPr>
                        <w:r w:rsidRPr="000C1FD7">
                          <w:rPr>
                            <w:rFonts w:ascii="Calibri" w:hAnsi="Calibri"/>
                            <w:color w:val="000000"/>
                            <w:kern w:val="24"/>
                            <w:sz w:val="16"/>
                            <w:szCs w:val="16"/>
                          </w:rPr>
                          <w:t>Alteración neurológica (neurastenia, eretismo, acrodinia)</w:t>
                        </w:r>
                      </w:p>
                    </w:txbxContent>
                  </v:textbox>
                </v:roundrect>
                <v:roundrect id="AutoShape 15" o:spid="_x0000_s1039" style="position:absolute;left:52159;top:17347;width:17234;height:902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" fillcolor="#a8b7df" strokecolor="#4f81bd" strokeweight=".5pt">
                  <v:fill color2="#879ed7" rotate="t" colors="0 #a8b7df;.5 #9aabd9;1 #879ed7" focus="100%" type="gradient">
                    <o:fill v:ext="view" type="gradientUnscaled"/>
                  </v:fill>
                  <v:stroke joinstyle="miter"/>
                  <v:textbox>
                    <w:txbxContent>
                      <w:p w14:paraId="732D7383" w14:textId="77777777" w:rsidR="00F87462" w:rsidRDefault="00F87462" w:rsidP="0037398A">
                        <w:pPr>
                          <w:pStyle w:val="Prrafodelista"/>
                          <w:numPr>
                            <w:ilvl w:val="0"/>
                            <w:numId w:val="21"/>
                          </w:numPr>
                          <w:tabs>
                            <w:tab w:val="clear" w:pos="720"/>
                          </w:tabs>
                          <w:spacing w:after="0" w:line="240" w:lineRule="auto"/>
                          <w:ind w:left="142" w:hanging="142"/>
                          <w:jc w:val="left"/>
                          <w:textAlignment w:val="baseline"/>
                          <w:rPr>
                            <w:rFonts w:eastAsia="Times New Roman"/>
                            <w:sz w:val="14"/>
                          </w:rPr>
                        </w:pPr>
                        <w:r w:rsidRPr="000C1FD7">
                          <w:rPr>
                            <w:rFonts w:ascii="Calibri" w:hAnsi="Calibri"/>
                            <w:color w:val="000000"/>
                            <w:kern w:val="24"/>
                            <w:sz w:val="14"/>
                            <w:szCs w:val="16"/>
                          </w:rPr>
                          <w:t>Neurotoxicidad retardada (parestesias, ataxia, disartria, alteraciones visuales o auditivas o convulsiones).</w:t>
                        </w:r>
                      </w:p>
                      <w:p w14:paraId="31B554F0" w14:textId="77777777" w:rsidR="00F87462" w:rsidRDefault="00F87462" w:rsidP="0037398A">
                        <w:pPr>
                          <w:pStyle w:val="Prrafodelista"/>
                          <w:numPr>
                            <w:ilvl w:val="0"/>
                            <w:numId w:val="21"/>
                          </w:numPr>
                          <w:tabs>
                            <w:tab w:val="clear" w:pos="720"/>
                            <w:tab w:val="num" w:pos="142"/>
                          </w:tabs>
                          <w:spacing w:after="0" w:line="240" w:lineRule="auto"/>
                          <w:ind w:hanging="720"/>
                          <w:jc w:val="left"/>
                          <w:textAlignment w:val="baseline"/>
                          <w:rPr>
                            <w:rFonts w:eastAsia="Times New Roman"/>
                            <w:sz w:val="14"/>
                          </w:rPr>
                        </w:pPr>
                        <w:r w:rsidRPr="000C1FD7">
                          <w:rPr>
                            <w:rFonts w:ascii="Calibri" w:hAnsi="Calibri"/>
                            <w:color w:val="000000"/>
                            <w:kern w:val="24"/>
                            <w:sz w:val="14"/>
                            <w:szCs w:val="16"/>
                          </w:rPr>
                          <w:t>Alteración tubular renal</w:t>
                        </w:r>
                      </w:p>
                    </w:txbxContent>
                  </v:textbox>
                </v:roundrect>
                <v:shapetype id="_x0000_t32" coordsize="21600,21600" o:spt="32" o:oned="t" path="m,l21600,21600e" filled="f">
                  <v:path arrowok="t" fillok="f" o:connecttype="none"/>
                  <o:lock v:ext="edit" shapetype="t"/>
                </v:shapetype>
                <v:shape id="119 Conector recto de flecha" o:spid="_x0000_s1040" type="#_x0000_t32" style="position:absolute;left:11017;top:9144;width:1063;height:12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" strokecolor="#4f81bd" strokeweight=".5pt">
                  <v:stroke endarrow="open" joinstyle="miter"/>
                </v:shape>
                <v:shape id="123 Conector recto de flecha" o:spid="_x0000_s1041" type="#_x0000_t32" style="position:absolute;left:11366;top:19812;width:2588;height:12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" strokecolor="#4f81bd" strokeweight=".5pt">
                  <v:stroke endarrow="open" joinstyle="miter"/>
                </v:shape>
              </v:group>
            </w:pict>
          </mc:Fallback>
        </mc:AlternateContent>
      </w:r>
      <w:r w:rsidRPr="007528E0">
        <w:rPr>
          <w:rFonts w:ascii="Arial" w:eastAsia="Calibri" w:hAnsi="Arial" w:cs="Arial"/>
          <w:color w:val="auto"/>
          <w:sz w:val="22"/>
          <w:szCs w:val="22"/>
        </w:rPr>
        <w:t xml:space="preserve"> </w:t>
      </w:r>
    </w:p>
    <w:p w14:paraId="7267A40A" w14:textId="77777777" w:rsidR="0037398A" w:rsidRPr="007528E0" w:rsidRDefault="0037398A" w:rsidP="0037398A">
      <w:pPr>
        <w:pStyle w:val="Normal1"/>
        <w:spacing w:before="100" w:beforeAutospacing="1" w:after="100" w:afterAutospacing="1"/>
        <w:jc w:val="both"/>
        <w:rPr>
          <w:rFonts w:ascii="Arial" w:eastAsia="Calibri" w:hAnsi="Arial" w:cs="Arial"/>
          <w:color w:val="auto"/>
          <w:sz w:val="22"/>
          <w:szCs w:val="22"/>
        </w:rPr>
      </w:pPr>
    </w:p>
    <w:p w14:paraId="0D0D02AE" w14:textId="77777777" w:rsidR="0037398A" w:rsidRPr="007528E0" w:rsidRDefault="0037398A" w:rsidP="0037398A">
      <w:pPr>
        <w:pStyle w:val="Normal1"/>
        <w:spacing w:before="100" w:beforeAutospacing="1" w:after="100" w:afterAutospacing="1"/>
        <w:jc w:val="both"/>
        <w:rPr>
          <w:rFonts w:ascii="Arial" w:eastAsia="Calibri" w:hAnsi="Arial" w:cs="Arial"/>
          <w:color w:val="auto"/>
          <w:sz w:val="22"/>
          <w:szCs w:val="22"/>
        </w:rPr>
      </w:pPr>
    </w:p>
    <w:p w14:paraId="472C882E" w14:textId="77777777" w:rsidR="0037398A" w:rsidRPr="007528E0" w:rsidRDefault="0037398A" w:rsidP="0037398A">
      <w:pPr>
        <w:pStyle w:val="Normal1"/>
        <w:spacing w:before="100" w:beforeAutospacing="1" w:after="100" w:afterAutospacing="1"/>
        <w:jc w:val="both"/>
        <w:rPr>
          <w:rFonts w:ascii="Arial" w:eastAsia="Calibri" w:hAnsi="Arial" w:cs="Arial"/>
          <w:color w:val="auto"/>
          <w:sz w:val="22"/>
          <w:szCs w:val="22"/>
        </w:rPr>
      </w:pPr>
    </w:p>
    <w:p w14:paraId="127124AE" w14:textId="77777777" w:rsidR="0037398A" w:rsidRPr="007528E0" w:rsidRDefault="0037398A" w:rsidP="0037398A">
      <w:pPr>
        <w:pStyle w:val="Normal1"/>
        <w:spacing w:before="100" w:beforeAutospacing="1" w:after="100" w:afterAutospacing="1"/>
        <w:jc w:val="both"/>
        <w:rPr>
          <w:rFonts w:ascii="Arial" w:eastAsia="Calibri" w:hAnsi="Arial" w:cs="Arial"/>
          <w:color w:val="auto"/>
          <w:sz w:val="22"/>
          <w:szCs w:val="22"/>
        </w:rPr>
      </w:pPr>
    </w:p>
    <w:p w14:paraId="1998E421" w14:textId="77777777" w:rsidR="0037398A" w:rsidRPr="007528E0" w:rsidRDefault="0037398A" w:rsidP="0037398A">
      <w:pPr>
        <w:pStyle w:val="Normal1"/>
        <w:spacing w:before="100" w:beforeAutospacing="1" w:after="100" w:afterAutospacing="1"/>
        <w:jc w:val="both"/>
        <w:rPr>
          <w:rFonts w:ascii="Arial" w:eastAsia="Calibri" w:hAnsi="Arial" w:cs="Arial"/>
          <w:color w:val="auto"/>
          <w:sz w:val="22"/>
          <w:szCs w:val="22"/>
        </w:rPr>
      </w:pPr>
    </w:p>
    <w:p w14:paraId="19749351" w14:textId="77777777" w:rsidR="0037398A" w:rsidRPr="007528E0" w:rsidRDefault="0037398A" w:rsidP="0037398A">
      <w:pPr>
        <w:pStyle w:val="Normal1"/>
        <w:spacing w:before="100" w:beforeAutospacing="1" w:after="100" w:afterAutospacing="1"/>
        <w:jc w:val="both"/>
        <w:rPr>
          <w:rFonts w:ascii="Arial" w:eastAsia="Calibri" w:hAnsi="Arial" w:cs="Arial"/>
          <w:color w:val="auto"/>
          <w:sz w:val="22"/>
          <w:szCs w:val="22"/>
        </w:rPr>
      </w:pPr>
    </w:p>
    <w:p w14:paraId="28444F49" w14:textId="77777777" w:rsidR="0037398A" w:rsidRPr="007528E0" w:rsidRDefault="0037398A" w:rsidP="0037398A">
      <w:pPr>
        <w:pStyle w:val="Normal1"/>
        <w:spacing w:before="100" w:beforeAutospacing="1" w:after="100" w:afterAutospacing="1"/>
        <w:jc w:val="both"/>
        <w:rPr>
          <w:rFonts w:ascii="Arial" w:eastAsia="Calibri" w:hAnsi="Arial" w:cs="Arial"/>
          <w:color w:val="auto"/>
          <w:sz w:val="22"/>
          <w:szCs w:val="22"/>
        </w:rPr>
      </w:pPr>
    </w:p>
    <w:p w14:paraId="5FA27A96" w14:textId="77777777" w:rsidR="0037398A" w:rsidRPr="007528E0" w:rsidRDefault="0037398A" w:rsidP="0037398A">
      <w:pPr>
        <w:pStyle w:val="Normal1"/>
        <w:spacing w:before="100" w:beforeAutospacing="1" w:after="100" w:afterAutospacing="1"/>
        <w:jc w:val="both"/>
        <w:rPr>
          <w:rFonts w:ascii="Arial" w:hAnsi="Arial" w:cs="Arial"/>
          <w:color w:val="auto"/>
          <w:sz w:val="22"/>
          <w:szCs w:val="22"/>
        </w:rPr>
      </w:pPr>
      <w:r w:rsidRPr="007528E0">
        <w:rPr>
          <w:rFonts w:ascii="Arial" w:eastAsia="Calibri" w:hAnsi="Arial" w:cs="Arial"/>
          <w:color w:val="auto"/>
          <w:sz w:val="22"/>
          <w:szCs w:val="22"/>
        </w:rPr>
        <w:lastRenderedPageBreak/>
        <w:t>Los biomarcadores para mercurio permiten estimar la exposición, mediante la medición del mercurio en diversas muestras (orina, sangre, cabello, uñas).Sin embargo los niveles no siempre se correlacionan con las manifestaciones de la toxicidad.</w:t>
      </w:r>
    </w:p>
    <w:p w14:paraId="7745A8E0" w14:textId="77777777" w:rsidR="0037398A" w:rsidRPr="007528E0" w:rsidRDefault="0037398A" w:rsidP="0037398A">
      <w:pPr>
        <w:pStyle w:val="Normal1"/>
        <w:numPr>
          <w:ilvl w:val="0"/>
          <w:numId w:val="7"/>
        </w:numPr>
        <w:spacing w:before="100" w:beforeAutospacing="1" w:after="100" w:afterAutospacing="1"/>
        <w:ind w:left="426"/>
        <w:jc w:val="both"/>
        <w:rPr>
          <w:rFonts w:ascii="Arial" w:eastAsia="Arial" w:hAnsi="Arial" w:cs="Arial"/>
          <w:color w:val="auto"/>
          <w:sz w:val="22"/>
          <w:szCs w:val="22"/>
        </w:rPr>
      </w:pPr>
      <w:r w:rsidRPr="007528E0">
        <w:rPr>
          <w:rFonts w:ascii="Arial" w:eastAsia="Calibri" w:hAnsi="Arial" w:cs="Arial"/>
          <w:color w:val="auto"/>
          <w:sz w:val="22"/>
          <w:szCs w:val="22"/>
        </w:rPr>
        <w:t>Mercurio en sangre: es un indicador de exposición reciente a dosis altas de mercurio elemental e inorgánico</w:t>
      </w:r>
      <w:r w:rsidRPr="007528E0">
        <w:rPr>
          <w:rFonts w:ascii="Arial" w:eastAsia="Calibri" w:hAnsi="Arial" w:cs="Arial"/>
          <w:color w:val="auto"/>
          <w:sz w:val="22"/>
          <w:szCs w:val="22"/>
        </w:rPr>
        <w:fldChar w:fldCharType="begin" w:fldLock="1"/>
      </w:r>
      <w:r w:rsidRPr="007528E0">
        <w:rPr>
          <w:rFonts w:ascii="Arial" w:eastAsia="Calibri" w:hAnsi="Arial" w:cs="Arial"/>
          <w:color w:val="auto"/>
          <w:sz w:val="22"/>
          <w:szCs w:val="22"/>
        </w:rPr>
        <w:instrText>ADDIN CSL_CITATION { "citationItems" : [ { "id" : "ITEM-1", "itemData" : { "author" : [ { "dropping-particle" : "", "family" : "Harada M, et al.", "given" : "", "non-dropping-particle" : "", "parse-names" : false, "suffix" : "" } ], "container-title" : "Sci Total Environment", "id" : "ITEM-1", "issued" : { "date-parts" : [ [ "1999" ] ] }, "page" : "249-256", "title" : "Monitoring of mercury pollution in Tanzania: relation between head hair mercury and health.", "type" : "article-journal", "volume" : "227" }, "uris" : [ "http://www.mendeley.com/documents/?uuid=477e35c5-fd05-4908-8d8b-9ae2ad19327c" ] } ], "mendeley" : { "formattedCitation" : "(48)", "plainTextFormattedCitation" : "(48)", "previouslyFormattedCitation" : "(48)" }, "properties" : { "noteIndex" : 0 }, "schema" : "https://github.com/citation-style-language/schema/raw/master/csl-citation.json" }</w:instrText>
      </w:r>
      <w:r w:rsidRPr="007528E0">
        <w:rPr>
          <w:rFonts w:ascii="Arial" w:eastAsia="Calibri" w:hAnsi="Arial" w:cs="Arial"/>
          <w:color w:val="auto"/>
          <w:sz w:val="22"/>
          <w:szCs w:val="22"/>
        </w:rPr>
        <w:fldChar w:fldCharType="separate"/>
      </w:r>
      <w:r w:rsidRPr="007528E0">
        <w:rPr>
          <w:rFonts w:ascii="Arial" w:eastAsia="Calibri" w:hAnsi="Arial" w:cs="Arial"/>
          <w:noProof/>
          <w:color w:val="auto"/>
          <w:sz w:val="22"/>
          <w:szCs w:val="22"/>
        </w:rPr>
        <w:t>(48)</w:t>
      </w:r>
      <w:r w:rsidRPr="007528E0">
        <w:rPr>
          <w:rFonts w:ascii="Arial" w:eastAsia="Calibri" w:hAnsi="Arial" w:cs="Arial"/>
          <w:color w:val="auto"/>
          <w:sz w:val="22"/>
          <w:szCs w:val="22"/>
        </w:rPr>
        <w:fldChar w:fldCharType="end"/>
      </w:r>
      <w:r w:rsidRPr="007528E0">
        <w:rPr>
          <w:rFonts w:ascii="Arial" w:eastAsia="Calibri" w:hAnsi="Arial" w:cs="Arial"/>
          <w:color w:val="auto"/>
          <w:sz w:val="22"/>
          <w:szCs w:val="22"/>
        </w:rPr>
        <w:t xml:space="preserve"> y de consumo reciente de pescado contaminado con metilmercurio </w:t>
      </w:r>
      <w:r w:rsidRPr="007528E0">
        <w:rPr>
          <w:rFonts w:ascii="Arial" w:eastAsia="Calibri" w:hAnsi="Arial" w:cs="Arial"/>
          <w:color w:val="auto"/>
          <w:sz w:val="22"/>
          <w:szCs w:val="22"/>
        </w:rPr>
        <w:fldChar w:fldCharType="begin" w:fldLock="1"/>
      </w:r>
      <w:r w:rsidRPr="007528E0">
        <w:rPr>
          <w:rFonts w:ascii="Arial" w:eastAsia="Calibri" w:hAnsi="Arial" w:cs="Arial"/>
          <w:color w:val="auto"/>
          <w:sz w:val="22"/>
          <w:szCs w:val="22"/>
        </w:rPr>
        <w:instrText>ADDIN CSL_CITATION { "citationItems" : [ { "id" : "ITEM-1", "itemData" : { "abstract" : "1. The United Nations Environment Programme (UNEP) Governing Council (GC), at its 22nd session requested UNEP, in cooperation and consultation with other appropriate organizations, to facilitate and conduct technical assistance and capacity building activities to support the efforts of countries to take action regarding mercury pollution. This request was reinforced by the UNEP GC at its 23rd session in February 2005. At that session, the GC also encouraged governments to promote and improve evaluation and risk communication methods, based on, inter alia, guidance from the World Health Organization (WHO) and the Food and Agriculture Organization of the United Nations (FAO), that will enable citizens to make health-protective dietary choices based on risk and benefit information. 2. The UNEP GC at its 24th session in February 2007 recognized that a range of activities are still required to address the challenges posed by mercury, including substitution of products and technologies; technical assistance and capacity-building; development of national policy and regulation; data collection, research and information provision, bearing in mind the need to provide assistance to developing countries and countries with economies in transition. 3. This \u201cGuidance for Identifying Populations at Risk from Mercury Exposure\u201d is intended to inform countries concerned about the potential health impacts of mercury pollution and, if necessary, to assist in identifying specific subpopulations that may be at risk. The document describes approaches that have been used to estimate exposure to mercury, including biomonitoring and methods that use data on fish consumption and mercury levels in fish. It also describes various environmental models that can be useful in predicting exposure to mercury. In addition, the document provides an overview of the assessment of mercury exposures for some specific exposure scenarios, including occupational and other \u201chot spot\u201d exposures. 4. This document can be used as a reference for conducting research or investigations regarding mercury exposure. Depending on the nature of the research, involvement of stakeholders in various stages of the research is important, especially for local communities. This includes the process of evaluating and addressing environmental issues. For research involving biomonitoring, consultation with the community and consideration of ethical and confidentiality issues are essential. 5. Relevant reports of meeting\u2026", "author" : [ { "dropping-particle" : "", "family" : "UNEP DTIE Chemicals Branch", "given" : "", "non-dropping-particle" : "", "parse-names" : false, "suffix" : "" }, { "dropping-particle" : "", "family" : "WHO Department of Food Safety", "given" : "Zoonoses and Foodborne Diseases", "non-dropping-particle" : "", "parse-names" : false, "suffix" : "" } ], "container-title" : "Exposure", "id" : "ITEM-1", "issue" : "August", "issued" : { "date-parts" : [ [ "2008" ] ] }, "page" : "176", "title" : "Guidance for Identifying Populations At Risk From Mercury Exposure", "type" : "article-journal" }, "uris" : [ "http://www.mendeley.com/documents/?uuid=5f256fe8-3587-4068-960b-253bff33d128" ] } ], "mendeley" : { "formattedCitation" : "(49)", "plainTextFormattedCitation" : "(49)", "previouslyFormattedCitation" : "(49)" }, "properties" : { "noteIndex" : 0 }, "schema" : "https://github.com/citation-style-language/schema/raw/master/csl-citation.json" }</w:instrText>
      </w:r>
      <w:r w:rsidRPr="007528E0">
        <w:rPr>
          <w:rFonts w:ascii="Arial" w:eastAsia="Calibri" w:hAnsi="Arial" w:cs="Arial"/>
          <w:color w:val="auto"/>
          <w:sz w:val="22"/>
          <w:szCs w:val="22"/>
        </w:rPr>
        <w:fldChar w:fldCharType="separate"/>
      </w:r>
      <w:r w:rsidRPr="007528E0">
        <w:rPr>
          <w:rFonts w:ascii="Arial" w:eastAsia="Calibri" w:hAnsi="Arial" w:cs="Arial"/>
          <w:noProof/>
          <w:color w:val="auto"/>
          <w:sz w:val="22"/>
          <w:szCs w:val="22"/>
        </w:rPr>
        <w:t>(49)</w:t>
      </w:r>
      <w:r w:rsidRPr="007528E0">
        <w:rPr>
          <w:rFonts w:ascii="Arial" w:eastAsia="Calibri" w:hAnsi="Arial" w:cs="Arial"/>
          <w:color w:val="auto"/>
          <w:sz w:val="22"/>
          <w:szCs w:val="22"/>
        </w:rPr>
        <w:fldChar w:fldCharType="end"/>
      </w:r>
      <w:r w:rsidRPr="007528E0">
        <w:rPr>
          <w:rFonts w:ascii="Arial" w:eastAsia="Calibri" w:hAnsi="Arial" w:cs="Arial"/>
          <w:color w:val="auto"/>
          <w:sz w:val="22"/>
          <w:szCs w:val="22"/>
        </w:rPr>
        <w:t>, pero no es un buen marcador de  exposición crónica.</w:t>
      </w:r>
    </w:p>
    <w:p w14:paraId="466C9827" w14:textId="77777777" w:rsidR="0037398A" w:rsidRPr="007528E0" w:rsidRDefault="0037398A" w:rsidP="0037398A">
      <w:pPr>
        <w:pStyle w:val="Normal1"/>
        <w:numPr>
          <w:ilvl w:val="0"/>
          <w:numId w:val="7"/>
        </w:numPr>
        <w:spacing w:before="100" w:beforeAutospacing="1" w:after="100" w:afterAutospacing="1"/>
        <w:ind w:left="426"/>
        <w:jc w:val="both"/>
        <w:rPr>
          <w:rFonts w:ascii="Arial" w:eastAsia="Arial" w:hAnsi="Arial" w:cs="Arial"/>
          <w:color w:val="auto"/>
          <w:sz w:val="22"/>
          <w:szCs w:val="22"/>
        </w:rPr>
      </w:pPr>
      <w:r w:rsidRPr="007528E0">
        <w:rPr>
          <w:rFonts w:ascii="Arial" w:eastAsia="Calibri" w:hAnsi="Arial" w:cs="Arial"/>
          <w:color w:val="auto"/>
          <w:sz w:val="22"/>
          <w:szCs w:val="22"/>
        </w:rPr>
        <w:t>Mercurio en orina</w:t>
      </w:r>
      <w:r w:rsidRPr="007528E0">
        <w:rPr>
          <w:rFonts w:ascii="Arial" w:eastAsia="Calibri" w:hAnsi="Arial" w:cs="Arial"/>
          <w:i/>
          <w:color w:val="auto"/>
          <w:sz w:val="22"/>
          <w:szCs w:val="22"/>
        </w:rPr>
        <w:t>.</w:t>
      </w:r>
      <w:r w:rsidRPr="007528E0">
        <w:rPr>
          <w:rFonts w:ascii="Arial" w:eastAsia="Calibri" w:hAnsi="Arial" w:cs="Arial"/>
          <w:color w:val="auto"/>
          <w:sz w:val="22"/>
          <w:szCs w:val="22"/>
        </w:rPr>
        <w:t xml:space="preserve"> Es el mejor indicador de la carga corporal del metal, por la exposición crónica a mercurio elemental e inorgánico. No sirve como indicador de exposición a metilmercurio </w:t>
      </w:r>
      <w:r w:rsidRPr="007528E0">
        <w:rPr>
          <w:rFonts w:ascii="Arial" w:eastAsia="Calibri" w:hAnsi="Arial" w:cs="Arial"/>
          <w:color w:val="auto"/>
          <w:sz w:val="22"/>
          <w:szCs w:val="22"/>
        </w:rPr>
        <w:fldChar w:fldCharType="begin" w:fldLock="1"/>
      </w:r>
      <w:r w:rsidRPr="007528E0">
        <w:rPr>
          <w:rFonts w:ascii="Arial" w:eastAsia="Calibri" w:hAnsi="Arial" w:cs="Arial"/>
          <w:color w:val="auto"/>
          <w:sz w:val="22"/>
          <w:szCs w:val="22"/>
        </w:rPr>
        <w:instrText>ADDIN CSL_CITATION { "citationItems" : [ { "id" : "ITEM-1", "itemData" : { "author" : [ { "dropping-particle" : "", "family" : "World Health Organization. IPCS", "given" : "", "non-dropping-particle" : "", "parse-names" : false, "suffix" : "" } ], "id" : "ITEM-1", "issued" : { "date-parts" : [ [ "2003" ] ] }, "title" : "Elemental mercury and inorganic mercury compounds: human health aspects, Geneve.", "type" : "report" }, "uris" : [ "http://www.mendeley.com/documents/?uuid=06a99d27-3aab-4ea2-99dc-a6a1f61f1242" ] } ], "mendeley" : { "formattedCitation" : "(50)", "plainTextFormattedCitation" : "(50)", "previouslyFormattedCitation" : "(50)" }, "properties" : { "noteIndex" : 0 }, "schema" : "https://github.com/citation-style-language/schema/raw/master/csl-citation.json" }</w:instrText>
      </w:r>
      <w:r w:rsidRPr="007528E0">
        <w:rPr>
          <w:rFonts w:ascii="Arial" w:eastAsia="Calibri" w:hAnsi="Arial" w:cs="Arial"/>
          <w:color w:val="auto"/>
          <w:sz w:val="22"/>
          <w:szCs w:val="22"/>
        </w:rPr>
        <w:fldChar w:fldCharType="separate"/>
      </w:r>
      <w:r w:rsidRPr="007528E0">
        <w:rPr>
          <w:rFonts w:ascii="Arial" w:eastAsia="Calibri" w:hAnsi="Arial" w:cs="Arial"/>
          <w:noProof/>
          <w:color w:val="auto"/>
          <w:sz w:val="22"/>
          <w:szCs w:val="22"/>
        </w:rPr>
        <w:t>(50)</w:t>
      </w:r>
      <w:r w:rsidRPr="007528E0">
        <w:rPr>
          <w:rFonts w:ascii="Arial" w:eastAsia="Calibri" w:hAnsi="Arial" w:cs="Arial"/>
          <w:color w:val="auto"/>
          <w:sz w:val="22"/>
          <w:szCs w:val="22"/>
        </w:rPr>
        <w:fldChar w:fldCharType="end"/>
      </w:r>
      <w:r w:rsidRPr="007528E0">
        <w:rPr>
          <w:rFonts w:ascii="Arial" w:eastAsia="Calibri" w:hAnsi="Arial" w:cs="Arial"/>
          <w:color w:val="auto"/>
          <w:sz w:val="22"/>
          <w:szCs w:val="22"/>
        </w:rPr>
        <w:t>.</w:t>
      </w:r>
    </w:p>
    <w:p w14:paraId="4F15F6E5" w14:textId="77777777" w:rsidR="0037398A" w:rsidRPr="007528E0" w:rsidRDefault="0037398A" w:rsidP="0037398A">
      <w:pPr>
        <w:pStyle w:val="Normal1"/>
        <w:numPr>
          <w:ilvl w:val="0"/>
          <w:numId w:val="7"/>
        </w:numPr>
        <w:spacing w:before="100" w:beforeAutospacing="1" w:after="100" w:afterAutospacing="1"/>
        <w:ind w:left="426"/>
        <w:jc w:val="both"/>
        <w:rPr>
          <w:rFonts w:ascii="Arial" w:eastAsia="Arial" w:hAnsi="Arial" w:cs="Arial"/>
          <w:color w:val="auto"/>
          <w:sz w:val="22"/>
          <w:szCs w:val="22"/>
        </w:rPr>
      </w:pPr>
      <w:r w:rsidRPr="007528E0">
        <w:rPr>
          <w:rFonts w:ascii="Arial" w:eastAsia="Calibri" w:hAnsi="Arial" w:cs="Arial"/>
          <w:color w:val="auto"/>
          <w:sz w:val="22"/>
          <w:szCs w:val="22"/>
        </w:rPr>
        <w:t xml:space="preserve">Mercurio en cabello. Indicador utilizado para exposiciones crónicas a metilmercurio, particularmente por la ingestión de pescado contaminado </w:t>
      </w:r>
      <w:r w:rsidRPr="007528E0">
        <w:rPr>
          <w:rFonts w:ascii="Arial" w:eastAsia="Calibri" w:hAnsi="Arial" w:cs="Arial"/>
          <w:color w:val="auto"/>
          <w:sz w:val="22"/>
          <w:szCs w:val="22"/>
        </w:rPr>
        <w:fldChar w:fldCharType="begin" w:fldLock="1"/>
      </w:r>
      <w:r w:rsidRPr="007528E0">
        <w:rPr>
          <w:rFonts w:ascii="Arial" w:eastAsia="Calibri" w:hAnsi="Arial" w:cs="Arial"/>
          <w:color w:val="auto"/>
          <w:sz w:val="22"/>
          <w:szCs w:val="22"/>
        </w:rPr>
        <w:instrText>ADDIN CSL_CITATION { "citationItems" : [ { "id" : "ITEM-1", "itemData" : { "abstract" : "1. The United Nations Environment Programme (UNEP) Governing Council (GC), at its 22nd session requested UNEP, in cooperation and consultation with other appropriate organizations, to facilitate and conduct technical assistance and capacity building activities to support the efforts of countries to take action regarding mercury pollution. This request was reinforced by the UNEP GC at its 23rd session in February 2005. At that session, the GC also encouraged governments to promote and improve evaluation and risk communication methods, based on, inter alia, guidance from the World Health Organization (WHO) and the Food and Agriculture Organization of the United Nations (FAO), that will enable citizens to make health-protective dietary choices based on risk and benefit information. 2. The UNEP GC at its 24th session in February 2007 recognized that a range of activities are still required to address the challenges posed by mercury, including substitution of products and technologies; technical assistance and capacity-building; development of national policy and regulation; data collection, research and information provision, bearing in mind the need to provide assistance to developing countries and countries with economies in transition. 3. This \u201cGuidance for Identifying Populations at Risk from Mercury Exposure\u201d is intended to inform countries concerned about the potential health impacts of mercury pollution and, if necessary, to assist in identifying specific subpopulations that may be at risk. The document describes approaches that have been used to estimate exposure to mercury, including biomonitoring and methods that use data on fish consumption and mercury levels in fish. It also describes various environmental models that can be useful in predicting exposure to mercury. In addition, the document provides an overview of the assessment of mercury exposures for some specific exposure scenarios, including occupational and other \u201chot spot\u201d exposures. 4. This document can be used as a reference for conducting research or investigations regarding mercury exposure. Depending on the nature of the research, involvement of stakeholders in various stages of the research is important, especially for local communities. This includes the process of evaluating and addressing environmental issues. For research involving biomonitoring, consultation with the community and consideration of ethical and confidentiality issues are essential. 5. Relevant reports of meeting\u2026", "author" : [ { "dropping-particle" : "", "family" : "UNEP DTIE Chemicals Branch", "given" : "", "non-dropping-particle" : "", "parse-names" : false, "suffix" : "" }, { "dropping-particle" : "", "family" : "WHO Department of Food Safety", "given" : "Zoonoses and Foodborne Diseases", "non-dropping-particle" : "", "parse-names" : false, "suffix" : "" } ], "container-title" : "Exposure", "id" : "ITEM-1", "issue" : "August", "issued" : { "date-parts" : [ [ "2008" ] ] }, "page" : "176", "title" : "Guidance for Identifying Populations At Risk From Mercury Exposure", "type" : "article-journal" }, "uris" : [ "http://www.mendeley.com/documents/?uuid=5f256fe8-3587-4068-960b-253bff33d128" ] } ], "mendeley" : { "formattedCitation" : "(49)", "plainTextFormattedCitation" : "(49)", "previouslyFormattedCitation" : "(49)" }, "properties" : { "noteIndex" : 0 }, "schema" : "https://github.com/citation-style-language/schema/raw/master/csl-citation.json" }</w:instrText>
      </w:r>
      <w:r w:rsidRPr="007528E0">
        <w:rPr>
          <w:rFonts w:ascii="Arial" w:eastAsia="Calibri" w:hAnsi="Arial" w:cs="Arial"/>
          <w:color w:val="auto"/>
          <w:sz w:val="22"/>
          <w:szCs w:val="22"/>
        </w:rPr>
        <w:fldChar w:fldCharType="separate"/>
      </w:r>
      <w:r w:rsidRPr="007528E0">
        <w:rPr>
          <w:rFonts w:ascii="Arial" w:eastAsia="Calibri" w:hAnsi="Arial" w:cs="Arial"/>
          <w:noProof/>
          <w:color w:val="auto"/>
          <w:sz w:val="22"/>
          <w:szCs w:val="22"/>
        </w:rPr>
        <w:t>(49)</w:t>
      </w:r>
      <w:r w:rsidRPr="007528E0">
        <w:rPr>
          <w:rFonts w:ascii="Arial" w:eastAsia="Calibri" w:hAnsi="Arial" w:cs="Arial"/>
          <w:color w:val="auto"/>
          <w:sz w:val="22"/>
          <w:szCs w:val="22"/>
        </w:rPr>
        <w:fldChar w:fldCharType="end"/>
      </w:r>
      <w:r w:rsidRPr="007528E0">
        <w:rPr>
          <w:rFonts w:ascii="Arial" w:eastAsia="Calibri" w:hAnsi="Arial" w:cs="Arial"/>
          <w:color w:val="auto"/>
          <w:sz w:val="22"/>
          <w:szCs w:val="22"/>
        </w:rPr>
        <w:t>.</w:t>
      </w:r>
    </w:p>
    <w:p w14:paraId="18AD8A28" w14:textId="77777777" w:rsidR="0037398A" w:rsidRPr="007528E0" w:rsidRDefault="0037398A" w:rsidP="0037398A">
      <w:pPr>
        <w:pStyle w:val="Normal1"/>
        <w:spacing w:before="100" w:beforeAutospacing="1" w:after="100" w:afterAutospacing="1"/>
        <w:jc w:val="both"/>
        <w:rPr>
          <w:rFonts w:ascii="Arial" w:eastAsia="Calibri" w:hAnsi="Arial" w:cs="Arial"/>
          <w:color w:val="auto"/>
          <w:sz w:val="22"/>
          <w:szCs w:val="22"/>
        </w:rPr>
      </w:pPr>
      <w:r w:rsidRPr="007528E0">
        <w:rPr>
          <w:rFonts w:ascii="Arial" w:eastAsia="Calibri" w:hAnsi="Arial" w:cs="Arial"/>
          <w:color w:val="auto"/>
          <w:sz w:val="22"/>
          <w:szCs w:val="22"/>
        </w:rPr>
        <w:t>Los valores de referencia recomendados para la población se describen en la tabla 16, expresado como mercurio total en muestras biológicas.</w:t>
      </w:r>
    </w:p>
    <w:p w14:paraId="5499E7A3" w14:textId="77777777" w:rsidR="0037398A" w:rsidRPr="007528E0" w:rsidRDefault="0037398A" w:rsidP="0037398A">
      <w:pPr>
        <w:pStyle w:val="Descripcin"/>
        <w:spacing w:before="100" w:beforeAutospacing="1" w:after="100" w:afterAutospacing="1"/>
        <w:jc w:val="center"/>
        <w:rPr>
          <w:rFonts w:cs="Arial"/>
          <w:b/>
          <w:color w:val="auto"/>
          <w:sz w:val="22"/>
          <w:szCs w:val="22"/>
        </w:rPr>
      </w:pPr>
      <w:bookmarkStart w:id="21" w:name="_Toc505456253"/>
      <w:r w:rsidRPr="007528E0">
        <w:rPr>
          <w:rFonts w:cs="Arial"/>
          <w:b/>
          <w:color w:val="auto"/>
          <w:sz w:val="22"/>
          <w:szCs w:val="22"/>
        </w:rPr>
        <w:t xml:space="preserve">Tabla </w:t>
      </w:r>
      <w:r w:rsidRPr="007528E0">
        <w:rPr>
          <w:rFonts w:cs="Arial"/>
          <w:b/>
          <w:color w:val="auto"/>
          <w:sz w:val="22"/>
          <w:szCs w:val="22"/>
        </w:rPr>
        <w:fldChar w:fldCharType="begin"/>
      </w:r>
      <w:r w:rsidRPr="007528E0">
        <w:rPr>
          <w:rFonts w:cs="Arial"/>
          <w:b/>
          <w:color w:val="auto"/>
          <w:sz w:val="22"/>
          <w:szCs w:val="22"/>
        </w:rPr>
        <w:instrText xml:space="preserve"> SEQ Tabla \* ARABIC </w:instrText>
      </w:r>
      <w:r w:rsidRPr="007528E0">
        <w:rPr>
          <w:rFonts w:cs="Arial"/>
          <w:b/>
          <w:color w:val="auto"/>
          <w:sz w:val="22"/>
          <w:szCs w:val="22"/>
        </w:rPr>
        <w:fldChar w:fldCharType="separate"/>
      </w:r>
      <w:r w:rsidRPr="007528E0">
        <w:rPr>
          <w:rFonts w:cs="Arial"/>
          <w:b/>
          <w:noProof/>
          <w:color w:val="auto"/>
          <w:sz w:val="22"/>
          <w:szCs w:val="22"/>
        </w:rPr>
        <w:t>7</w:t>
      </w:r>
      <w:r w:rsidRPr="007528E0">
        <w:rPr>
          <w:rFonts w:cs="Arial"/>
          <w:b/>
          <w:color w:val="auto"/>
          <w:sz w:val="22"/>
          <w:szCs w:val="22"/>
        </w:rPr>
        <w:fldChar w:fldCharType="end"/>
      </w:r>
      <w:r w:rsidRPr="007528E0">
        <w:rPr>
          <w:rFonts w:cs="Arial"/>
          <w:b/>
          <w:color w:val="auto"/>
          <w:sz w:val="22"/>
          <w:szCs w:val="22"/>
        </w:rPr>
        <w:t>.</w:t>
      </w:r>
      <w:r w:rsidRPr="007528E0">
        <w:rPr>
          <w:rFonts w:cs="Arial"/>
          <w:color w:val="auto"/>
          <w:sz w:val="22"/>
          <w:szCs w:val="22"/>
        </w:rPr>
        <w:t xml:space="preserve"> Niveles de referencia para compuestos de mercurio en muestras biológicas.</w:t>
      </w:r>
      <w:bookmarkEnd w:id="21"/>
    </w:p>
    <w:tbl>
      <w:tblPr>
        <w:tblW w:w="39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2"/>
        <w:gridCol w:w="1968"/>
        <w:gridCol w:w="4167"/>
      </w:tblGrid>
      <w:tr w:rsidR="007528E0" w:rsidRPr="007528E0" w14:paraId="10139D03" w14:textId="77777777" w:rsidTr="007528E0">
        <w:trPr>
          <w:jc w:val="center"/>
        </w:trPr>
        <w:tc>
          <w:tcPr>
            <w:tcW w:w="744" w:type="pct"/>
            <w:vAlign w:val="center"/>
          </w:tcPr>
          <w:p w14:paraId="2F584084" w14:textId="77777777" w:rsidR="0037398A" w:rsidRPr="007528E0" w:rsidRDefault="0037398A" w:rsidP="007528E0">
            <w:pPr>
              <w:pStyle w:val="Normal1"/>
              <w:spacing w:before="100" w:beforeAutospacing="1" w:after="100" w:afterAutospacing="1"/>
              <w:jc w:val="center"/>
              <w:rPr>
                <w:rFonts w:ascii="Arial" w:hAnsi="Arial" w:cs="Arial"/>
                <w:b/>
                <w:color w:val="auto"/>
                <w:sz w:val="20"/>
                <w:szCs w:val="20"/>
              </w:rPr>
            </w:pPr>
            <w:r w:rsidRPr="007528E0">
              <w:rPr>
                <w:rFonts w:ascii="Arial" w:hAnsi="Arial" w:cs="Arial"/>
                <w:b/>
                <w:color w:val="auto"/>
                <w:sz w:val="20"/>
                <w:szCs w:val="20"/>
              </w:rPr>
              <w:t>Matriz</w:t>
            </w:r>
          </w:p>
        </w:tc>
        <w:tc>
          <w:tcPr>
            <w:tcW w:w="1365" w:type="pct"/>
            <w:vAlign w:val="center"/>
          </w:tcPr>
          <w:p w14:paraId="67AFDBCC" w14:textId="77777777" w:rsidR="0037398A" w:rsidRPr="007528E0" w:rsidRDefault="0037398A" w:rsidP="007528E0">
            <w:pPr>
              <w:pStyle w:val="Normal1"/>
              <w:spacing w:before="100" w:beforeAutospacing="1" w:after="100" w:afterAutospacing="1"/>
              <w:jc w:val="center"/>
              <w:rPr>
                <w:rFonts w:ascii="Arial" w:hAnsi="Arial" w:cs="Arial"/>
                <w:b/>
                <w:color w:val="auto"/>
                <w:sz w:val="20"/>
                <w:szCs w:val="20"/>
              </w:rPr>
            </w:pPr>
            <w:r w:rsidRPr="007528E0">
              <w:rPr>
                <w:rFonts w:ascii="Arial" w:hAnsi="Arial" w:cs="Arial"/>
                <w:b/>
                <w:color w:val="auto"/>
                <w:sz w:val="20"/>
                <w:szCs w:val="20"/>
              </w:rPr>
              <w:t>Límite biológico</w:t>
            </w:r>
          </w:p>
        </w:tc>
        <w:tc>
          <w:tcPr>
            <w:tcW w:w="2891" w:type="pct"/>
            <w:vAlign w:val="center"/>
          </w:tcPr>
          <w:p w14:paraId="609004C3" w14:textId="77777777" w:rsidR="0037398A" w:rsidRPr="007528E0" w:rsidRDefault="0037398A" w:rsidP="007528E0">
            <w:pPr>
              <w:pStyle w:val="Normal1"/>
              <w:spacing w:before="100" w:beforeAutospacing="1" w:after="100" w:afterAutospacing="1"/>
              <w:jc w:val="center"/>
              <w:rPr>
                <w:rFonts w:ascii="Arial" w:hAnsi="Arial" w:cs="Arial"/>
                <w:b/>
                <w:color w:val="auto"/>
                <w:sz w:val="20"/>
                <w:szCs w:val="20"/>
              </w:rPr>
            </w:pPr>
            <w:r w:rsidRPr="007528E0">
              <w:rPr>
                <w:rFonts w:ascii="Arial" w:hAnsi="Arial" w:cs="Arial"/>
                <w:b/>
                <w:color w:val="auto"/>
                <w:sz w:val="20"/>
                <w:szCs w:val="20"/>
              </w:rPr>
              <w:t>Utilidad</w:t>
            </w:r>
          </w:p>
        </w:tc>
      </w:tr>
      <w:tr w:rsidR="007528E0" w:rsidRPr="007528E0" w14:paraId="4F6FF8B6" w14:textId="77777777" w:rsidTr="007528E0">
        <w:trPr>
          <w:jc w:val="center"/>
        </w:trPr>
        <w:tc>
          <w:tcPr>
            <w:tcW w:w="744" w:type="pct"/>
            <w:vAlign w:val="center"/>
          </w:tcPr>
          <w:p w14:paraId="5B7B2C58" w14:textId="77777777" w:rsidR="0037398A" w:rsidRPr="007528E0" w:rsidRDefault="0037398A" w:rsidP="007528E0">
            <w:pPr>
              <w:pStyle w:val="Normal1"/>
              <w:spacing w:before="100" w:beforeAutospacing="1" w:after="100" w:afterAutospacing="1"/>
              <w:jc w:val="center"/>
              <w:rPr>
                <w:rFonts w:ascii="Arial" w:hAnsi="Arial" w:cs="Arial"/>
                <w:color w:val="auto"/>
                <w:sz w:val="20"/>
                <w:szCs w:val="20"/>
              </w:rPr>
            </w:pPr>
            <w:r w:rsidRPr="007528E0">
              <w:rPr>
                <w:rFonts w:ascii="Arial" w:eastAsia="Calibri" w:hAnsi="Arial" w:cs="Arial"/>
                <w:color w:val="auto"/>
                <w:sz w:val="20"/>
                <w:szCs w:val="20"/>
              </w:rPr>
              <w:t>Sangre</w:t>
            </w:r>
          </w:p>
        </w:tc>
        <w:tc>
          <w:tcPr>
            <w:tcW w:w="1365" w:type="pct"/>
            <w:vAlign w:val="center"/>
          </w:tcPr>
          <w:p w14:paraId="1F6104E9" w14:textId="77777777" w:rsidR="0037398A" w:rsidRPr="007528E0" w:rsidRDefault="0037398A" w:rsidP="007528E0">
            <w:pPr>
              <w:pStyle w:val="Normal1"/>
              <w:spacing w:before="100" w:beforeAutospacing="1" w:after="100" w:afterAutospacing="1"/>
              <w:jc w:val="center"/>
              <w:rPr>
                <w:rFonts w:ascii="Arial" w:hAnsi="Arial" w:cs="Arial"/>
                <w:color w:val="auto"/>
                <w:sz w:val="20"/>
                <w:szCs w:val="20"/>
              </w:rPr>
            </w:pPr>
            <w:r w:rsidRPr="007528E0">
              <w:rPr>
                <w:rFonts w:ascii="Arial" w:eastAsia="Calibri" w:hAnsi="Arial" w:cs="Arial"/>
                <w:color w:val="auto"/>
                <w:sz w:val="20"/>
                <w:szCs w:val="20"/>
              </w:rPr>
              <w:t>5 μg/l</w:t>
            </w:r>
          </w:p>
        </w:tc>
        <w:tc>
          <w:tcPr>
            <w:tcW w:w="2891" w:type="pct"/>
          </w:tcPr>
          <w:p w14:paraId="6806296C" w14:textId="77777777" w:rsidR="0037398A" w:rsidRPr="007528E0" w:rsidRDefault="0037398A" w:rsidP="007528E0">
            <w:pPr>
              <w:pStyle w:val="Normal1"/>
              <w:spacing w:before="100" w:beforeAutospacing="1" w:after="100" w:afterAutospacing="1"/>
              <w:jc w:val="both"/>
              <w:rPr>
                <w:rFonts w:ascii="Arial" w:hAnsi="Arial" w:cs="Arial"/>
                <w:color w:val="auto"/>
                <w:sz w:val="20"/>
                <w:szCs w:val="20"/>
              </w:rPr>
            </w:pPr>
            <w:r w:rsidRPr="007528E0">
              <w:rPr>
                <w:rFonts w:ascii="Arial" w:eastAsia="Calibri" w:hAnsi="Arial" w:cs="Arial"/>
                <w:color w:val="auto"/>
                <w:sz w:val="20"/>
                <w:szCs w:val="20"/>
              </w:rPr>
              <w:t xml:space="preserve">Evaluación de exposición actual o reciente a mercurio en cualquiera de sus formas, especialmente </w:t>
            </w:r>
            <w:proofErr w:type="spellStart"/>
            <w:r w:rsidRPr="007528E0">
              <w:rPr>
                <w:rFonts w:ascii="Arial" w:eastAsia="Calibri" w:hAnsi="Arial" w:cs="Arial"/>
                <w:color w:val="auto"/>
                <w:sz w:val="20"/>
                <w:szCs w:val="20"/>
              </w:rPr>
              <w:t>metílmercurio</w:t>
            </w:r>
            <w:proofErr w:type="spellEnd"/>
            <w:r w:rsidRPr="007528E0">
              <w:rPr>
                <w:rFonts w:ascii="Arial" w:eastAsia="Calibri" w:hAnsi="Arial" w:cs="Arial"/>
                <w:color w:val="auto"/>
                <w:sz w:val="20"/>
                <w:szCs w:val="20"/>
              </w:rPr>
              <w:t xml:space="preserve"> y elemental.</w:t>
            </w:r>
          </w:p>
        </w:tc>
      </w:tr>
      <w:tr w:rsidR="007528E0" w:rsidRPr="007528E0" w14:paraId="6774844F" w14:textId="77777777" w:rsidTr="007528E0">
        <w:trPr>
          <w:jc w:val="center"/>
        </w:trPr>
        <w:tc>
          <w:tcPr>
            <w:tcW w:w="744" w:type="pct"/>
            <w:vAlign w:val="center"/>
          </w:tcPr>
          <w:p w14:paraId="15A54E36" w14:textId="77777777" w:rsidR="0037398A" w:rsidRPr="007528E0" w:rsidRDefault="0037398A" w:rsidP="007528E0">
            <w:pPr>
              <w:pStyle w:val="Normal1"/>
              <w:spacing w:before="100" w:beforeAutospacing="1" w:after="100" w:afterAutospacing="1"/>
              <w:jc w:val="center"/>
              <w:rPr>
                <w:rFonts w:ascii="Arial" w:hAnsi="Arial" w:cs="Arial"/>
                <w:color w:val="auto"/>
                <w:sz w:val="20"/>
                <w:szCs w:val="20"/>
              </w:rPr>
            </w:pPr>
            <w:r w:rsidRPr="007528E0">
              <w:rPr>
                <w:rFonts w:ascii="Arial" w:eastAsia="Calibri" w:hAnsi="Arial" w:cs="Arial"/>
                <w:color w:val="auto"/>
                <w:sz w:val="20"/>
                <w:szCs w:val="20"/>
              </w:rPr>
              <w:t>Orina</w:t>
            </w:r>
          </w:p>
        </w:tc>
        <w:tc>
          <w:tcPr>
            <w:tcW w:w="1365" w:type="pct"/>
            <w:vAlign w:val="center"/>
          </w:tcPr>
          <w:p w14:paraId="01B63D45" w14:textId="77777777" w:rsidR="0037398A" w:rsidRPr="007528E0" w:rsidRDefault="0037398A" w:rsidP="007528E0">
            <w:pPr>
              <w:pStyle w:val="Normal1"/>
              <w:spacing w:before="100" w:beforeAutospacing="1" w:after="100" w:afterAutospacing="1"/>
              <w:jc w:val="center"/>
              <w:rPr>
                <w:rFonts w:ascii="Arial" w:eastAsia="Calibri" w:hAnsi="Arial" w:cs="Arial"/>
                <w:color w:val="auto"/>
                <w:sz w:val="20"/>
                <w:szCs w:val="20"/>
                <w:lang w:val="en-US"/>
              </w:rPr>
            </w:pPr>
            <w:r w:rsidRPr="007528E0">
              <w:rPr>
                <w:rFonts w:ascii="Arial" w:eastAsia="Calibri" w:hAnsi="Arial" w:cs="Arial"/>
                <w:color w:val="auto"/>
                <w:sz w:val="20"/>
                <w:szCs w:val="20"/>
                <w:lang w:val="en-US"/>
              </w:rPr>
              <w:t xml:space="preserve">≤ 7 </w:t>
            </w:r>
            <w:r w:rsidRPr="007528E0">
              <w:rPr>
                <w:rFonts w:ascii="Arial" w:eastAsia="Calibri" w:hAnsi="Arial" w:cs="Arial"/>
                <w:color w:val="auto"/>
                <w:sz w:val="20"/>
                <w:szCs w:val="20"/>
              </w:rPr>
              <w:t>μ</w:t>
            </w:r>
            <w:r w:rsidRPr="007528E0">
              <w:rPr>
                <w:rFonts w:ascii="Arial" w:eastAsia="Calibri" w:hAnsi="Arial" w:cs="Arial"/>
                <w:color w:val="auto"/>
                <w:sz w:val="20"/>
                <w:szCs w:val="20"/>
                <w:lang w:val="en-US"/>
              </w:rPr>
              <w:t>g/l</w:t>
            </w:r>
          </w:p>
          <w:p w14:paraId="475936C4" w14:textId="77777777" w:rsidR="0037398A" w:rsidRPr="007528E0" w:rsidRDefault="0037398A" w:rsidP="007528E0">
            <w:pPr>
              <w:pStyle w:val="Normal1"/>
              <w:spacing w:before="100" w:beforeAutospacing="1" w:after="100" w:afterAutospacing="1"/>
              <w:jc w:val="center"/>
              <w:rPr>
                <w:rFonts w:ascii="Arial" w:hAnsi="Arial" w:cs="Arial"/>
                <w:i/>
                <w:color w:val="auto"/>
                <w:sz w:val="20"/>
                <w:szCs w:val="20"/>
                <w:lang w:val="en-US"/>
              </w:rPr>
            </w:pPr>
            <w:r w:rsidRPr="007528E0">
              <w:rPr>
                <w:rFonts w:ascii="Arial" w:eastAsia="Calibri" w:hAnsi="Arial" w:cs="Arial"/>
                <w:i/>
                <w:color w:val="auto"/>
                <w:sz w:val="20"/>
                <w:szCs w:val="20"/>
                <w:lang w:val="en-US"/>
              </w:rPr>
              <w:t xml:space="preserve">5 </w:t>
            </w:r>
            <w:r w:rsidRPr="007528E0">
              <w:rPr>
                <w:rFonts w:ascii="Arial" w:eastAsia="Calibri" w:hAnsi="Arial" w:cs="Arial"/>
                <w:i/>
                <w:color w:val="auto"/>
                <w:sz w:val="20"/>
                <w:szCs w:val="20"/>
              </w:rPr>
              <w:t>μ</w:t>
            </w:r>
            <w:r w:rsidRPr="007528E0">
              <w:rPr>
                <w:rFonts w:ascii="Arial" w:eastAsia="Calibri" w:hAnsi="Arial" w:cs="Arial"/>
                <w:i/>
                <w:color w:val="auto"/>
                <w:sz w:val="20"/>
                <w:szCs w:val="20"/>
                <w:lang w:val="en-US"/>
              </w:rPr>
              <w:t xml:space="preserve">g/g </w:t>
            </w:r>
            <w:proofErr w:type="spellStart"/>
            <w:r w:rsidRPr="007528E0">
              <w:rPr>
                <w:rFonts w:ascii="Arial" w:eastAsia="Calibri" w:hAnsi="Arial" w:cs="Arial"/>
                <w:i/>
                <w:color w:val="auto"/>
                <w:sz w:val="20"/>
                <w:szCs w:val="20"/>
                <w:lang w:val="en-US"/>
              </w:rPr>
              <w:t>creatinina</w:t>
            </w:r>
            <w:proofErr w:type="spellEnd"/>
          </w:p>
        </w:tc>
        <w:tc>
          <w:tcPr>
            <w:tcW w:w="2891" w:type="pct"/>
          </w:tcPr>
          <w:p w14:paraId="4496C79C" w14:textId="77777777" w:rsidR="0037398A" w:rsidRPr="007528E0" w:rsidRDefault="0037398A" w:rsidP="007528E0">
            <w:pPr>
              <w:pStyle w:val="Normal1"/>
              <w:spacing w:before="100" w:beforeAutospacing="1" w:after="100" w:afterAutospacing="1"/>
              <w:jc w:val="both"/>
              <w:rPr>
                <w:rFonts w:ascii="Arial" w:hAnsi="Arial" w:cs="Arial"/>
                <w:color w:val="auto"/>
                <w:sz w:val="20"/>
                <w:szCs w:val="20"/>
              </w:rPr>
            </w:pPr>
            <w:r w:rsidRPr="007528E0">
              <w:rPr>
                <w:rFonts w:ascii="Arial" w:eastAsia="Calibri" w:hAnsi="Arial" w:cs="Arial"/>
                <w:color w:val="auto"/>
                <w:sz w:val="20"/>
                <w:szCs w:val="20"/>
              </w:rPr>
              <w:t>Evaluación  de exposición crónica a mercurio elemental e inorgánico</w:t>
            </w:r>
          </w:p>
        </w:tc>
      </w:tr>
      <w:tr w:rsidR="007528E0" w:rsidRPr="007528E0" w14:paraId="2033FEAC" w14:textId="77777777" w:rsidTr="007528E0">
        <w:trPr>
          <w:jc w:val="center"/>
        </w:trPr>
        <w:tc>
          <w:tcPr>
            <w:tcW w:w="744" w:type="pct"/>
            <w:vAlign w:val="center"/>
          </w:tcPr>
          <w:p w14:paraId="7C04C654" w14:textId="77777777" w:rsidR="0037398A" w:rsidRPr="007528E0" w:rsidRDefault="0037398A" w:rsidP="007528E0">
            <w:pPr>
              <w:pStyle w:val="Normal1"/>
              <w:spacing w:before="100" w:beforeAutospacing="1" w:after="100" w:afterAutospacing="1"/>
              <w:jc w:val="center"/>
              <w:rPr>
                <w:rFonts w:ascii="Arial" w:hAnsi="Arial" w:cs="Arial"/>
                <w:color w:val="auto"/>
                <w:sz w:val="20"/>
                <w:szCs w:val="20"/>
              </w:rPr>
            </w:pPr>
            <w:r w:rsidRPr="007528E0">
              <w:rPr>
                <w:rFonts w:ascii="Arial" w:eastAsia="Calibri" w:hAnsi="Arial" w:cs="Arial"/>
                <w:color w:val="auto"/>
                <w:sz w:val="20"/>
                <w:szCs w:val="20"/>
              </w:rPr>
              <w:t>Cabello</w:t>
            </w:r>
          </w:p>
        </w:tc>
        <w:tc>
          <w:tcPr>
            <w:tcW w:w="1365" w:type="pct"/>
            <w:vAlign w:val="center"/>
          </w:tcPr>
          <w:p w14:paraId="5E39797A" w14:textId="77777777" w:rsidR="0037398A" w:rsidRPr="007528E0" w:rsidRDefault="0037398A" w:rsidP="007528E0">
            <w:pPr>
              <w:pStyle w:val="Normal1"/>
              <w:spacing w:before="100" w:beforeAutospacing="1" w:after="100" w:afterAutospacing="1"/>
              <w:jc w:val="center"/>
              <w:rPr>
                <w:rFonts w:ascii="Arial" w:hAnsi="Arial" w:cs="Arial"/>
                <w:color w:val="auto"/>
                <w:sz w:val="20"/>
                <w:szCs w:val="20"/>
              </w:rPr>
            </w:pPr>
            <w:r w:rsidRPr="007528E0">
              <w:rPr>
                <w:rFonts w:ascii="Arial" w:eastAsia="Calibri" w:hAnsi="Arial" w:cs="Arial"/>
                <w:color w:val="auto"/>
                <w:sz w:val="20"/>
                <w:szCs w:val="20"/>
              </w:rPr>
              <w:t>Hasta 1 ppm</w:t>
            </w:r>
          </w:p>
          <w:p w14:paraId="5DF62BFD" w14:textId="77777777" w:rsidR="0037398A" w:rsidRPr="007528E0" w:rsidRDefault="0037398A" w:rsidP="007528E0">
            <w:pPr>
              <w:pStyle w:val="Normal1"/>
              <w:spacing w:before="100" w:beforeAutospacing="1" w:after="100" w:afterAutospacing="1"/>
              <w:jc w:val="center"/>
              <w:rPr>
                <w:rFonts w:ascii="Arial" w:hAnsi="Arial" w:cs="Arial"/>
                <w:color w:val="auto"/>
                <w:sz w:val="20"/>
                <w:szCs w:val="20"/>
              </w:rPr>
            </w:pPr>
            <w:r w:rsidRPr="007528E0">
              <w:rPr>
                <w:rFonts w:ascii="Arial" w:eastAsia="Calibri" w:hAnsi="Arial" w:cs="Arial"/>
                <w:color w:val="auto"/>
                <w:sz w:val="20"/>
                <w:szCs w:val="20"/>
              </w:rPr>
              <w:t>(1μg/g)</w:t>
            </w:r>
          </w:p>
        </w:tc>
        <w:tc>
          <w:tcPr>
            <w:tcW w:w="2891" w:type="pct"/>
          </w:tcPr>
          <w:p w14:paraId="48026D9D" w14:textId="77777777" w:rsidR="0037398A" w:rsidRPr="007528E0" w:rsidRDefault="0037398A" w:rsidP="007528E0">
            <w:pPr>
              <w:pStyle w:val="Normal1"/>
              <w:spacing w:before="100" w:beforeAutospacing="1" w:after="100" w:afterAutospacing="1"/>
              <w:jc w:val="both"/>
              <w:rPr>
                <w:rFonts w:ascii="Arial" w:hAnsi="Arial" w:cs="Arial"/>
                <w:color w:val="auto"/>
                <w:sz w:val="20"/>
                <w:szCs w:val="20"/>
              </w:rPr>
            </w:pPr>
            <w:r w:rsidRPr="007528E0">
              <w:rPr>
                <w:rFonts w:ascii="Arial" w:eastAsia="Calibri" w:hAnsi="Arial" w:cs="Arial"/>
                <w:color w:val="auto"/>
                <w:sz w:val="20"/>
                <w:szCs w:val="20"/>
              </w:rPr>
              <w:t>Evaluación de exposición crónica o antigua a mercurio orgánico.</w:t>
            </w:r>
          </w:p>
        </w:tc>
      </w:tr>
    </w:tbl>
    <w:p w14:paraId="05BDCFC6" w14:textId="77777777" w:rsidR="0037398A" w:rsidRPr="007528E0" w:rsidRDefault="0037398A" w:rsidP="0037398A">
      <w:pPr>
        <w:pStyle w:val="Normal1"/>
        <w:spacing w:before="100" w:beforeAutospacing="1" w:after="100" w:afterAutospacing="1"/>
        <w:jc w:val="center"/>
        <w:rPr>
          <w:rFonts w:ascii="Arial" w:eastAsia="Calibri" w:hAnsi="Arial" w:cs="Arial"/>
          <w:b/>
          <w:color w:val="auto"/>
          <w:sz w:val="16"/>
          <w:szCs w:val="16"/>
          <w:highlight w:val="white"/>
          <w:u w:val="single"/>
          <w:lang w:val="es-CO"/>
        </w:rPr>
      </w:pPr>
      <w:r w:rsidRPr="007528E0">
        <w:rPr>
          <w:rFonts w:ascii="Arial" w:hAnsi="Arial" w:cs="Arial"/>
          <w:color w:val="auto"/>
          <w:sz w:val="16"/>
          <w:szCs w:val="16"/>
          <w:lang w:val="es-CO"/>
        </w:rPr>
        <w:t xml:space="preserve">Fuente: </w:t>
      </w:r>
      <w:r w:rsidRPr="007528E0">
        <w:rPr>
          <w:rFonts w:ascii="Arial" w:eastAsia="Calibri" w:hAnsi="Arial" w:cs="Arial"/>
          <w:color w:val="auto"/>
          <w:sz w:val="16"/>
          <w:szCs w:val="16"/>
        </w:rPr>
        <w:t xml:space="preserve"> Elaborada a partir de las referencias</w:t>
      </w:r>
      <w:r w:rsidRPr="007528E0">
        <w:rPr>
          <w:rFonts w:ascii="Arial" w:eastAsia="Calibri" w:hAnsi="Arial" w:cs="Arial"/>
          <w:color w:val="auto"/>
          <w:sz w:val="16"/>
          <w:szCs w:val="16"/>
        </w:rPr>
        <w:fldChar w:fldCharType="begin" w:fldLock="1"/>
      </w:r>
      <w:r w:rsidRPr="007528E0">
        <w:rPr>
          <w:rFonts w:ascii="Arial" w:eastAsia="Calibri" w:hAnsi="Arial" w:cs="Arial"/>
          <w:color w:val="auto"/>
          <w:sz w:val="16"/>
          <w:szCs w:val="16"/>
        </w:rPr>
        <w:instrText>ADDIN CSL_CITATION { "citationItems" : [ { "id" : "ITEM-1", "itemData" : { "abstract" : "1. The United Nations Environment Programme (UNEP) Governing Council (GC), at its 22nd session requested UNEP, in cooperation and consultation with other appropriate organizations, to facilitate and conduct technical assistance and capacity building activities to support the efforts of countries to take action regarding mercury pollution. This request was reinforced by the UNEP GC at its 23rd session in February 2005. At that session, the GC also encouraged governments to promote and improve evaluation and risk communication methods, based on, inter alia, guidance from the World Health Organization (WHO) and the Food and Agriculture Organization of the United Nations (FAO), that will enable citizens to make health-protective dietary choices based on risk and benefit information. 2. The UNEP GC at its 24th session in February 2007 recognized that a range of activities are still required to address the challenges posed by mercury, including substitution of products and technologies; technical assistance and capacity-building; development of national policy and regulation; data collection, research and information provision, bearing in mind the need to provide assistance to developing countries and countries with economies in transition. 3. This \u201cGuidance for Identifying Populations at Risk from Mercury Exposure\u201d is intended to inform countries concerned about the potential health impacts of mercury pollution and, if necessary, to assist in identifying specific subpopulations that may be at risk. The document describes approaches that have been used to estimate exposure to mercury, including biomonitoring and methods that use data on fish consumption and mercury levels in fish. It also describes various environmental models that can be useful in predicting exposure to mercury. In addition, the document provides an overview of the assessment of mercury exposures for some specific exposure scenarios, including occupational and other \u201chot spot\u201d exposures. 4. This document can be used as a reference for conducting research or investigations regarding mercury exposure. Depending on the nature of the research, involvement of stakeholders in various stages of the research is important, especially for local communities. This includes the process of evaluating and addressing environmental issues. For research involving biomonitoring, consultation with the community and consideration of ethical and confidentiality issues are essential. 5. Relevant reports of meeting\u2026", "author" : [ { "dropping-particle" : "", "family" : "UNEP DTIE Chemicals Branch", "given" : "", "non-dropping-particle" : "", "parse-names" : false, "suffix" : "" }, { "dropping-particle" : "", "family" : "WHO Department of Food Safety", "given" : "Zoonoses and Foodborne Diseases", "non-dropping-particle" : "", "parse-names" : false, "suffix" : "" } ], "container-title" : "Exposure", "id" : "ITEM-1", "issue" : "August", "issued" : { "date-parts" : [ [ "2008" ] ] }, "page" : "176", "title" : "Guidance for Identifying Populations At Risk From Mercury Exposure", "type" : "article-journal" }, "uris" : [ "http://www.mendeley.com/documents/?uuid=5f256fe8-3587-4068-960b-253bff33d128" ] } ], "mendeley" : { "formattedCitation" : "(49)", "plainTextFormattedCitation" : "(49)", "previouslyFormattedCitation" : "(49)" }, "properties" : { "noteIndex" : 0 }, "schema" : "https://github.com/citation-style-language/schema/raw/master/csl-citation.json" }</w:instrText>
      </w:r>
      <w:r w:rsidRPr="007528E0">
        <w:rPr>
          <w:rFonts w:ascii="Arial" w:eastAsia="Calibri" w:hAnsi="Arial" w:cs="Arial"/>
          <w:color w:val="auto"/>
          <w:sz w:val="16"/>
          <w:szCs w:val="16"/>
        </w:rPr>
        <w:fldChar w:fldCharType="separate"/>
      </w:r>
      <w:r w:rsidRPr="007528E0">
        <w:rPr>
          <w:rFonts w:ascii="Arial" w:eastAsia="Calibri" w:hAnsi="Arial" w:cs="Arial"/>
          <w:noProof/>
          <w:color w:val="auto"/>
          <w:sz w:val="16"/>
          <w:szCs w:val="16"/>
        </w:rPr>
        <w:t>(49)</w:t>
      </w:r>
      <w:r w:rsidRPr="007528E0">
        <w:rPr>
          <w:rFonts w:ascii="Arial" w:eastAsia="Calibri" w:hAnsi="Arial" w:cs="Arial"/>
          <w:color w:val="auto"/>
          <w:sz w:val="16"/>
          <w:szCs w:val="16"/>
        </w:rPr>
        <w:fldChar w:fldCharType="end"/>
      </w:r>
    </w:p>
    <w:p w14:paraId="5DD896C0" w14:textId="77777777" w:rsidR="0037398A" w:rsidRPr="007528E0" w:rsidRDefault="0037398A" w:rsidP="0037398A">
      <w:pPr>
        <w:pStyle w:val="Normal1"/>
        <w:spacing w:before="100" w:beforeAutospacing="1" w:after="100" w:afterAutospacing="1"/>
        <w:jc w:val="both"/>
        <w:rPr>
          <w:rFonts w:ascii="Arial" w:eastAsia="Calibri" w:hAnsi="Arial" w:cs="Arial"/>
          <w:b/>
          <w:color w:val="auto"/>
          <w:sz w:val="22"/>
          <w:szCs w:val="22"/>
          <w:u w:val="single"/>
        </w:rPr>
      </w:pPr>
      <w:r w:rsidRPr="007528E0">
        <w:rPr>
          <w:rFonts w:ascii="Arial" w:eastAsia="Calibri" w:hAnsi="Arial" w:cs="Arial"/>
          <w:b/>
          <w:color w:val="auto"/>
          <w:sz w:val="22"/>
          <w:szCs w:val="22"/>
          <w:highlight w:val="white"/>
          <w:u w:val="single"/>
        </w:rPr>
        <w:t>Toma de muestras biológicas</w:t>
      </w:r>
    </w:p>
    <w:p w14:paraId="591C29F3" w14:textId="77777777" w:rsidR="0037398A" w:rsidRPr="007528E0" w:rsidRDefault="0037398A" w:rsidP="0037398A">
      <w:pPr>
        <w:pStyle w:val="Normal1"/>
        <w:spacing w:before="100" w:beforeAutospacing="1" w:after="100" w:afterAutospacing="1"/>
        <w:jc w:val="both"/>
        <w:rPr>
          <w:rFonts w:ascii="Arial" w:hAnsi="Arial" w:cs="Arial"/>
          <w:color w:val="auto"/>
          <w:sz w:val="22"/>
          <w:szCs w:val="22"/>
        </w:rPr>
      </w:pPr>
      <w:r w:rsidRPr="007528E0">
        <w:rPr>
          <w:rFonts w:ascii="Arial" w:eastAsia="Calibri" w:hAnsi="Arial" w:cs="Arial"/>
          <w:color w:val="auto"/>
          <w:sz w:val="22"/>
          <w:szCs w:val="22"/>
        </w:rPr>
        <w:t xml:space="preserve">En la </w:t>
      </w:r>
      <w:r w:rsidRPr="007528E0">
        <w:rPr>
          <w:rFonts w:ascii="Arial" w:eastAsia="Calibri" w:hAnsi="Arial" w:cs="Arial"/>
          <w:bCs/>
          <w:color w:val="auto"/>
          <w:sz w:val="22"/>
          <w:szCs w:val="22"/>
        </w:rPr>
        <w:t xml:space="preserve">tabla 8 </w:t>
      </w:r>
      <w:r w:rsidRPr="007528E0">
        <w:rPr>
          <w:rFonts w:ascii="Arial" w:eastAsia="Calibri" w:hAnsi="Arial" w:cs="Arial"/>
          <w:color w:val="auto"/>
          <w:sz w:val="22"/>
          <w:szCs w:val="22"/>
        </w:rPr>
        <w:t xml:space="preserve">se resumen las condiciones de recolección, preservación y almacenamiento de muestras en matriz biológica (sangre, orina y cabello) y ambiental. </w:t>
      </w:r>
    </w:p>
    <w:p w14:paraId="28824631" w14:textId="77777777" w:rsidR="0037398A" w:rsidRPr="007528E0" w:rsidRDefault="0037398A" w:rsidP="0037398A">
      <w:pPr>
        <w:pStyle w:val="Descripcin"/>
        <w:spacing w:before="100" w:beforeAutospacing="1" w:after="100" w:afterAutospacing="1"/>
        <w:jc w:val="center"/>
        <w:rPr>
          <w:rFonts w:eastAsia="Calibri" w:cs="Arial"/>
          <w:b/>
          <w:bCs/>
          <w:i w:val="0"/>
          <w:color w:val="auto"/>
          <w:sz w:val="22"/>
          <w:szCs w:val="22"/>
          <w:lang w:val="es-CO" w:eastAsia="es-CO"/>
        </w:rPr>
      </w:pPr>
      <w:bookmarkStart w:id="22" w:name="_Toc505456254"/>
      <w:r w:rsidRPr="007528E0">
        <w:rPr>
          <w:rFonts w:cs="Arial"/>
          <w:b/>
          <w:color w:val="auto"/>
          <w:sz w:val="22"/>
          <w:szCs w:val="22"/>
        </w:rPr>
        <w:t xml:space="preserve">Tabla </w:t>
      </w:r>
      <w:r w:rsidRPr="007528E0">
        <w:rPr>
          <w:rFonts w:cs="Arial"/>
          <w:b/>
          <w:color w:val="auto"/>
          <w:sz w:val="22"/>
          <w:szCs w:val="22"/>
        </w:rPr>
        <w:fldChar w:fldCharType="begin"/>
      </w:r>
      <w:r w:rsidRPr="007528E0">
        <w:rPr>
          <w:rFonts w:cs="Arial"/>
          <w:b/>
          <w:color w:val="auto"/>
          <w:sz w:val="22"/>
          <w:szCs w:val="22"/>
        </w:rPr>
        <w:instrText xml:space="preserve"> SEQ Tabla \* ARABIC </w:instrText>
      </w:r>
      <w:r w:rsidRPr="007528E0">
        <w:rPr>
          <w:rFonts w:cs="Arial"/>
          <w:b/>
          <w:color w:val="auto"/>
          <w:sz w:val="22"/>
          <w:szCs w:val="22"/>
        </w:rPr>
        <w:fldChar w:fldCharType="separate"/>
      </w:r>
      <w:r w:rsidRPr="007528E0">
        <w:rPr>
          <w:rFonts w:cs="Arial"/>
          <w:b/>
          <w:noProof/>
          <w:color w:val="auto"/>
          <w:sz w:val="22"/>
          <w:szCs w:val="22"/>
        </w:rPr>
        <w:t>8</w:t>
      </w:r>
      <w:r w:rsidRPr="007528E0">
        <w:rPr>
          <w:rFonts w:cs="Arial"/>
          <w:b/>
          <w:color w:val="auto"/>
          <w:sz w:val="22"/>
          <w:szCs w:val="22"/>
        </w:rPr>
        <w:fldChar w:fldCharType="end"/>
      </w:r>
      <w:r w:rsidRPr="007528E0">
        <w:rPr>
          <w:rFonts w:cs="Arial"/>
          <w:color w:val="auto"/>
          <w:sz w:val="22"/>
          <w:szCs w:val="22"/>
        </w:rPr>
        <w:t>. Procesos de toma en muestras biológicas y ambientales</w:t>
      </w:r>
      <w:bookmarkEnd w:id="22"/>
    </w:p>
    <w:tbl>
      <w:tblPr>
        <w:tblStyle w:val="Tablaconcuadrcula"/>
        <w:tblW w:w="5403" w:type="pct"/>
        <w:tblLook w:val="0000" w:firstRow="0" w:lastRow="0" w:firstColumn="0" w:lastColumn="0" w:noHBand="0" w:noVBand="0"/>
      </w:tblPr>
      <w:tblGrid>
        <w:gridCol w:w="1059"/>
        <w:gridCol w:w="2250"/>
        <w:gridCol w:w="3886"/>
        <w:gridCol w:w="2589"/>
      </w:tblGrid>
      <w:tr w:rsidR="007528E0" w:rsidRPr="007528E0" w14:paraId="3F6F757A" w14:textId="77777777" w:rsidTr="007528E0">
        <w:tc>
          <w:tcPr>
            <w:tcW w:w="541" w:type="pct"/>
          </w:tcPr>
          <w:p w14:paraId="28CB8365" w14:textId="77777777" w:rsidR="0037398A" w:rsidRPr="007528E0" w:rsidRDefault="0037398A" w:rsidP="007528E0">
            <w:pPr>
              <w:pStyle w:val="Normal1"/>
              <w:spacing w:before="100" w:beforeAutospacing="1" w:after="100" w:afterAutospacing="1"/>
              <w:jc w:val="center"/>
              <w:rPr>
                <w:rFonts w:ascii="Arial" w:hAnsi="Arial" w:cs="Arial"/>
                <w:b/>
                <w:color w:val="auto"/>
                <w:sz w:val="20"/>
                <w:szCs w:val="20"/>
              </w:rPr>
            </w:pPr>
            <w:r w:rsidRPr="007528E0">
              <w:rPr>
                <w:rFonts w:ascii="Arial" w:hAnsi="Arial" w:cs="Arial"/>
                <w:b/>
                <w:color w:val="auto"/>
                <w:sz w:val="20"/>
                <w:szCs w:val="20"/>
              </w:rPr>
              <w:t>Muestra</w:t>
            </w:r>
          </w:p>
        </w:tc>
        <w:tc>
          <w:tcPr>
            <w:tcW w:w="1150" w:type="pct"/>
          </w:tcPr>
          <w:p w14:paraId="227C7902" w14:textId="77777777" w:rsidR="0037398A" w:rsidRPr="007528E0" w:rsidRDefault="0037398A" w:rsidP="007528E0">
            <w:pPr>
              <w:pStyle w:val="Normal1"/>
              <w:spacing w:before="100" w:beforeAutospacing="1" w:after="100" w:afterAutospacing="1"/>
              <w:jc w:val="center"/>
              <w:rPr>
                <w:rFonts w:ascii="Arial" w:hAnsi="Arial" w:cs="Arial"/>
                <w:b/>
                <w:color w:val="auto"/>
                <w:sz w:val="20"/>
                <w:szCs w:val="20"/>
              </w:rPr>
            </w:pPr>
            <w:r w:rsidRPr="007528E0">
              <w:rPr>
                <w:rFonts w:ascii="Arial" w:hAnsi="Arial" w:cs="Arial"/>
                <w:b/>
                <w:color w:val="auto"/>
                <w:sz w:val="20"/>
                <w:szCs w:val="20"/>
              </w:rPr>
              <w:t>Envase y preservante</w:t>
            </w:r>
          </w:p>
        </w:tc>
        <w:tc>
          <w:tcPr>
            <w:tcW w:w="1986" w:type="pct"/>
          </w:tcPr>
          <w:p w14:paraId="1C3B07DD" w14:textId="77777777" w:rsidR="0037398A" w:rsidRPr="007528E0" w:rsidRDefault="0037398A" w:rsidP="007528E0">
            <w:pPr>
              <w:pStyle w:val="Normal1"/>
              <w:spacing w:before="100" w:beforeAutospacing="1" w:after="100" w:afterAutospacing="1"/>
              <w:jc w:val="center"/>
              <w:rPr>
                <w:rFonts w:ascii="Arial" w:hAnsi="Arial" w:cs="Arial"/>
                <w:b/>
                <w:color w:val="auto"/>
                <w:sz w:val="20"/>
                <w:szCs w:val="20"/>
              </w:rPr>
            </w:pPr>
            <w:r w:rsidRPr="007528E0">
              <w:rPr>
                <w:rFonts w:ascii="Arial" w:hAnsi="Arial" w:cs="Arial"/>
                <w:b/>
                <w:color w:val="auto"/>
                <w:sz w:val="20"/>
                <w:szCs w:val="20"/>
              </w:rPr>
              <w:t>Condiciones para toma</w:t>
            </w:r>
          </w:p>
        </w:tc>
        <w:tc>
          <w:tcPr>
            <w:tcW w:w="1323" w:type="pct"/>
          </w:tcPr>
          <w:p w14:paraId="1FA95D5D" w14:textId="77777777" w:rsidR="0037398A" w:rsidRPr="007528E0" w:rsidRDefault="0037398A" w:rsidP="007528E0">
            <w:pPr>
              <w:pStyle w:val="Normal1"/>
              <w:spacing w:before="100" w:beforeAutospacing="1" w:after="100" w:afterAutospacing="1"/>
              <w:jc w:val="center"/>
              <w:rPr>
                <w:rFonts w:ascii="Arial" w:hAnsi="Arial" w:cs="Arial"/>
                <w:b/>
                <w:color w:val="auto"/>
                <w:sz w:val="20"/>
                <w:szCs w:val="20"/>
              </w:rPr>
            </w:pPr>
            <w:r w:rsidRPr="007528E0">
              <w:rPr>
                <w:rFonts w:ascii="Arial" w:hAnsi="Arial" w:cs="Arial"/>
                <w:b/>
                <w:color w:val="auto"/>
                <w:sz w:val="20"/>
                <w:szCs w:val="20"/>
              </w:rPr>
              <w:t>Almacenamiento</w:t>
            </w:r>
          </w:p>
        </w:tc>
      </w:tr>
      <w:tr w:rsidR="007528E0" w:rsidRPr="007528E0" w14:paraId="60D121A5" w14:textId="77777777" w:rsidTr="007528E0">
        <w:tc>
          <w:tcPr>
            <w:tcW w:w="541" w:type="pct"/>
          </w:tcPr>
          <w:p w14:paraId="31FAA81B" w14:textId="77777777" w:rsidR="0037398A" w:rsidRPr="007528E0" w:rsidRDefault="0037398A" w:rsidP="007528E0">
            <w:pPr>
              <w:pStyle w:val="Normal1"/>
              <w:spacing w:before="100" w:beforeAutospacing="1" w:after="100" w:afterAutospacing="1"/>
              <w:jc w:val="both"/>
              <w:rPr>
                <w:rFonts w:ascii="Arial" w:hAnsi="Arial" w:cs="Arial"/>
                <w:color w:val="auto"/>
                <w:sz w:val="20"/>
                <w:szCs w:val="20"/>
              </w:rPr>
            </w:pPr>
            <w:r w:rsidRPr="007528E0">
              <w:rPr>
                <w:rFonts w:ascii="Arial" w:eastAsia="Calibri" w:hAnsi="Arial" w:cs="Arial"/>
                <w:color w:val="auto"/>
                <w:sz w:val="20"/>
                <w:szCs w:val="20"/>
              </w:rPr>
              <w:t>Orina</w:t>
            </w:r>
          </w:p>
        </w:tc>
        <w:tc>
          <w:tcPr>
            <w:tcW w:w="1150" w:type="pct"/>
          </w:tcPr>
          <w:p w14:paraId="780FE507" w14:textId="77777777" w:rsidR="0037398A" w:rsidRPr="007528E0" w:rsidRDefault="0037398A" w:rsidP="007528E0">
            <w:pPr>
              <w:pStyle w:val="Normal1"/>
              <w:spacing w:before="100" w:beforeAutospacing="1" w:after="100" w:afterAutospacing="1"/>
              <w:jc w:val="both"/>
              <w:rPr>
                <w:rFonts w:ascii="Arial" w:hAnsi="Arial" w:cs="Arial"/>
                <w:color w:val="auto"/>
                <w:sz w:val="20"/>
                <w:szCs w:val="20"/>
              </w:rPr>
            </w:pPr>
            <w:r w:rsidRPr="007528E0">
              <w:rPr>
                <w:rFonts w:ascii="Arial" w:eastAsia="Calibri" w:hAnsi="Arial" w:cs="Arial"/>
                <w:color w:val="auto"/>
                <w:sz w:val="20"/>
                <w:szCs w:val="20"/>
              </w:rPr>
              <w:t xml:space="preserve">Frascos de plástico de boca ancha y tapa de rosca con capacidad </w:t>
            </w:r>
            <w:r w:rsidRPr="007528E0">
              <w:rPr>
                <w:rFonts w:ascii="Arial" w:eastAsia="Calibri" w:hAnsi="Arial" w:cs="Arial"/>
                <w:color w:val="auto"/>
                <w:sz w:val="20"/>
                <w:szCs w:val="20"/>
              </w:rPr>
              <w:lastRenderedPageBreak/>
              <w:t>de 2.5 litros (o más) o frasco de 125 ml.  Lavar previamente el recipiente con detergente neutro y agua destilada, purgar luego con HNO3 1:1 y enjuagar finalmente con agua desionizada.</w:t>
            </w:r>
          </w:p>
        </w:tc>
        <w:tc>
          <w:tcPr>
            <w:tcW w:w="1986" w:type="pct"/>
          </w:tcPr>
          <w:p w14:paraId="14D239DA" w14:textId="77777777" w:rsidR="0037398A" w:rsidRPr="007528E0" w:rsidRDefault="0037398A" w:rsidP="007528E0">
            <w:pPr>
              <w:pStyle w:val="Normal1"/>
              <w:spacing w:before="100" w:beforeAutospacing="1" w:after="100" w:afterAutospacing="1"/>
              <w:jc w:val="both"/>
              <w:rPr>
                <w:rFonts w:ascii="Arial" w:hAnsi="Arial" w:cs="Arial"/>
                <w:color w:val="auto"/>
                <w:sz w:val="20"/>
                <w:szCs w:val="20"/>
              </w:rPr>
            </w:pPr>
            <w:r w:rsidRPr="007528E0">
              <w:rPr>
                <w:rFonts w:ascii="Arial" w:eastAsia="Calibri" w:hAnsi="Arial" w:cs="Arial"/>
                <w:color w:val="auto"/>
                <w:sz w:val="20"/>
                <w:szCs w:val="20"/>
              </w:rPr>
              <w:lastRenderedPageBreak/>
              <w:t xml:space="preserve">Orina de 24 horas: Descartar la primera micción y anotar la hora en una etiqueta en el recipiente. Después de esta </w:t>
            </w:r>
            <w:r w:rsidRPr="007528E0">
              <w:rPr>
                <w:rFonts w:ascii="Arial" w:eastAsia="Calibri" w:hAnsi="Arial" w:cs="Arial"/>
                <w:color w:val="auto"/>
                <w:sz w:val="20"/>
                <w:szCs w:val="20"/>
              </w:rPr>
              <w:lastRenderedPageBreak/>
              <w:t>evacuación, recolectar en el recipiente toda la orina excretada durante las siguientes 24 horas, incluyendo la primera micción de la mañana siguiente, que debe ser lo más cercana posible al término del período de recolección y se anota la hora</w:t>
            </w:r>
          </w:p>
          <w:p w14:paraId="600220DB" w14:textId="77777777" w:rsidR="0037398A" w:rsidRPr="007528E0" w:rsidRDefault="0037398A" w:rsidP="007528E0">
            <w:pPr>
              <w:pStyle w:val="Normal1"/>
              <w:spacing w:before="100" w:beforeAutospacing="1" w:after="100" w:afterAutospacing="1"/>
              <w:ind w:left="720"/>
              <w:jc w:val="both"/>
              <w:rPr>
                <w:rFonts w:ascii="Arial" w:hAnsi="Arial" w:cs="Arial"/>
                <w:color w:val="auto"/>
                <w:sz w:val="20"/>
                <w:szCs w:val="20"/>
              </w:rPr>
            </w:pPr>
          </w:p>
          <w:p w14:paraId="4CB36865" w14:textId="77777777" w:rsidR="0037398A" w:rsidRPr="007528E0" w:rsidRDefault="0037398A" w:rsidP="007528E0">
            <w:pPr>
              <w:pStyle w:val="Normal1"/>
              <w:spacing w:before="100" w:beforeAutospacing="1" w:after="100" w:afterAutospacing="1"/>
              <w:jc w:val="both"/>
              <w:rPr>
                <w:rFonts w:ascii="Arial" w:hAnsi="Arial" w:cs="Arial"/>
                <w:color w:val="auto"/>
                <w:sz w:val="20"/>
                <w:szCs w:val="20"/>
              </w:rPr>
            </w:pPr>
            <w:r w:rsidRPr="007528E0">
              <w:rPr>
                <w:rFonts w:ascii="Arial" w:eastAsia="Calibri" w:hAnsi="Arial" w:cs="Arial"/>
                <w:color w:val="auto"/>
                <w:sz w:val="20"/>
                <w:szCs w:val="20"/>
              </w:rPr>
              <w:t>Orina de una sola micción (práctico). Recolectar una muestra de orina preferiblemente en las primeras horas de la mañana, como mínimo de 50 ml.</w:t>
            </w:r>
          </w:p>
        </w:tc>
        <w:tc>
          <w:tcPr>
            <w:tcW w:w="1323" w:type="pct"/>
          </w:tcPr>
          <w:p w14:paraId="19B8C7AE" w14:textId="77777777" w:rsidR="0037398A" w:rsidRPr="007528E0" w:rsidRDefault="0037398A" w:rsidP="007528E0">
            <w:pPr>
              <w:pStyle w:val="Normal1"/>
              <w:spacing w:before="100" w:beforeAutospacing="1" w:after="100" w:afterAutospacing="1"/>
              <w:jc w:val="both"/>
              <w:rPr>
                <w:rFonts w:ascii="Arial" w:hAnsi="Arial" w:cs="Arial"/>
                <w:color w:val="auto"/>
                <w:sz w:val="20"/>
                <w:szCs w:val="20"/>
              </w:rPr>
            </w:pPr>
            <w:r w:rsidRPr="007528E0">
              <w:rPr>
                <w:rFonts w:ascii="Arial" w:eastAsia="Calibri" w:hAnsi="Arial" w:cs="Arial"/>
                <w:color w:val="auto"/>
                <w:sz w:val="20"/>
                <w:szCs w:val="20"/>
              </w:rPr>
              <w:lastRenderedPageBreak/>
              <w:t xml:space="preserve">Refrigerar la muestra a medida que se va recolectando (2 – 4 °C) y </w:t>
            </w:r>
            <w:r w:rsidRPr="007528E0">
              <w:rPr>
                <w:rFonts w:ascii="Arial" w:eastAsia="Calibri" w:hAnsi="Arial" w:cs="Arial"/>
                <w:color w:val="auto"/>
                <w:sz w:val="20"/>
                <w:szCs w:val="20"/>
              </w:rPr>
              <w:lastRenderedPageBreak/>
              <w:t xml:space="preserve">durante su envío al laboratorio. No se requiere adición de preservantes. </w:t>
            </w:r>
          </w:p>
        </w:tc>
      </w:tr>
      <w:tr w:rsidR="007528E0" w:rsidRPr="007528E0" w14:paraId="2EE5E90D" w14:textId="77777777" w:rsidTr="007528E0">
        <w:tc>
          <w:tcPr>
            <w:tcW w:w="541" w:type="pct"/>
          </w:tcPr>
          <w:p w14:paraId="5204A310" w14:textId="77777777" w:rsidR="0037398A" w:rsidRPr="007528E0" w:rsidRDefault="0037398A" w:rsidP="007528E0">
            <w:pPr>
              <w:pStyle w:val="Normal1"/>
              <w:spacing w:before="100" w:beforeAutospacing="1" w:after="100" w:afterAutospacing="1"/>
              <w:ind w:left="720"/>
              <w:jc w:val="both"/>
              <w:rPr>
                <w:rFonts w:ascii="Arial" w:hAnsi="Arial" w:cs="Arial"/>
                <w:color w:val="auto"/>
                <w:sz w:val="20"/>
                <w:szCs w:val="20"/>
              </w:rPr>
            </w:pPr>
          </w:p>
          <w:p w14:paraId="16F07AC7" w14:textId="77777777" w:rsidR="0037398A" w:rsidRPr="007528E0" w:rsidRDefault="0037398A" w:rsidP="007528E0">
            <w:pPr>
              <w:pStyle w:val="Normal1"/>
              <w:spacing w:before="100" w:beforeAutospacing="1" w:after="100" w:afterAutospacing="1"/>
              <w:ind w:left="720"/>
              <w:jc w:val="both"/>
              <w:rPr>
                <w:rFonts w:ascii="Arial" w:hAnsi="Arial" w:cs="Arial"/>
                <w:color w:val="auto"/>
                <w:sz w:val="20"/>
                <w:szCs w:val="20"/>
              </w:rPr>
            </w:pPr>
          </w:p>
          <w:p w14:paraId="22A2CF3B" w14:textId="77777777" w:rsidR="0037398A" w:rsidRPr="007528E0" w:rsidRDefault="0037398A" w:rsidP="007528E0">
            <w:pPr>
              <w:pStyle w:val="Normal1"/>
              <w:spacing w:before="100" w:beforeAutospacing="1" w:after="100" w:afterAutospacing="1"/>
              <w:ind w:left="720"/>
              <w:jc w:val="both"/>
              <w:rPr>
                <w:rFonts w:ascii="Arial" w:hAnsi="Arial" w:cs="Arial"/>
                <w:color w:val="auto"/>
                <w:sz w:val="20"/>
                <w:szCs w:val="20"/>
              </w:rPr>
            </w:pPr>
          </w:p>
          <w:p w14:paraId="5AF4C0FB" w14:textId="77777777" w:rsidR="0037398A" w:rsidRPr="007528E0" w:rsidRDefault="0037398A" w:rsidP="007528E0">
            <w:pPr>
              <w:pStyle w:val="Normal1"/>
              <w:spacing w:before="100" w:beforeAutospacing="1" w:after="100" w:afterAutospacing="1"/>
              <w:ind w:left="720"/>
              <w:jc w:val="both"/>
              <w:rPr>
                <w:rFonts w:ascii="Arial" w:hAnsi="Arial" w:cs="Arial"/>
                <w:color w:val="auto"/>
                <w:sz w:val="20"/>
                <w:szCs w:val="20"/>
              </w:rPr>
            </w:pPr>
          </w:p>
          <w:p w14:paraId="7A9C4003" w14:textId="77777777" w:rsidR="0037398A" w:rsidRPr="007528E0" w:rsidRDefault="0037398A" w:rsidP="007528E0">
            <w:pPr>
              <w:pStyle w:val="Normal1"/>
              <w:spacing w:before="100" w:beforeAutospacing="1" w:after="100" w:afterAutospacing="1"/>
              <w:ind w:left="720"/>
              <w:jc w:val="both"/>
              <w:rPr>
                <w:rFonts w:ascii="Arial" w:hAnsi="Arial" w:cs="Arial"/>
                <w:color w:val="auto"/>
                <w:sz w:val="20"/>
                <w:szCs w:val="20"/>
              </w:rPr>
            </w:pPr>
          </w:p>
          <w:p w14:paraId="5750A355" w14:textId="77777777" w:rsidR="0037398A" w:rsidRPr="007528E0" w:rsidRDefault="0037398A" w:rsidP="007528E0">
            <w:pPr>
              <w:pStyle w:val="Normal1"/>
              <w:spacing w:before="100" w:beforeAutospacing="1" w:after="100" w:afterAutospacing="1"/>
              <w:jc w:val="both"/>
              <w:rPr>
                <w:rFonts w:ascii="Arial" w:hAnsi="Arial" w:cs="Arial"/>
                <w:color w:val="auto"/>
                <w:sz w:val="20"/>
                <w:szCs w:val="20"/>
              </w:rPr>
            </w:pPr>
            <w:r w:rsidRPr="007528E0">
              <w:rPr>
                <w:rFonts w:ascii="Arial" w:eastAsia="Calibri" w:hAnsi="Arial" w:cs="Arial"/>
                <w:color w:val="auto"/>
                <w:sz w:val="20"/>
                <w:szCs w:val="20"/>
              </w:rPr>
              <w:t>Sangre</w:t>
            </w:r>
          </w:p>
        </w:tc>
        <w:tc>
          <w:tcPr>
            <w:tcW w:w="1150" w:type="pct"/>
          </w:tcPr>
          <w:p w14:paraId="4B96D19D" w14:textId="77777777" w:rsidR="0037398A" w:rsidRPr="007528E0" w:rsidRDefault="0037398A" w:rsidP="007528E0">
            <w:pPr>
              <w:pStyle w:val="Normal1"/>
              <w:spacing w:before="100" w:beforeAutospacing="1" w:after="100" w:afterAutospacing="1"/>
              <w:jc w:val="both"/>
              <w:rPr>
                <w:rFonts w:ascii="Arial" w:hAnsi="Arial" w:cs="Arial"/>
                <w:color w:val="auto"/>
                <w:sz w:val="20"/>
                <w:szCs w:val="20"/>
              </w:rPr>
            </w:pPr>
            <w:r w:rsidRPr="007528E0">
              <w:rPr>
                <w:rFonts w:ascii="Arial" w:eastAsia="Calibri" w:hAnsi="Arial" w:cs="Arial"/>
                <w:color w:val="auto"/>
                <w:sz w:val="20"/>
                <w:szCs w:val="20"/>
              </w:rPr>
              <w:t xml:space="preserve">Utilizar tubos al vacío para toma de sangre tipo Vacutainer, </w:t>
            </w:r>
            <w:proofErr w:type="spellStart"/>
            <w:r w:rsidRPr="007528E0">
              <w:rPr>
                <w:rFonts w:ascii="Arial" w:eastAsia="Calibri" w:hAnsi="Arial" w:cs="Arial"/>
                <w:color w:val="auto"/>
                <w:sz w:val="20"/>
                <w:szCs w:val="20"/>
              </w:rPr>
              <w:t>Venoject</w:t>
            </w:r>
            <w:proofErr w:type="spellEnd"/>
            <w:r w:rsidRPr="007528E0">
              <w:rPr>
                <w:rFonts w:ascii="Arial" w:eastAsia="Calibri" w:hAnsi="Arial" w:cs="Arial"/>
                <w:color w:val="auto"/>
                <w:sz w:val="20"/>
                <w:szCs w:val="20"/>
              </w:rPr>
              <w:t xml:space="preserve">, </w:t>
            </w:r>
            <w:proofErr w:type="spellStart"/>
            <w:r w:rsidRPr="007528E0">
              <w:rPr>
                <w:rFonts w:ascii="Arial" w:eastAsia="Calibri" w:hAnsi="Arial" w:cs="Arial"/>
                <w:color w:val="auto"/>
                <w:sz w:val="20"/>
                <w:szCs w:val="20"/>
              </w:rPr>
              <w:t>Hemogard</w:t>
            </w:r>
            <w:proofErr w:type="spellEnd"/>
            <w:r w:rsidRPr="007528E0">
              <w:rPr>
                <w:rFonts w:ascii="Arial" w:eastAsia="Calibri" w:hAnsi="Arial" w:cs="Arial"/>
                <w:color w:val="auto"/>
                <w:sz w:val="20"/>
                <w:szCs w:val="20"/>
              </w:rPr>
              <w:t>, Becton -Dickinson o equivalente, que contengan Heparina o EDTA como anticoagulante. (tubo violeta o verde)</w:t>
            </w:r>
          </w:p>
        </w:tc>
        <w:tc>
          <w:tcPr>
            <w:tcW w:w="1986" w:type="pct"/>
          </w:tcPr>
          <w:p w14:paraId="73F456CA" w14:textId="77777777" w:rsidR="0037398A" w:rsidRPr="007528E0" w:rsidRDefault="0037398A" w:rsidP="007528E0">
            <w:pPr>
              <w:pStyle w:val="Normal1"/>
              <w:spacing w:before="100" w:beforeAutospacing="1" w:after="100" w:afterAutospacing="1"/>
              <w:jc w:val="both"/>
              <w:rPr>
                <w:rFonts w:ascii="Arial" w:hAnsi="Arial" w:cs="Arial"/>
                <w:color w:val="auto"/>
                <w:sz w:val="20"/>
                <w:szCs w:val="20"/>
              </w:rPr>
            </w:pPr>
            <w:r w:rsidRPr="007528E0">
              <w:rPr>
                <w:rFonts w:ascii="Arial" w:eastAsia="Calibri" w:hAnsi="Arial" w:cs="Arial"/>
                <w:color w:val="auto"/>
                <w:sz w:val="20"/>
                <w:szCs w:val="20"/>
              </w:rPr>
              <w:t xml:space="preserve">El volumen mínimo de muestra es 5 ml de sangre total. Homogenizar por inversión suave del tubo entre ocho y diez veces, para que no se coagule la muestra. Evitar la exposición al aire o luz solar, no debe golpearse ni dejar en contacto directo con el refrigerante, y evitar al máximo su agitación. </w:t>
            </w:r>
          </w:p>
        </w:tc>
        <w:tc>
          <w:tcPr>
            <w:tcW w:w="1323" w:type="pct"/>
          </w:tcPr>
          <w:p w14:paraId="7FB26CA7" w14:textId="77777777" w:rsidR="0037398A" w:rsidRPr="007528E0" w:rsidRDefault="0037398A" w:rsidP="007528E0">
            <w:pPr>
              <w:pStyle w:val="Normal1"/>
              <w:spacing w:before="100" w:beforeAutospacing="1" w:after="100" w:afterAutospacing="1"/>
              <w:jc w:val="both"/>
              <w:rPr>
                <w:rFonts w:ascii="Arial" w:hAnsi="Arial" w:cs="Arial"/>
                <w:color w:val="auto"/>
                <w:sz w:val="20"/>
                <w:szCs w:val="20"/>
              </w:rPr>
            </w:pPr>
            <w:r w:rsidRPr="007528E0">
              <w:rPr>
                <w:rFonts w:ascii="Arial" w:eastAsia="Calibri" w:hAnsi="Arial" w:cs="Arial"/>
                <w:color w:val="auto"/>
                <w:sz w:val="20"/>
                <w:szCs w:val="20"/>
              </w:rPr>
              <w:t>Refrigerar a 4 °C inmediatamente. Como refrigerante utilizar recipientes especiales (Ice pack). No congelar.</w:t>
            </w:r>
          </w:p>
          <w:p w14:paraId="7AFF4ACF" w14:textId="77777777" w:rsidR="0037398A" w:rsidRPr="007528E0" w:rsidRDefault="0037398A" w:rsidP="007528E0">
            <w:pPr>
              <w:pStyle w:val="Normal1"/>
              <w:spacing w:before="100" w:beforeAutospacing="1" w:after="100" w:afterAutospacing="1"/>
              <w:jc w:val="both"/>
              <w:rPr>
                <w:rFonts w:ascii="Arial" w:hAnsi="Arial" w:cs="Arial"/>
                <w:color w:val="auto"/>
                <w:sz w:val="20"/>
                <w:szCs w:val="20"/>
              </w:rPr>
            </w:pPr>
            <w:r w:rsidRPr="007528E0">
              <w:rPr>
                <w:rFonts w:ascii="Arial" w:eastAsia="Calibri" w:hAnsi="Arial" w:cs="Arial"/>
                <w:color w:val="auto"/>
                <w:sz w:val="20"/>
                <w:szCs w:val="20"/>
              </w:rPr>
              <w:t>Si las muestras no pueden ser remitidas al laboratorio el mismo día de la toma, deben mantenerse refrigeradas (4°C aproximadamente) hasta el momento del envío. No congelarlas para evitar la hemólisis de los glóbulos rojos. Enviarlas considerando que el análisis debe realizarse dentro de las 24 horas a partir de su toma.</w:t>
            </w:r>
          </w:p>
        </w:tc>
      </w:tr>
      <w:tr w:rsidR="007528E0" w:rsidRPr="007528E0" w14:paraId="6CA90716" w14:textId="77777777" w:rsidTr="007528E0">
        <w:tc>
          <w:tcPr>
            <w:tcW w:w="541" w:type="pct"/>
          </w:tcPr>
          <w:p w14:paraId="452A6952" w14:textId="77777777" w:rsidR="0037398A" w:rsidRPr="007528E0" w:rsidRDefault="0037398A" w:rsidP="007528E0">
            <w:pPr>
              <w:pStyle w:val="Normal1"/>
              <w:spacing w:before="100" w:beforeAutospacing="1" w:after="100" w:afterAutospacing="1"/>
              <w:jc w:val="both"/>
              <w:rPr>
                <w:rFonts w:ascii="Arial" w:hAnsi="Arial" w:cs="Arial"/>
                <w:color w:val="auto"/>
                <w:sz w:val="20"/>
                <w:szCs w:val="20"/>
              </w:rPr>
            </w:pPr>
            <w:r w:rsidRPr="007528E0">
              <w:rPr>
                <w:rFonts w:ascii="Arial" w:eastAsia="Calibri" w:hAnsi="Arial" w:cs="Arial"/>
                <w:color w:val="auto"/>
                <w:sz w:val="20"/>
                <w:szCs w:val="20"/>
              </w:rPr>
              <w:t>Cabello</w:t>
            </w:r>
          </w:p>
        </w:tc>
        <w:tc>
          <w:tcPr>
            <w:tcW w:w="1150" w:type="pct"/>
          </w:tcPr>
          <w:p w14:paraId="07174137" w14:textId="77777777" w:rsidR="0037398A" w:rsidRPr="007528E0" w:rsidRDefault="0037398A" w:rsidP="007528E0">
            <w:pPr>
              <w:pStyle w:val="Normal1"/>
              <w:spacing w:before="100" w:beforeAutospacing="1" w:after="100" w:afterAutospacing="1"/>
              <w:jc w:val="both"/>
              <w:rPr>
                <w:rFonts w:ascii="Arial" w:hAnsi="Arial" w:cs="Arial"/>
                <w:color w:val="auto"/>
                <w:sz w:val="20"/>
                <w:szCs w:val="20"/>
              </w:rPr>
            </w:pPr>
            <w:r w:rsidRPr="007528E0">
              <w:rPr>
                <w:rFonts w:ascii="Arial" w:eastAsia="Calibri" w:hAnsi="Arial" w:cs="Arial"/>
                <w:color w:val="auto"/>
                <w:sz w:val="20"/>
                <w:szCs w:val="20"/>
              </w:rPr>
              <w:t>Fijar el mechón de pelo, sobre un papel o cartulina blanco e identificar la parte más cercana a la raíz del cuero cabelludo como “</w:t>
            </w:r>
            <w:r w:rsidRPr="007528E0">
              <w:rPr>
                <w:rFonts w:ascii="Arial" w:eastAsia="Calibri" w:hAnsi="Arial" w:cs="Arial"/>
                <w:i/>
                <w:color w:val="auto"/>
                <w:sz w:val="20"/>
                <w:szCs w:val="20"/>
              </w:rPr>
              <w:t>extremo proximal</w:t>
            </w:r>
            <w:r w:rsidRPr="007528E0">
              <w:rPr>
                <w:rFonts w:ascii="Arial" w:eastAsia="Calibri" w:hAnsi="Arial" w:cs="Arial"/>
                <w:color w:val="auto"/>
                <w:sz w:val="20"/>
                <w:szCs w:val="20"/>
              </w:rPr>
              <w:t>“.</w:t>
            </w:r>
          </w:p>
          <w:p w14:paraId="222D86F7" w14:textId="77777777" w:rsidR="0037398A" w:rsidRPr="007528E0" w:rsidRDefault="0037398A" w:rsidP="007528E0">
            <w:pPr>
              <w:pStyle w:val="Normal1"/>
              <w:spacing w:before="100" w:beforeAutospacing="1" w:after="100" w:afterAutospacing="1"/>
              <w:jc w:val="both"/>
              <w:rPr>
                <w:rFonts w:ascii="Arial" w:hAnsi="Arial" w:cs="Arial"/>
                <w:color w:val="auto"/>
                <w:sz w:val="20"/>
                <w:szCs w:val="20"/>
              </w:rPr>
            </w:pPr>
            <w:r w:rsidRPr="007528E0">
              <w:rPr>
                <w:rFonts w:ascii="Arial" w:eastAsia="Calibri" w:hAnsi="Arial" w:cs="Arial"/>
                <w:color w:val="auto"/>
                <w:sz w:val="20"/>
                <w:szCs w:val="20"/>
              </w:rPr>
              <w:t xml:space="preserve">Identifique la muestra y provea cualquier información relevante como tipo de champo, acondicionador, </w:t>
            </w:r>
            <w:r w:rsidRPr="007528E0">
              <w:rPr>
                <w:rFonts w:ascii="Arial" w:eastAsia="Calibri" w:hAnsi="Arial" w:cs="Arial"/>
                <w:color w:val="auto"/>
                <w:sz w:val="20"/>
                <w:szCs w:val="20"/>
              </w:rPr>
              <w:lastRenderedPageBreak/>
              <w:t>tratamiento de color o permanentes realizados.</w:t>
            </w:r>
          </w:p>
          <w:p w14:paraId="479F7D1C" w14:textId="77777777" w:rsidR="0037398A" w:rsidRPr="007528E0" w:rsidRDefault="0037398A" w:rsidP="007528E0">
            <w:pPr>
              <w:pStyle w:val="Normal1"/>
              <w:spacing w:before="100" w:beforeAutospacing="1" w:after="100" w:afterAutospacing="1"/>
              <w:jc w:val="both"/>
              <w:rPr>
                <w:rFonts w:ascii="Arial" w:hAnsi="Arial" w:cs="Arial"/>
                <w:color w:val="auto"/>
                <w:sz w:val="20"/>
                <w:szCs w:val="20"/>
              </w:rPr>
            </w:pPr>
          </w:p>
          <w:p w14:paraId="4C8F6AAC" w14:textId="77777777" w:rsidR="0037398A" w:rsidRPr="007528E0" w:rsidRDefault="0037398A" w:rsidP="007528E0">
            <w:pPr>
              <w:pStyle w:val="Normal1"/>
              <w:spacing w:before="100" w:beforeAutospacing="1" w:after="100" w:afterAutospacing="1"/>
              <w:jc w:val="both"/>
              <w:rPr>
                <w:rFonts w:ascii="Arial" w:hAnsi="Arial" w:cs="Arial"/>
                <w:color w:val="auto"/>
                <w:sz w:val="20"/>
                <w:szCs w:val="20"/>
              </w:rPr>
            </w:pPr>
            <w:r w:rsidRPr="007528E0">
              <w:rPr>
                <w:rFonts w:ascii="Arial" w:eastAsia="Calibri" w:hAnsi="Arial" w:cs="Arial"/>
                <w:color w:val="auto"/>
                <w:sz w:val="20"/>
                <w:szCs w:val="20"/>
              </w:rPr>
              <w:t>Para fijar el pelo de la cartulina blanca, la parte proximal de cada mechón puede enrollarse en un pequeño pedazo de papel que se pega con grapadora sobre la cartulina blanca.</w:t>
            </w:r>
          </w:p>
          <w:p w14:paraId="34FC179C" w14:textId="77777777" w:rsidR="0037398A" w:rsidRPr="007528E0" w:rsidRDefault="0037398A" w:rsidP="007528E0">
            <w:pPr>
              <w:pStyle w:val="Normal1"/>
              <w:spacing w:before="100" w:beforeAutospacing="1" w:after="100" w:afterAutospacing="1"/>
              <w:jc w:val="both"/>
              <w:rPr>
                <w:rFonts w:ascii="Arial" w:hAnsi="Arial" w:cs="Arial"/>
                <w:color w:val="auto"/>
                <w:sz w:val="20"/>
                <w:szCs w:val="20"/>
              </w:rPr>
            </w:pPr>
          </w:p>
          <w:p w14:paraId="46228E51" w14:textId="77777777" w:rsidR="0037398A" w:rsidRPr="007528E0" w:rsidRDefault="0037398A" w:rsidP="007528E0">
            <w:pPr>
              <w:pStyle w:val="Normal1"/>
              <w:spacing w:before="100" w:beforeAutospacing="1" w:after="100" w:afterAutospacing="1"/>
              <w:jc w:val="both"/>
              <w:rPr>
                <w:rFonts w:ascii="Arial" w:hAnsi="Arial" w:cs="Arial"/>
                <w:color w:val="auto"/>
                <w:sz w:val="20"/>
                <w:szCs w:val="20"/>
              </w:rPr>
            </w:pPr>
            <w:r w:rsidRPr="007528E0">
              <w:rPr>
                <w:rFonts w:ascii="Arial" w:eastAsia="Calibri" w:hAnsi="Arial" w:cs="Arial"/>
                <w:color w:val="auto"/>
                <w:sz w:val="20"/>
                <w:szCs w:val="20"/>
              </w:rPr>
              <w:t>Introduzca la muestra dentro de una bolsa plástica o un sobre carta, marcado.</w:t>
            </w:r>
          </w:p>
        </w:tc>
        <w:tc>
          <w:tcPr>
            <w:tcW w:w="1986" w:type="pct"/>
          </w:tcPr>
          <w:p w14:paraId="36BAA0AE" w14:textId="77777777" w:rsidR="0037398A" w:rsidRPr="007528E0" w:rsidRDefault="0037398A" w:rsidP="007528E0">
            <w:pPr>
              <w:pStyle w:val="Normal1"/>
              <w:spacing w:before="100" w:beforeAutospacing="1" w:after="100" w:afterAutospacing="1"/>
              <w:jc w:val="both"/>
              <w:rPr>
                <w:rFonts w:ascii="Arial" w:hAnsi="Arial" w:cs="Arial"/>
                <w:color w:val="auto"/>
                <w:sz w:val="20"/>
                <w:szCs w:val="20"/>
              </w:rPr>
            </w:pPr>
            <w:r w:rsidRPr="007528E0">
              <w:rPr>
                <w:rFonts w:ascii="Arial" w:eastAsia="Calibri" w:hAnsi="Arial" w:cs="Arial"/>
                <w:color w:val="auto"/>
                <w:sz w:val="20"/>
                <w:szCs w:val="20"/>
              </w:rPr>
              <w:lastRenderedPageBreak/>
              <w:t>Se recomienda limpiar el cabello previo a la toma de la muestra con alcohol isopropílico al 70%.</w:t>
            </w:r>
          </w:p>
          <w:p w14:paraId="30B2F23A" w14:textId="77777777" w:rsidR="0037398A" w:rsidRPr="007528E0" w:rsidRDefault="0037398A" w:rsidP="007528E0">
            <w:pPr>
              <w:pStyle w:val="Normal1"/>
              <w:spacing w:before="100" w:beforeAutospacing="1" w:after="100" w:afterAutospacing="1"/>
              <w:jc w:val="both"/>
              <w:rPr>
                <w:rFonts w:ascii="Arial" w:hAnsi="Arial" w:cs="Arial"/>
                <w:color w:val="auto"/>
                <w:sz w:val="20"/>
                <w:szCs w:val="20"/>
              </w:rPr>
            </w:pPr>
            <w:r w:rsidRPr="007528E0">
              <w:rPr>
                <w:rFonts w:ascii="Arial" w:eastAsia="Calibri" w:hAnsi="Arial" w:cs="Arial"/>
                <w:color w:val="auto"/>
                <w:sz w:val="20"/>
                <w:szCs w:val="20"/>
              </w:rPr>
              <w:t xml:space="preserve">El instrumental de corte como las tijeras y el bisturí debe ser de plástico o cuarzo, o en su defecto, grado quirúrgico. Se debe limpiar la tijera con acetona antes de muestrear, para eliminar contaminación externa gruesa presente. De igual forma, el personal que tomará la muestra debe lavarse las manos antes de proceder a la colección o usar </w:t>
            </w:r>
            <w:r w:rsidRPr="007528E0">
              <w:rPr>
                <w:rFonts w:ascii="Arial" w:eastAsia="Calibri" w:hAnsi="Arial" w:cs="Arial"/>
                <w:color w:val="auto"/>
                <w:sz w:val="20"/>
                <w:szCs w:val="20"/>
              </w:rPr>
              <w:lastRenderedPageBreak/>
              <w:t>guantes adecuados. Evite el uso de talco en la preservación de éstos. El peso de muestra requerido para la determinación de metales oscila entre 0,5 y 1,0 g (al menos 100 hebras de pelo). Usualmente es suficiente 0,5 g de muestra.</w:t>
            </w:r>
          </w:p>
          <w:p w14:paraId="5C036BB1" w14:textId="77777777" w:rsidR="0037398A" w:rsidRPr="007528E0" w:rsidRDefault="0037398A" w:rsidP="007528E0">
            <w:pPr>
              <w:pStyle w:val="Normal1"/>
              <w:spacing w:before="100" w:beforeAutospacing="1" w:after="100" w:afterAutospacing="1"/>
              <w:jc w:val="both"/>
              <w:rPr>
                <w:rFonts w:ascii="Arial" w:hAnsi="Arial" w:cs="Arial"/>
                <w:color w:val="auto"/>
                <w:sz w:val="20"/>
                <w:szCs w:val="20"/>
              </w:rPr>
            </w:pPr>
            <w:r w:rsidRPr="007528E0">
              <w:rPr>
                <w:rFonts w:ascii="Arial" w:eastAsia="Calibri" w:hAnsi="Arial" w:cs="Arial"/>
                <w:color w:val="auto"/>
                <w:sz w:val="20"/>
                <w:szCs w:val="20"/>
              </w:rPr>
              <w:t>Repartir uniformemente toda la región occipital, tomar muestras de pelo en 10 a 20 lugares diferentes mediante cortes lo más cerca posible del cuero cabelludo; se debe recoger en cada sitio de 5 a 10 hebras de pelo, respectivamente. De esta forma, al final del muestreo se contará con no menos de 100 hebras de pelo.</w:t>
            </w:r>
          </w:p>
          <w:p w14:paraId="0A47503A" w14:textId="77777777" w:rsidR="0037398A" w:rsidRPr="007528E0" w:rsidRDefault="0037398A" w:rsidP="007528E0">
            <w:pPr>
              <w:pStyle w:val="Normal1"/>
              <w:spacing w:before="100" w:beforeAutospacing="1" w:after="100" w:afterAutospacing="1"/>
              <w:jc w:val="both"/>
              <w:rPr>
                <w:rFonts w:ascii="Arial" w:hAnsi="Arial" w:cs="Arial"/>
                <w:color w:val="auto"/>
                <w:sz w:val="20"/>
                <w:szCs w:val="20"/>
              </w:rPr>
            </w:pPr>
            <w:r w:rsidRPr="007528E0">
              <w:rPr>
                <w:rFonts w:ascii="Arial" w:eastAsia="Calibri" w:hAnsi="Arial" w:cs="Arial"/>
                <w:color w:val="auto"/>
                <w:sz w:val="20"/>
                <w:szCs w:val="20"/>
              </w:rPr>
              <w:t>Colocar cada grupo de hebras de pelo tomadas en los diferentes sitios sobre una hoja de papel blanco, fijarla con una cinta adhesiva y señalizar la parte de la muestra más cercana al cuero</w:t>
            </w:r>
          </w:p>
          <w:p w14:paraId="6CDD7C43" w14:textId="77777777" w:rsidR="0037398A" w:rsidRPr="007528E0" w:rsidRDefault="0037398A" w:rsidP="007528E0">
            <w:pPr>
              <w:pStyle w:val="Normal1"/>
              <w:spacing w:before="100" w:beforeAutospacing="1" w:after="100" w:afterAutospacing="1"/>
              <w:jc w:val="both"/>
              <w:rPr>
                <w:rFonts w:ascii="Arial" w:hAnsi="Arial" w:cs="Arial"/>
                <w:color w:val="auto"/>
                <w:sz w:val="20"/>
                <w:szCs w:val="20"/>
              </w:rPr>
            </w:pPr>
            <w:r w:rsidRPr="007528E0">
              <w:rPr>
                <w:rFonts w:ascii="Arial" w:eastAsia="Calibri" w:hAnsi="Arial" w:cs="Arial"/>
                <w:color w:val="auto"/>
                <w:sz w:val="20"/>
                <w:szCs w:val="20"/>
              </w:rPr>
              <w:t>Cortar la hebra de cabello, lo más cerca posible de la raíz del cuero cabelludo de la nuca (</w:t>
            </w:r>
            <w:proofErr w:type="spellStart"/>
            <w:r w:rsidRPr="007528E0">
              <w:rPr>
                <w:rFonts w:ascii="Arial" w:eastAsia="Calibri" w:hAnsi="Arial" w:cs="Arial"/>
                <w:color w:val="auto"/>
                <w:sz w:val="20"/>
                <w:szCs w:val="20"/>
              </w:rPr>
              <w:t>vértex</w:t>
            </w:r>
            <w:proofErr w:type="spellEnd"/>
            <w:r w:rsidRPr="007528E0">
              <w:rPr>
                <w:rFonts w:ascii="Arial" w:eastAsia="Calibri" w:hAnsi="Arial" w:cs="Arial"/>
                <w:color w:val="auto"/>
                <w:sz w:val="20"/>
                <w:szCs w:val="20"/>
              </w:rPr>
              <w:t xml:space="preserve"> posterior). </w:t>
            </w:r>
          </w:p>
          <w:p w14:paraId="07F50337" w14:textId="77777777" w:rsidR="0037398A" w:rsidRPr="007528E0" w:rsidRDefault="0037398A" w:rsidP="007528E0">
            <w:pPr>
              <w:pStyle w:val="Normal1"/>
              <w:spacing w:before="100" w:beforeAutospacing="1" w:after="100" w:afterAutospacing="1"/>
              <w:jc w:val="both"/>
              <w:rPr>
                <w:rFonts w:ascii="Arial" w:hAnsi="Arial" w:cs="Arial"/>
                <w:color w:val="auto"/>
                <w:sz w:val="20"/>
                <w:szCs w:val="20"/>
              </w:rPr>
            </w:pPr>
            <w:r w:rsidRPr="007528E0">
              <w:rPr>
                <w:rFonts w:ascii="Arial" w:eastAsia="Calibri" w:hAnsi="Arial" w:cs="Arial"/>
                <w:color w:val="auto"/>
                <w:sz w:val="20"/>
                <w:szCs w:val="20"/>
              </w:rPr>
              <w:t>El mechón de pelo debe ser aproximadamente de 0.5 cm de diámetro y en cantidad mínima de 0,5 g.</w:t>
            </w:r>
          </w:p>
        </w:tc>
        <w:tc>
          <w:tcPr>
            <w:tcW w:w="1323" w:type="pct"/>
          </w:tcPr>
          <w:p w14:paraId="5D89059C" w14:textId="77777777" w:rsidR="0037398A" w:rsidRPr="007528E0" w:rsidRDefault="0037398A" w:rsidP="007528E0">
            <w:pPr>
              <w:pStyle w:val="Normal1"/>
              <w:spacing w:before="100" w:beforeAutospacing="1" w:after="100" w:afterAutospacing="1"/>
              <w:rPr>
                <w:rFonts w:ascii="Arial" w:hAnsi="Arial" w:cs="Arial"/>
                <w:color w:val="auto"/>
                <w:sz w:val="20"/>
                <w:szCs w:val="20"/>
              </w:rPr>
            </w:pPr>
            <w:r w:rsidRPr="007528E0">
              <w:rPr>
                <w:rFonts w:ascii="Arial" w:eastAsia="Calibri" w:hAnsi="Arial" w:cs="Arial"/>
                <w:color w:val="auto"/>
                <w:sz w:val="20"/>
                <w:szCs w:val="20"/>
              </w:rPr>
              <w:lastRenderedPageBreak/>
              <w:t>No necesita refrigeración</w:t>
            </w:r>
          </w:p>
        </w:tc>
      </w:tr>
      <w:tr w:rsidR="007528E0" w:rsidRPr="007528E0" w14:paraId="0414B602" w14:textId="77777777" w:rsidTr="007528E0">
        <w:trPr>
          <w:trHeight w:val="85"/>
        </w:trPr>
        <w:tc>
          <w:tcPr>
            <w:tcW w:w="541" w:type="pct"/>
          </w:tcPr>
          <w:p w14:paraId="2B81D9E5" w14:textId="77777777" w:rsidR="0037398A" w:rsidRPr="007528E0" w:rsidRDefault="0037398A" w:rsidP="007528E0">
            <w:pPr>
              <w:pStyle w:val="Normal1"/>
              <w:spacing w:before="100" w:beforeAutospacing="1" w:after="100" w:afterAutospacing="1"/>
              <w:jc w:val="both"/>
              <w:rPr>
                <w:rFonts w:ascii="Arial" w:hAnsi="Arial" w:cs="Arial"/>
                <w:color w:val="auto"/>
                <w:sz w:val="20"/>
                <w:szCs w:val="20"/>
              </w:rPr>
            </w:pPr>
            <w:r w:rsidRPr="007528E0">
              <w:rPr>
                <w:rFonts w:ascii="Arial" w:eastAsia="Calibri" w:hAnsi="Arial" w:cs="Arial"/>
                <w:color w:val="auto"/>
                <w:sz w:val="20"/>
                <w:szCs w:val="20"/>
              </w:rPr>
              <w:t>Agua</w:t>
            </w:r>
          </w:p>
        </w:tc>
        <w:tc>
          <w:tcPr>
            <w:tcW w:w="1150" w:type="pct"/>
          </w:tcPr>
          <w:p w14:paraId="2F90E642" w14:textId="77777777" w:rsidR="0037398A" w:rsidRPr="007528E0" w:rsidRDefault="0037398A" w:rsidP="007528E0">
            <w:pPr>
              <w:pStyle w:val="Normal1"/>
              <w:spacing w:before="100" w:beforeAutospacing="1" w:after="100" w:afterAutospacing="1"/>
              <w:jc w:val="both"/>
              <w:rPr>
                <w:rFonts w:ascii="Arial" w:hAnsi="Arial" w:cs="Arial"/>
                <w:color w:val="auto"/>
                <w:sz w:val="20"/>
                <w:szCs w:val="20"/>
              </w:rPr>
            </w:pPr>
            <w:r w:rsidRPr="007528E0">
              <w:rPr>
                <w:rFonts w:ascii="Arial" w:eastAsia="Calibri" w:hAnsi="Arial" w:cs="Arial"/>
                <w:color w:val="auto"/>
                <w:sz w:val="20"/>
                <w:szCs w:val="20"/>
              </w:rPr>
              <w:t>Frascos de vidrio o plástico de un litro, con tapa rosca y cierre hermético, previamente lavados con detergente, agua y purgados con HNO</w:t>
            </w:r>
            <w:r w:rsidRPr="007528E0">
              <w:rPr>
                <w:rFonts w:ascii="Arial" w:eastAsia="Calibri" w:hAnsi="Arial" w:cs="Arial"/>
                <w:color w:val="auto"/>
                <w:sz w:val="20"/>
                <w:szCs w:val="20"/>
                <w:vertAlign w:val="subscript"/>
              </w:rPr>
              <w:t>3</w:t>
            </w:r>
            <w:r w:rsidRPr="007528E0">
              <w:rPr>
                <w:rFonts w:ascii="Arial" w:eastAsia="Calibri" w:hAnsi="Arial" w:cs="Arial"/>
                <w:color w:val="auto"/>
                <w:sz w:val="20"/>
                <w:szCs w:val="20"/>
              </w:rPr>
              <w:t xml:space="preserve"> 1:1 y finalmente lavados con agua destilada y desionizada. </w:t>
            </w:r>
          </w:p>
        </w:tc>
        <w:tc>
          <w:tcPr>
            <w:tcW w:w="1986" w:type="pct"/>
          </w:tcPr>
          <w:p w14:paraId="64DE3110" w14:textId="77777777" w:rsidR="0037398A" w:rsidRPr="007528E0" w:rsidRDefault="0037398A" w:rsidP="007528E0">
            <w:pPr>
              <w:pStyle w:val="Normal1"/>
              <w:spacing w:before="100" w:beforeAutospacing="1" w:after="100" w:afterAutospacing="1"/>
              <w:jc w:val="both"/>
              <w:rPr>
                <w:rFonts w:ascii="Arial" w:hAnsi="Arial" w:cs="Arial"/>
                <w:color w:val="auto"/>
                <w:sz w:val="20"/>
                <w:szCs w:val="20"/>
              </w:rPr>
            </w:pPr>
            <w:r w:rsidRPr="007528E0">
              <w:rPr>
                <w:rFonts w:ascii="Arial" w:eastAsia="Calibri" w:hAnsi="Arial" w:cs="Arial"/>
                <w:color w:val="auto"/>
                <w:sz w:val="20"/>
                <w:szCs w:val="20"/>
              </w:rPr>
              <w:t>Colectar un volumen de 500 ml de agua preservándola inmediatamente con 1 ml de HNO</w:t>
            </w:r>
            <w:r w:rsidRPr="007528E0">
              <w:rPr>
                <w:rFonts w:ascii="Arial" w:eastAsia="Calibri" w:hAnsi="Arial" w:cs="Arial"/>
                <w:color w:val="auto"/>
                <w:sz w:val="20"/>
                <w:szCs w:val="20"/>
                <w:vertAlign w:val="subscript"/>
              </w:rPr>
              <w:t xml:space="preserve">3 </w:t>
            </w:r>
            <w:r w:rsidRPr="007528E0">
              <w:rPr>
                <w:rFonts w:ascii="Arial" w:eastAsia="Calibri" w:hAnsi="Arial" w:cs="Arial"/>
                <w:color w:val="auto"/>
                <w:sz w:val="20"/>
                <w:szCs w:val="20"/>
              </w:rPr>
              <w:t>(pH 2) o 0.5 g de Persulfato de Potasio. Usualmente se requiere 1.5 ml de HNO</w:t>
            </w:r>
            <w:r w:rsidRPr="007528E0">
              <w:rPr>
                <w:rFonts w:ascii="Arial" w:eastAsia="Calibri" w:hAnsi="Arial" w:cs="Arial"/>
                <w:color w:val="auto"/>
                <w:sz w:val="20"/>
                <w:szCs w:val="20"/>
                <w:vertAlign w:val="subscript"/>
              </w:rPr>
              <w:t xml:space="preserve">3 </w:t>
            </w:r>
            <w:r w:rsidRPr="007528E0">
              <w:rPr>
                <w:rFonts w:ascii="Arial" w:eastAsia="Calibri" w:hAnsi="Arial" w:cs="Arial"/>
                <w:color w:val="auto"/>
                <w:sz w:val="20"/>
                <w:szCs w:val="20"/>
              </w:rPr>
              <w:t>concentrado por litro de muestra o 0.5 gramos de persulfato de potasio.  Es necesario preparar un blanco con el preservante utilizado (HNO</w:t>
            </w:r>
            <w:r w:rsidRPr="007528E0">
              <w:rPr>
                <w:rFonts w:ascii="Arial" w:eastAsia="Calibri" w:hAnsi="Arial" w:cs="Arial"/>
                <w:color w:val="auto"/>
                <w:sz w:val="20"/>
                <w:szCs w:val="20"/>
                <w:vertAlign w:val="subscript"/>
              </w:rPr>
              <w:t>3</w:t>
            </w:r>
            <w:r w:rsidRPr="007528E0">
              <w:rPr>
                <w:rFonts w:ascii="Arial" w:eastAsia="Calibri" w:hAnsi="Arial" w:cs="Arial"/>
                <w:color w:val="auto"/>
                <w:sz w:val="20"/>
                <w:szCs w:val="20"/>
              </w:rPr>
              <w:t xml:space="preserve"> o persulfato de potasio) empleando agua destilada o bidestilada.</w:t>
            </w:r>
          </w:p>
        </w:tc>
        <w:tc>
          <w:tcPr>
            <w:tcW w:w="1323" w:type="pct"/>
          </w:tcPr>
          <w:p w14:paraId="3B0D30C5" w14:textId="77777777" w:rsidR="0037398A" w:rsidRPr="007528E0" w:rsidRDefault="0037398A" w:rsidP="007528E0">
            <w:pPr>
              <w:pStyle w:val="Normal1"/>
              <w:spacing w:before="100" w:beforeAutospacing="1" w:after="100" w:afterAutospacing="1"/>
              <w:jc w:val="both"/>
              <w:rPr>
                <w:rFonts w:ascii="Arial" w:hAnsi="Arial" w:cs="Arial"/>
                <w:color w:val="auto"/>
                <w:sz w:val="20"/>
                <w:szCs w:val="20"/>
              </w:rPr>
            </w:pPr>
            <w:r w:rsidRPr="007528E0">
              <w:rPr>
                <w:rFonts w:ascii="Arial" w:eastAsia="Calibri" w:hAnsi="Arial" w:cs="Arial"/>
                <w:color w:val="auto"/>
                <w:sz w:val="20"/>
                <w:szCs w:val="20"/>
              </w:rPr>
              <w:t>Si el contenido de mercurio es del orden de mg/l (ppm), la muestra es estable por 5 semanas en recipientes de vidrio y por 2 semanas si es recolectada en recipientes de plástico.  Si los niveles son del orden de µg/l (</w:t>
            </w:r>
            <w:proofErr w:type="spellStart"/>
            <w:r w:rsidRPr="007528E0">
              <w:rPr>
                <w:rFonts w:ascii="Arial" w:eastAsia="Calibri" w:hAnsi="Arial" w:cs="Arial"/>
                <w:color w:val="auto"/>
                <w:sz w:val="20"/>
                <w:szCs w:val="20"/>
              </w:rPr>
              <w:t>ppb</w:t>
            </w:r>
            <w:proofErr w:type="spellEnd"/>
            <w:r w:rsidRPr="007528E0">
              <w:rPr>
                <w:rFonts w:ascii="Arial" w:eastAsia="Calibri" w:hAnsi="Arial" w:cs="Arial"/>
                <w:color w:val="auto"/>
                <w:sz w:val="20"/>
                <w:szCs w:val="20"/>
              </w:rPr>
              <w:t xml:space="preserve">), las muestras son estables por 48 horas manteniéndolas refrigeradas a 4 º C en ausencia de luz. Las muestras deben ser analizadas lo más pronto posible después de su </w:t>
            </w:r>
            <w:r w:rsidRPr="007528E0">
              <w:rPr>
                <w:rFonts w:ascii="Arial" w:eastAsia="Calibri" w:hAnsi="Arial" w:cs="Arial"/>
                <w:color w:val="auto"/>
                <w:sz w:val="20"/>
                <w:szCs w:val="20"/>
              </w:rPr>
              <w:lastRenderedPageBreak/>
              <w:t>recolección</w:t>
            </w:r>
          </w:p>
        </w:tc>
      </w:tr>
    </w:tbl>
    <w:p w14:paraId="2997264C" w14:textId="77777777" w:rsidR="0037398A" w:rsidRPr="007528E0" w:rsidRDefault="0037398A" w:rsidP="0037398A">
      <w:pPr>
        <w:spacing w:before="100" w:beforeAutospacing="1" w:after="100" w:afterAutospacing="1"/>
        <w:ind w:left="54"/>
        <w:jc w:val="center"/>
        <w:rPr>
          <w:rFonts w:eastAsia="Calibri" w:cs="Arial"/>
          <w:sz w:val="16"/>
          <w:szCs w:val="16"/>
        </w:rPr>
      </w:pPr>
      <w:r w:rsidRPr="007528E0">
        <w:rPr>
          <w:rFonts w:eastAsia="Calibri" w:cs="Arial"/>
          <w:sz w:val="16"/>
          <w:szCs w:val="16"/>
        </w:rPr>
        <w:lastRenderedPageBreak/>
        <w:t xml:space="preserve">Fuente: Elaborada a partir de las referencias </w:t>
      </w:r>
      <w:r w:rsidRPr="007528E0">
        <w:rPr>
          <w:rFonts w:eastAsia="Calibri" w:cs="Arial"/>
          <w:sz w:val="16"/>
          <w:szCs w:val="16"/>
        </w:rPr>
        <w:fldChar w:fldCharType="begin" w:fldLock="1"/>
      </w:r>
      <w:r w:rsidRPr="007528E0">
        <w:rPr>
          <w:rFonts w:eastAsia="Calibri" w:cs="Arial"/>
          <w:sz w:val="16"/>
          <w:szCs w:val="16"/>
        </w:rPr>
        <w:instrText>ADDIN CSL_CITATION { "citationItems" : [ { "id" : "ITEM-1", "itemData" : { "author" : [ { "dropping-particle" : "", "family" : "Instituto Nacional de Salud", "given" : "", "non-dropping-particle" : "", "parse-names" : false, "suffix" : "" } ], "id" : "ITEM-1", "issued" : { "date-parts" : [ [ "2011" ] ] }, "title" : "Manual para la obtenci\u00f3n y env\u00edo de muestras para el an\u00e1lisis de eventos de inter\u00e9s en salud p\u00fablica", "type" : "report" }, "uris" : [ "http://www.mendeley.com/documents/?uuid=0da2d6b1-054c-44aa-ae2e-1e52f2e7368b" ] } ], "mendeley" : { "formattedCitation" : "(35)", "plainTextFormattedCitation" : "(35)", "previouslyFormattedCitation" : "(35)" }, "properties" : { "noteIndex" : 0 }, "schema" : "https://github.com/citation-style-language/schema/raw/master/csl-citation.json" }</w:instrText>
      </w:r>
      <w:r w:rsidRPr="007528E0">
        <w:rPr>
          <w:rFonts w:eastAsia="Calibri" w:cs="Arial"/>
          <w:sz w:val="16"/>
          <w:szCs w:val="16"/>
        </w:rPr>
        <w:fldChar w:fldCharType="separate"/>
      </w:r>
      <w:r w:rsidRPr="007528E0">
        <w:rPr>
          <w:rFonts w:eastAsia="Calibri" w:cs="Arial"/>
          <w:noProof/>
          <w:sz w:val="16"/>
          <w:szCs w:val="16"/>
        </w:rPr>
        <w:t>(35)</w:t>
      </w:r>
      <w:r w:rsidRPr="007528E0">
        <w:rPr>
          <w:rFonts w:eastAsia="Calibri" w:cs="Arial"/>
          <w:sz w:val="16"/>
          <w:szCs w:val="16"/>
        </w:rPr>
        <w:fldChar w:fldCharType="end"/>
      </w:r>
      <w:r w:rsidRPr="007528E0">
        <w:rPr>
          <w:rFonts w:eastAsia="Calibri" w:cs="Arial"/>
          <w:sz w:val="16"/>
          <w:szCs w:val="16"/>
        </w:rPr>
        <w:fldChar w:fldCharType="begin" w:fldLock="1"/>
      </w:r>
      <w:r w:rsidRPr="007528E0">
        <w:rPr>
          <w:rFonts w:eastAsia="Calibri" w:cs="Arial"/>
          <w:sz w:val="16"/>
          <w:szCs w:val="16"/>
        </w:rPr>
        <w:instrText>ADDIN CSL_CITATION { "citationItems" : [ { "id" : "ITEM-1", "itemData" : { "author" : [ { "dropping-particle" : "", "family" : "WHO", "given" : "World Health Organization", "non-dropping-particle" : "", "parse-names" : false, "suffix" : "" } ], "id" : "ITEM-1", "issued" : { "date-parts" : [ [ "2003" ] ] }, "number-of-pages" : "50", "title" : "Elemental mercury and inorganic mercury compounds: human health aspects. Concise International Chemical Assessment Document", "type" : "report" }, "uris" : [ "http://www.mendeley.com/documents/?uuid=84137f57-f653-464c-9f76-d5e74889700f" ] } ], "mendeley" : { "formattedCitation" : "(51)", "plainTextFormattedCitation" : "(51)", "previouslyFormattedCitation" : "(51)" }, "properties" : { "noteIndex" : 0 }, "schema" : "https://github.com/citation-style-language/schema/raw/master/csl-citation.json" }</w:instrText>
      </w:r>
      <w:r w:rsidRPr="007528E0">
        <w:rPr>
          <w:rFonts w:eastAsia="Calibri" w:cs="Arial"/>
          <w:sz w:val="16"/>
          <w:szCs w:val="16"/>
        </w:rPr>
        <w:fldChar w:fldCharType="separate"/>
      </w:r>
      <w:r w:rsidRPr="007528E0">
        <w:rPr>
          <w:rFonts w:eastAsia="Calibri" w:cs="Arial"/>
          <w:noProof/>
          <w:sz w:val="16"/>
          <w:szCs w:val="16"/>
        </w:rPr>
        <w:t>(51)</w:t>
      </w:r>
      <w:r w:rsidRPr="007528E0">
        <w:rPr>
          <w:rFonts w:eastAsia="Calibri" w:cs="Arial"/>
          <w:sz w:val="16"/>
          <w:szCs w:val="16"/>
        </w:rPr>
        <w:fldChar w:fldCharType="end"/>
      </w:r>
      <w:r w:rsidRPr="007528E0">
        <w:rPr>
          <w:rFonts w:eastAsia="Calibri" w:cs="Arial"/>
          <w:sz w:val="16"/>
          <w:szCs w:val="16"/>
        </w:rPr>
        <w:t xml:space="preserve"> </w:t>
      </w:r>
    </w:p>
    <w:p w14:paraId="26A4F499" w14:textId="77777777" w:rsidR="0037398A" w:rsidRPr="007528E0" w:rsidRDefault="0037398A" w:rsidP="0037398A">
      <w:pPr>
        <w:pStyle w:val="Prrafodelista"/>
        <w:tabs>
          <w:tab w:val="left" w:pos="284"/>
          <w:tab w:val="left" w:pos="567"/>
          <w:tab w:val="left" w:pos="709"/>
        </w:tabs>
        <w:spacing w:before="100" w:beforeAutospacing="1" w:after="100" w:afterAutospacing="1" w:line="240" w:lineRule="auto"/>
        <w:ind w:left="0"/>
        <w:rPr>
          <w:rFonts w:eastAsia="Calibri" w:cs="Arial"/>
          <w:b/>
          <w:szCs w:val="22"/>
        </w:rPr>
      </w:pPr>
      <w:r w:rsidRPr="007528E0">
        <w:rPr>
          <w:rFonts w:eastAsia="Calibri" w:cs="Arial"/>
          <w:b/>
          <w:szCs w:val="22"/>
        </w:rPr>
        <w:t>Plomo</w:t>
      </w:r>
    </w:p>
    <w:p w14:paraId="214853E5" w14:textId="77777777" w:rsidR="0037398A" w:rsidRPr="007528E0" w:rsidRDefault="0037398A" w:rsidP="0037398A">
      <w:pPr>
        <w:pStyle w:val="Normal1"/>
        <w:spacing w:before="100" w:beforeAutospacing="1" w:after="100" w:afterAutospacing="1"/>
        <w:jc w:val="both"/>
        <w:rPr>
          <w:rFonts w:ascii="Arial" w:eastAsia="Arial" w:hAnsi="Arial" w:cs="Arial"/>
          <w:color w:val="auto"/>
          <w:sz w:val="22"/>
          <w:szCs w:val="22"/>
        </w:rPr>
      </w:pPr>
      <w:r w:rsidRPr="007528E0">
        <w:rPr>
          <w:rFonts w:ascii="Arial" w:eastAsia="Arial" w:hAnsi="Arial" w:cs="Arial"/>
          <w:color w:val="auto"/>
          <w:sz w:val="22"/>
          <w:szCs w:val="22"/>
        </w:rPr>
        <w:t>El plomo  (Pb) es un metal blando, gris azulado, estable y resistente a la corrosión, se puede encontrar en estado elemental o en uno de sus dos estados de oxidación, Pb (+2) y Pb (+4) conformando compuestos inorgánicos  (se han utilizado extensamente como pigmentos) y orgánicos (tetraetilo de plomo que se ha utilizado como aditivo de la gasolina)</w:t>
      </w:r>
      <w:r w:rsidRPr="007528E0">
        <w:rPr>
          <w:rFonts w:ascii="Arial" w:eastAsia="Arial" w:hAnsi="Arial" w:cs="Arial"/>
          <w:color w:val="auto"/>
          <w:sz w:val="22"/>
          <w:szCs w:val="22"/>
        </w:rPr>
        <w:fldChar w:fldCharType="begin" w:fldLock="1"/>
      </w:r>
      <w:r w:rsidRPr="007528E0">
        <w:rPr>
          <w:rFonts w:ascii="Arial" w:eastAsia="Arial" w:hAnsi="Arial" w:cs="Arial"/>
          <w:color w:val="auto"/>
          <w:sz w:val="22"/>
          <w:szCs w:val="22"/>
        </w:rPr>
        <w:instrText>ADDIN CSL_CITATION { "citationItems" : [ { "id" : "ITEM-1", "itemData" : { "author" : [ { "dropping-particle" : "", "family" : "Kosnett, M.", "given" : "", "non-dropping-particle" : "", "parse-names" : false, "suffix" : "" } ], "container-title" : "Elservier Mosby: United Sates of America", "id" : "ITEM-1", "issued" : { "date-parts" : [ [ "2005" ] ] }, "title" : "Lead, in Critical care toxicology: Diagnosis and management", "type" : "article-journal" }, "uris" : [ "http://www.mendeley.com/documents/?uuid=b0569113-ab0a-4693-ba39-8786a5ae5c0b" ] } ], "mendeley" : { "formattedCitation" : "(52)", "plainTextFormattedCitation" : "(52)", "previouslyFormattedCitation" : "(52)" }, "properties" : { "noteIndex" : 0 }, "schema" : "https://github.com/citation-style-language/schema/raw/master/csl-citation.json" }</w:instrText>
      </w:r>
      <w:r w:rsidRPr="007528E0">
        <w:rPr>
          <w:rFonts w:ascii="Arial" w:eastAsia="Arial" w:hAnsi="Arial" w:cs="Arial"/>
          <w:color w:val="auto"/>
          <w:sz w:val="22"/>
          <w:szCs w:val="22"/>
        </w:rPr>
        <w:fldChar w:fldCharType="separate"/>
      </w:r>
      <w:r w:rsidRPr="007528E0">
        <w:rPr>
          <w:rFonts w:ascii="Arial" w:eastAsia="Arial" w:hAnsi="Arial" w:cs="Arial"/>
          <w:noProof/>
          <w:color w:val="auto"/>
          <w:sz w:val="22"/>
          <w:szCs w:val="22"/>
        </w:rPr>
        <w:t>(52)</w:t>
      </w:r>
      <w:r w:rsidRPr="007528E0">
        <w:rPr>
          <w:rFonts w:ascii="Arial" w:eastAsia="Arial" w:hAnsi="Arial" w:cs="Arial"/>
          <w:color w:val="auto"/>
          <w:sz w:val="22"/>
          <w:szCs w:val="22"/>
        </w:rPr>
        <w:fldChar w:fldCharType="end"/>
      </w:r>
      <w:r w:rsidRPr="007528E0">
        <w:rPr>
          <w:rFonts w:ascii="Arial" w:eastAsia="Arial" w:hAnsi="Arial" w:cs="Arial"/>
          <w:color w:val="auto"/>
          <w:sz w:val="22"/>
          <w:szCs w:val="22"/>
        </w:rPr>
        <w:t xml:space="preserve">. </w:t>
      </w:r>
    </w:p>
    <w:p w14:paraId="6EC74883" w14:textId="77777777" w:rsidR="0037398A" w:rsidRPr="007528E0" w:rsidRDefault="0037398A" w:rsidP="0037398A">
      <w:pPr>
        <w:autoSpaceDE w:val="0"/>
        <w:autoSpaceDN w:val="0"/>
        <w:adjustRightInd w:val="0"/>
        <w:spacing w:before="100" w:beforeAutospacing="1" w:after="100" w:afterAutospacing="1"/>
        <w:rPr>
          <w:rFonts w:eastAsia="Arial" w:cs="Arial"/>
          <w:sz w:val="22"/>
          <w:szCs w:val="22"/>
          <w:lang w:val="es-CO" w:eastAsia="es-CO"/>
        </w:rPr>
      </w:pPr>
      <w:r w:rsidRPr="007528E0">
        <w:rPr>
          <w:rFonts w:eastAsia="Arial" w:cs="Arial"/>
          <w:sz w:val="22"/>
          <w:szCs w:val="22"/>
          <w:lang w:val="es-CO" w:eastAsia="es-CO"/>
        </w:rPr>
        <w:t>Las actividades laborales de mayor riesgo de intoxicación por plomo son la fusión primaria y secundaria del mineral, fabricación y demolición de baterías de carros, fabricación de plásticos (</w:t>
      </w:r>
      <w:proofErr w:type="spellStart"/>
      <w:r w:rsidRPr="007528E0">
        <w:rPr>
          <w:rFonts w:eastAsia="Arial" w:cs="Arial"/>
          <w:sz w:val="22"/>
          <w:szCs w:val="22"/>
          <w:lang w:val="es-CO" w:eastAsia="es-CO"/>
        </w:rPr>
        <w:t>estereato</w:t>
      </w:r>
      <w:proofErr w:type="spellEnd"/>
      <w:r w:rsidRPr="007528E0">
        <w:rPr>
          <w:rFonts w:eastAsia="Arial" w:cs="Arial"/>
          <w:sz w:val="22"/>
          <w:szCs w:val="22"/>
          <w:lang w:val="es-CO" w:eastAsia="es-CO"/>
        </w:rPr>
        <w:t xml:space="preserve"> de plomo), pulido y refinado de metales, aditivo en la gasolina, fabricación y uso de pinturas y la fabricación y/o utilización de barnices y esmaltes para cerámicas.</w:t>
      </w:r>
    </w:p>
    <w:p w14:paraId="6E35BF00" w14:textId="77777777" w:rsidR="0037398A" w:rsidRPr="007528E0" w:rsidRDefault="0037398A" w:rsidP="0037398A">
      <w:pPr>
        <w:autoSpaceDE w:val="0"/>
        <w:autoSpaceDN w:val="0"/>
        <w:adjustRightInd w:val="0"/>
        <w:spacing w:before="100" w:beforeAutospacing="1" w:after="100" w:afterAutospacing="1"/>
        <w:rPr>
          <w:rFonts w:eastAsia="Arial" w:cs="Arial"/>
          <w:sz w:val="22"/>
          <w:szCs w:val="22"/>
          <w:lang w:val="es-CO" w:eastAsia="es-CO"/>
        </w:rPr>
      </w:pPr>
      <w:r w:rsidRPr="007528E0">
        <w:rPr>
          <w:rFonts w:eastAsia="Arial" w:cs="Arial"/>
          <w:sz w:val="22"/>
          <w:szCs w:val="22"/>
          <w:lang w:val="es-CO" w:eastAsia="es-CO"/>
        </w:rPr>
        <w:t>Entre los diferentes riesgos no laborales para la intoxicación por plomo se destacan las aguas de consumo que circulan por conducciones plomadas, la ingesta de plantas medicinales contaminadas, la retención y reabsorción de proyectiles, el fenómeno de la “pica” (niños que chupan o comen restos de pintura plomada desconchada de las paredes)</w:t>
      </w:r>
      <w:r w:rsidRPr="007528E0">
        <w:rPr>
          <w:rFonts w:eastAsia="Arial" w:cs="Arial"/>
          <w:sz w:val="22"/>
          <w:szCs w:val="22"/>
          <w:lang w:val="es-CO" w:eastAsia="es-CO"/>
        </w:rPr>
        <w:fldChar w:fldCharType="begin" w:fldLock="1"/>
      </w:r>
      <w:r w:rsidRPr="007528E0">
        <w:rPr>
          <w:rFonts w:eastAsia="Arial" w:cs="Arial"/>
          <w:sz w:val="22"/>
          <w:szCs w:val="22"/>
          <w:lang w:val="es-CO" w:eastAsia="es-CO"/>
        </w:rPr>
        <w:instrText>ADDIN CSL_CITATION { "citationItems" : [ { "id" : "ITEM-1", "itemData" : { "author" : [ { "dropping-particle" : "", "family" : "Moreno A.", "given" : "Granada J.", "non-dropping-particle" : "", "parse-names" : false, "suffix" : "" } ], "id" : "ITEM-1", "issued" : { "date-parts" : [ [ "2015" ] ] }, "title" : "Toxicolog\u00eda en urgencias, Gu\u00eda pr\u00e1ctica. Cap\u00edtulo 52:", "type" : "report" }, "uris" : [ "http://www.mendeley.com/documents/?uuid=8a2423b3-9794-44f3-888f-29f519908a89" ] } ], "mendeley" : { "formattedCitation" : "(53)", "plainTextFormattedCitation" : "(53)", "previouslyFormattedCitation" : "(53)" }, "properties" : { "noteIndex" : 0 }, "schema" : "https://github.com/citation-style-language/schema/raw/master/csl-citation.json" }</w:instrText>
      </w:r>
      <w:r w:rsidRPr="007528E0">
        <w:rPr>
          <w:rFonts w:eastAsia="Arial" w:cs="Arial"/>
          <w:sz w:val="22"/>
          <w:szCs w:val="22"/>
          <w:lang w:val="es-CO" w:eastAsia="es-CO"/>
        </w:rPr>
        <w:fldChar w:fldCharType="separate"/>
      </w:r>
      <w:r w:rsidRPr="007528E0">
        <w:rPr>
          <w:rFonts w:eastAsia="Arial" w:cs="Arial"/>
          <w:noProof/>
          <w:sz w:val="22"/>
          <w:szCs w:val="22"/>
          <w:lang w:val="es-CO" w:eastAsia="es-CO"/>
        </w:rPr>
        <w:t>(53)</w:t>
      </w:r>
      <w:r w:rsidRPr="007528E0">
        <w:rPr>
          <w:rFonts w:eastAsia="Arial" w:cs="Arial"/>
          <w:sz w:val="22"/>
          <w:szCs w:val="22"/>
          <w:lang w:val="es-CO" w:eastAsia="es-CO"/>
        </w:rPr>
        <w:fldChar w:fldCharType="end"/>
      </w:r>
      <w:r w:rsidRPr="007528E0">
        <w:rPr>
          <w:rFonts w:eastAsia="Arial" w:cs="Arial"/>
          <w:sz w:val="22"/>
          <w:szCs w:val="22"/>
          <w:lang w:val="es-CO" w:eastAsia="es-CO"/>
        </w:rPr>
        <w:t xml:space="preserve">. </w:t>
      </w:r>
      <w:r w:rsidRPr="007528E0">
        <w:rPr>
          <w:rFonts w:eastAsia="Arial" w:cs="Arial"/>
          <w:sz w:val="22"/>
          <w:szCs w:val="22"/>
        </w:rPr>
        <w:t>juguetes, remedios de medicina naturista</w:t>
      </w:r>
      <w:r w:rsidRPr="007528E0">
        <w:rPr>
          <w:rFonts w:eastAsia="Arial" w:cs="Arial"/>
          <w:sz w:val="22"/>
          <w:szCs w:val="22"/>
        </w:rPr>
        <w:fldChar w:fldCharType="begin" w:fldLock="1"/>
      </w:r>
      <w:r w:rsidRPr="007528E0">
        <w:rPr>
          <w:rFonts w:eastAsia="Arial" w:cs="Arial"/>
          <w:sz w:val="22"/>
          <w:szCs w:val="22"/>
        </w:rPr>
        <w:instrText>ADDIN CSL_CITATION { "citationItems" : [ { "id" : "ITEM-1", "itemData" : { "author" : [ { "dropping-particle" : "", "family" : "Needleman, H.", "given" : "", "non-dropping-particle" : "", "parse-names" : false, "suffix" : "" } ], "container-title" : "Annu. Rev. Med.,", "id" : "ITEM-1", "issued" : { "date-parts" : [ [ "2004" ] ] }, "page" : "209-222", "title" : "Lead poisoning", "type" : "article-journal", "volume" : "55" }, "uris" : [ "http://www.mendeley.com/documents/?uuid=ea932091-5ebb-43c0-a971-80f042b29df5" ] } ], "mendeley" : { "formattedCitation" : "(54)", "plainTextFormattedCitation" : "(54)", "previouslyFormattedCitation" : "(54)" }, "properties" : { "noteIndex" : 0 }, "schema" : "https://github.com/citation-style-language/schema/raw/master/csl-citation.json" }</w:instrText>
      </w:r>
      <w:r w:rsidRPr="007528E0">
        <w:rPr>
          <w:rFonts w:eastAsia="Arial" w:cs="Arial"/>
          <w:sz w:val="22"/>
          <w:szCs w:val="22"/>
        </w:rPr>
        <w:fldChar w:fldCharType="separate"/>
      </w:r>
      <w:r w:rsidRPr="007528E0">
        <w:rPr>
          <w:rFonts w:eastAsia="Arial" w:cs="Arial"/>
          <w:noProof/>
          <w:sz w:val="22"/>
          <w:szCs w:val="22"/>
        </w:rPr>
        <w:t>(54)</w:t>
      </w:r>
      <w:r w:rsidRPr="007528E0">
        <w:rPr>
          <w:rFonts w:eastAsia="Arial" w:cs="Arial"/>
          <w:sz w:val="22"/>
          <w:szCs w:val="22"/>
        </w:rPr>
        <w:fldChar w:fldCharType="end"/>
      </w:r>
      <w:r w:rsidRPr="007528E0">
        <w:rPr>
          <w:rFonts w:eastAsia="Arial" w:cs="Arial"/>
          <w:sz w:val="22"/>
          <w:szCs w:val="22"/>
        </w:rPr>
        <w:t xml:space="preserve">.  </w:t>
      </w:r>
    </w:p>
    <w:p w14:paraId="1EED551E" w14:textId="77777777" w:rsidR="0037398A" w:rsidRPr="007528E0" w:rsidRDefault="0037398A" w:rsidP="0037398A">
      <w:pPr>
        <w:pStyle w:val="Normal1"/>
        <w:spacing w:before="100" w:beforeAutospacing="1" w:after="100" w:afterAutospacing="1"/>
        <w:jc w:val="both"/>
        <w:rPr>
          <w:rFonts w:ascii="Arial" w:eastAsia="Arial" w:hAnsi="Arial" w:cs="Arial"/>
          <w:b/>
          <w:color w:val="auto"/>
          <w:sz w:val="22"/>
          <w:szCs w:val="22"/>
          <w:u w:val="single"/>
        </w:rPr>
      </w:pPr>
      <w:r w:rsidRPr="007528E0">
        <w:rPr>
          <w:rFonts w:ascii="Arial" w:eastAsia="Arial" w:hAnsi="Arial" w:cs="Arial"/>
          <w:b/>
          <w:color w:val="auto"/>
          <w:sz w:val="22"/>
          <w:szCs w:val="22"/>
          <w:u w:val="single"/>
        </w:rPr>
        <w:t>Manifestaciones clínicas</w:t>
      </w:r>
    </w:p>
    <w:p w14:paraId="11E72BF4" w14:textId="77777777" w:rsidR="0037398A" w:rsidRPr="007528E0" w:rsidRDefault="0037398A" w:rsidP="0037398A">
      <w:pPr>
        <w:pStyle w:val="Normal1"/>
        <w:spacing w:before="100" w:beforeAutospacing="1" w:after="100" w:afterAutospacing="1"/>
        <w:jc w:val="both"/>
        <w:rPr>
          <w:rFonts w:ascii="Arial" w:eastAsia="Calibri" w:hAnsi="Arial" w:cs="Arial"/>
          <w:color w:val="auto"/>
          <w:sz w:val="22"/>
          <w:szCs w:val="22"/>
        </w:rPr>
      </w:pPr>
      <w:r w:rsidRPr="007528E0">
        <w:rPr>
          <w:rFonts w:ascii="Arial" w:eastAsia="Calibri" w:hAnsi="Arial" w:cs="Arial"/>
          <w:color w:val="auto"/>
          <w:sz w:val="22"/>
          <w:szCs w:val="22"/>
        </w:rPr>
        <w:t>Varían de acuerdo la dosis y frecuencia de la exposición. Los principales hallazgos clínicos se presentan a continuación:</w:t>
      </w:r>
    </w:p>
    <w:p w14:paraId="6C8DF120" w14:textId="77777777" w:rsidR="0037398A" w:rsidRPr="007528E0" w:rsidRDefault="0037398A" w:rsidP="0037398A">
      <w:pPr>
        <w:pStyle w:val="Normal1"/>
        <w:numPr>
          <w:ilvl w:val="0"/>
          <w:numId w:val="9"/>
        </w:numPr>
        <w:spacing w:before="100" w:beforeAutospacing="1" w:after="100" w:afterAutospacing="1"/>
        <w:jc w:val="both"/>
        <w:rPr>
          <w:rFonts w:ascii="Arial" w:hAnsi="Arial" w:cs="Arial"/>
          <w:color w:val="auto"/>
          <w:sz w:val="22"/>
          <w:szCs w:val="22"/>
        </w:rPr>
      </w:pPr>
      <w:r w:rsidRPr="007528E0">
        <w:rPr>
          <w:rFonts w:ascii="Arial" w:eastAsia="Arial" w:hAnsi="Arial" w:cs="Arial"/>
          <w:color w:val="auto"/>
          <w:sz w:val="22"/>
          <w:szCs w:val="22"/>
        </w:rPr>
        <w:t>La intoxicación aguda es poco frecuente, se puede manifestar por dolor abdominal, constipación, artralgias, cefalea, anemia hemolítica, insuficiencia renal aguda y encefalopatía.</w:t>
      </w:r>
    </w:p>
    <w:p w14:paraId="1C684F64" w14:textId="77777777" w:rsidR="0037398A" w:rsidRPr="007528E0" w:rsidRDefault="0037398A" w:rsidP="0037398A">
      <w:pPr>
        <w:pStyle w:val="Normal1"/>
        <w:numPr>
          <w:ilvl w:val="0"/>
          <w:numId w:val="9"/>
        </w:numPr>
        <w:spacing w:before="100" w:beforeAutospacing="1" w:after="100" w:afterAutospacing="1"/>
        <w:jc w:val="both"/>
        <w:rPr>
          <w:rFonts w:ascii="Arial" w:eastAsia="Arial" w:hAnsi="Arial" w:cs="Arial"/>
          <w:color w:val="auto"/>
          <w:sz w:val="22"/>
          <w:szCs w:val="22"/>
        </w:rPr>
      </w:pPr>
      <w:r w:rsidRPr="007528E0">
        <w:rPr>
          <w:rFonts w:ascii="Arial" w:eastAsia="Arial" w:hAnsi="Arial" w:cs="Arial"/>
          <w:color w:val="auto"/>
          <w:sz w:val="22"/>
          <w:szCs w:val="22"/>
        </w:rPr>
        <w:t xml:space="preserve">La intoxicación subaguda y crónica se caracteriza por fatiga, malestar, irritabilidad, cefalea, anorexia, insomnio, pérdida de peso, disminución de la libido, artralgias y anemia. Cursa con manifestaciones del sistema nervioso central como alteraciones de la coordinación, encefalopatía, convulsiones, coma y en los niños alteraciones del desarrollo neurológico. Pueden presentarse mielopatías o degeneración axonal, que afecta principalmente los nervios  motores </w:t>
      </w:r>
      <w:r w:rsidRPr="007528E0">
        <w:rPr>
          <w:rFonts w:ascii="Arial" w:eastAsia="Arial" w:hAnsi="Arial" w:cs="Arial"/>
          <w:color w:val="auto"/>
          <w:sz w:val="22"/>
          <w:szCs w:val="22"/>
        </w:rPr>
        <w:fldChar w:fldCharType="begin"/>
      </w:r>
      <w:r w:rsidRPr="007528E0">
        <w:rPr>
          <w:rFonts w:ascii="Arial" w:eastAsia="Arial" w:hAnsi="Arial" w:cs="Arial"/>
          <w:color w:val="auto"/>
          <w:sz w:val="22"/>
          <w:szCs w:val="22"/>
        </w:rPr>
        <w:instrText xml:space="preserve"> ADDIN EN.CITE &lt;EndNote&gt;&lt;Cite&gt;&lt;Author&gt;Henretig&lt;/Author&gt;&lt;Year&gt;2008&lt;/Year&gt;&lt;RecNum&gt;2507&lt;/RecNum&gt;&lt;DisplayText&gt;(35)&lt;/DisplayText&gt;&lt;record&gt;&lt;rec-number&gt;2507&lt;/rec-number&gt;&lt;foreign-keys&gt;&lt;key app="EN" db-id="009rpx2x4zssace5atw5zppkzpwrsdtvxpdr"&gt;2507&lt;/key&gt;&lt;/foreign-keys&gt;&lt;ref-type name="Electronic Book Section"&gt;60&lt;/ref-type&gt;&lt;contributors&gt;&lt;authors&gt;&lt;author&gt;Henretig, FM.&lt;/author&gt;&lt;/authors&gt;&lt;secondary-authors&gt;&lt;author&gt;Goldfrank, Lewis R. &lt;/author&gt;&lt;/secondary-authors&gt;&lt;/contributors&gt;&lt;titles&gt;&lt;title&gt;Lead.&lt;/title&gt;&lt;secondary-title&gt;Goldfrank’sToxicologic Emergencies.&lt;/secondary-title&gt;&lt;/titles&gt;&lt;pages&gt;1266-1283.&lt;/pages&gt;&lt;edition&gt;8th&lt;/edition&gt;&lt;dates&gt;&lt;year&gt;2008&lt;/year&gt;&lt;/dates&gt;&lt;pub-location&gt;United States of America&lt;/pub-location&gt;&lt;publisher&gt;McGraw-Hill.  &lt;/publisher&gt;&lt;urls&gt;&lt;/urls&gt;&lt;/record&gt;&lt;/Cite&gt;&lt;/EndNote&gt;</w:instrText>
      </w:r>
      <w:r w:rsidRPr="007528E0">
        <w:rPr>
          <w:rFonts w:ascii="Arial" w:eastAsia="Arial" w:hAnsi="Arial" w:cs="Arial"/>
          <w:color w:val="auto"/>
          <w:sz w:val="22"/>
          <w:szCs w:val="22"/>
        </w:rPr>
        <w:fldChar w:fldCharType="separate"/>
      </w:r>
      <w:r w:rsidRPr="007528E0">
        <w:rPr>
          <w:rFonts w:ascii="Arial" w:eastAsia="Arial" w:hAnsi="Arial" w:cs="Arial"/>
          <w:color w:val="auto"/>
          <w:sz w:val="22"/>
          <w:szCs w:val="22"/>
        </w:rPr>
        <w:t>[72]</w:t>
      </w:r>
      <w:r w:rsidRPr="007528E0">
        <w:rPr>
          <w:rFonts w:ascii="Arial" w:eastAsia="Arial" w:hAnsi="Arial" w:cs="Arial"/>
          <w:color w:val="auto"/>
          <w:sz w:val="22"/>
          <w:szCs w:val="22"/>
        </w:rPr>
        <w:fldChar w:fldCharType="end"/>
      </w:r>
      <w:r w:rsidRPr="007528E0">
        <w:rPr>
          <w:rFonts w:ascii="Arial" w:eastAsia="Arial" w:hAnsi="Arial" w:cs="Arial"/>
          <w:color w:val="auto"/>
          <w:sz w:val="22"/>
          <w:szCs w:val="22"/>
        </w:rPr>
        <w:t xml:space="preserve">. Los pacientes se pueden quejar de dolor abdominal (cólico saturnino) generalmente de localización periumbilical que mejora con la palpación profunda y que puede estar acompañado de náuseas, constipación o diarrea. En personas con mala higiene oral, se puede observar un ribete de color azulado en la encía, conocido como ribete de Burton.  Se puede dar también compromiso renal, hiperuricemia e </w:t>
      </w:r>
      <w:r w:rsidRPr="007528E0">
        <w:rPr>
          <w:rFonts w:ascii="Arial" w:eastAsia="Arial" w:hAnsi="Arial" w:cs="Arial"/>
          <w:color w:val="auto"/>
          <w:sz w:val="22"/>
          <w:szCs w:val="22"/>
        </w:rPr>
        <w:lastRenderedPageBreak/>
        <w:t xml:space="preserve">hipertensión </w:t>
      </w:r>
      <w:r w:rsidRPr="007528E0">
        <w:rPr>
          <w:rFonts w:ascii="Arial" w:eastAsia="Arial" w:hAnsi="Arial" w:cs="Arial"/>
          <w:color w:val="auto"/>
          <w:sz w:val="22"/>
          <w:szCs w:val="22"/>
        </w:rPr>
        <w:fldChar w:fldCharType="begin"/>
      </w:r>
      <w:r w:rsidRPr="007528E0">
        <w:rPr>
          <w:rFonts w:ascii="Arial" w:eastAsia="Arial" w:hAnsi="Arial" w:cs="Arial"/>
          <w:color w:val="auto"/>
          <w:sz w:val="22"/>
          <w:szCs w:val="22"/>
        </w:rPr>
        <w:instrText xml:space="preserve"> ADDIN EN.CITE &lt;EndNote&gt;&lt;Cite&gt;&lt;Author&gt;Needleman&lt;/Author&gt;&lt;Year&gt;2004&lt;/Year&gt;&lt;RecNum&gt;2506&lt;/RecNum&gt;&lt;DisplayText&gt;(34)&lt;/DisplayText&gt;&lt;record&gt;&lt;rec-number&gt;2506&lt;/rec-number&gt;&lt;foreign-keys&gt;&lt;key app="EN" db-id="009rpx2x4zssace5atw5zppkzpwrsdtvxpdr"&gt;2506&lt;/key&gt;&lt;/foreign-keys&gt;&lt;ref-type name="Journal Article"&gt;17&lt;/ref-type&gt;&lt;contributors&gt;&lt;authors&gt;&lt;author&gt;Needleman, H.&lt;/author&gt;&lt;/authors&gt;&lt;/contributors&gt;&lt;titles&gt;&lt;title&gt;Lead poisoning&lt;/title&gt;&lt;secondary-title&gt;Annu. Rev. Med.&lt;/secondary-title&gt;&lt;/titles&gt;&lt;periodical&gt;&lt;full-title&gt;Annu. Rev. Med.&lt;/full-title&gt;&lt;/periodical&gt;&lt;pages&gt;209–22&lt;/pages&gt;&lt;volume&gt;55&lt;/volume&gt;&lt;dates&gt;&lt;year&gt;2004&lt;/year&gt;&lt;/dates&gt;&lt;urls&gt;&lt;/urls&gt;&lt;/record&gt;&lt;/Cite&gt;&lt;/EndNote&gt;</w:instrText>
      </w:r>
      <w:r w:rsidRPr="007528E0">
        <w:rPr>
          <w:rFonts w:ascii="Arial" w:eastAsia="Arial" w:hAnsi="Arial" w:cs="Arial"/>
          <w:color w:val="auto"/>
          <w:sz w:val="22"/>
          <w:szCs w:val="22"/>
        </w:rPr>
        <w:fldChar w:fldCharType="separate"/>
      </w:r>
      <w:r w:rsidRPr="007528E0">
        <w:rPr>
          <w:rFonts w:ascii="Arial" w:eastAsia="Arial" w:hAnsi="Arial" w:cs="Arial"/>
          <w:color w:val="auto"/>
          <w:sz w:val="22"/>
          <w:szCs w:val="22"/>
        </w:rPr>
        <w:t>[71]</w:t>
      </w:r>
      <w:r w:rsidRPr="007528E0">
        <w:rPr>
          <w:rFonts w:ascii="Arial" w:eastAsia="Arial" w:hAnsi="Arial" w:cs="Arial"/>
          <w:color w:val="auto"/>
          <w:sz w:val="22"/>
          <w:szCs w:val="22"/>
        </w:rPr>
        <w:fldChar w:fldCharType="end"/>
      </w:r>
      <w:r w:rsidRPr="007528E0">
        <w:rPr>
          <w:rFonts w:ascii="Arial" w:eastAsia="Arial" w:hAnsi="Arial" w:cs="Arial"/>
          <w:color w:val="auto"/>
          <w:sz w:val="22"/>
          <w:szCs w:val="22"/>
        </w:rPr>
        <w:t xml:space="preserve">. La intoxicación crónica es conocida con el nombre de </w:t>
      </w:r>
      <w:proofErr w:type="spellStart"/>
      <w:r w:rsidRPr="007528E0">
        <w:rPr>
          <w:rFonts w:ascii="Arial" w:eastAsia="Arial" w:hAnsi="Arial" w:cs="Arial"/>
          <w:color w:val="auto"/>
          <w:sz w:val="22"/>
          <w:szCs w:val="22"/>
        </w:rPr>
        <w:t>plombismo</w:t>
      </w:r>
      <w:proofErr w:type="spellEnd"/>
      <w:r w:rsidRPr="007528E0">
        <w:rPr>
          <w:rFonts w:ascii="Arial" w:eastAsia="Arial" w:hAnsi="Arial" w:cs="Arial"/>
          <w:color w:val="auto"/>
          <w:sz w:val="22"/>
          <w:szCs w:val="22"/>
        </w:rPr>
        <w:t xml:space="preserve"> </w:t>
      </w:r>
      <w:r w:rsidRPr="007528E0">
        <w:rPr>
          <w:rFonts w:ascii="Arial" w:eastAsia="Arial" w:hAnsi="Arial" w:cs="Arial"/>
          <w:color w:val="auto"/>
          <w:sz w:val="22"/>
          <w:szCs w:val="22"/>
        </w:rPr>
        <w:fldChar w:fldCharType="begin" w:fldLock="1"/>
      </w:r>
      <w:r w:rsidRPr="007528E0">
        <w:rPr>
          <w:rFonts w:ascii="Arial" w:eastAsia="Arial" w:hAnsi="Arial" w:cs="Arial"/>
          <w:color w:val="auto"/>
          <w:sz w:val="22"/>
          <w:szCs w:val="22"/>
        </w:rPr>
        <w:instrText>ADDIN CSL_CITATION { "citationItems" : [ { "id" : "ITEM-1", "itemData" : { "author" : [ { "dropping-particle" : "", "family" : "Rodr\u00edguez C", "given" : "Sociedad Colombiana de Medicina del Trabajo.", "non-dropping-particle" : "", "parse-names" : false, "suffix" : "" } ], "id" : "ITEM-1", "issued" : { "date-parts" : [ [ "0" ] ] }, "title" : "Nuevos protocolos para el diagn\u00f3stico de enfermedades profesionales. Cap\u00edtulo: mercurio", "type" : "book" }, "uris" : [ "http://www.mendeley.com/documents/?uuid=ccdbb7b8-9a89-4cac-89e4-66524a3822ce" ] } ], "mendeley" : { "formattedCitation" : "(42)", "plainTextFormattedCitation" : "(42)", "previouslyFormattedCitation" : "(42)" }, "properties" : { "noteIndex" : 0 }, "schema" : "https://github.com/citation-style-language/schema/raw/master/csl-citation.json" }</w:instrText>
      </w:r>
      <w:r w:rsidRPr="007528E0">
        <w:rPr>
          <w:rFonts w:ascii="Arial" w:eastAsia="Arial" w:hAnsi="Arial" w:cs="Arial"/>
          <w:color w:val="auto"/>
          <w:sz w:val="22"/>
          <w:szCs w:val="22"/>
        </w:rPr>
        <w:fldChar w:fldCharType="separate"/>
      </w:r>
      <w:r w:rsidRPr="007528E0">
        <w:rPr>
          <w:rFonts w:ascii="Arial" w:eastAsia="Arial" w:hAnsi="Arial" w:cs="Arial"/>
          <w:noProof/>
          <w:color w:val="auto"/>
          <w:sz w:val="22"/>
          <w:szCs w:val="22"/>
        </w:rPr>
        <w:t>(42)</w:t>
      </w:r>
      <w:r w:rsidRPr="007528E0">
        <w:rPr>
          <w:rFonts w:ascii="Arial" w:eastAsia="Arial" w:hAnsi="Arial" w:cs="Arial"/>
          <w:color w:val="auto"/>
          <w:sz w:val="22"/>
          <w:szCs w:val="22"/>
        </w:rPr>
        <w:fldChar w:fldCharType="end"/>
      </w:r>
      <w:r w:rsidRPr="007528E0">
        <w:rPr>
          <w:rFonts w:ascii="Arial" w:eastAsia="Arial" w:hAnsi="Arial" w:cs="Arial"/>
          <w:color w:val="auto"/>
          <w:sz w:val="22"/>
          <w:szCs w:val="22"/>
        </w:rPr>
        <w:t>.</w:t>
      </w:r>
    </w:p>
    <w:p w14:paraId="68BA5F0E" w14:textId="77777777" w:rsidR="0037398A" w:rsidRPr="007528E0" w:rsidRDefault="0037398A" w:rsidP="0037398A">
      <w:pPr>
        <w:pStyle w:val="Normal1"/>
        <w:spacing w:before="100" w:beforeAutospacing="1" w:after="100" w:afterAutospacing="1"/>
        <w:jc w:val="both"/>
        <w:rPr>
          <w:rFonts w:ascii="Arial" w:eastAsia="Arial" w:hAnsi="Arial" w:cs="Arial"/>
          <w:color w:val="auto"/>
          <w:sz w:val="22"/>
          <w:szCs w:val="22"/>
        </w:rPr>
      </w:pPr>
      <w:r w:rsidRPr="007528E0">
        <w:rPr>
          <w:rFonts w:ascii="Arial" w:eastAsia="Arial" w:hAnsi="Arial" w:cs="Arial"/>
          <w:color w:val="auto"/>
          <w:sz w:val="22"/>
          <w:szCs w:val="22"/>
        </w:rPr>
        <w:t xml:space="preserve">Las poblaciones que se consideran más vulnerables y susceptibles y que por lo tanto merecen mayor atención frente a intoxicaciones agudas o crónicas por plomo, son las mujeres embarazadas, personas con alguna clase de alteraciones hematopoyéticas, alcohólicos, fumadores o personas con alteraciones renales o neurológicas, así como niños </w:t>
      </w:r>
      <w:r w:rsidRPr="007528E0">
        <w:rPr>
          <w:rFonts w:ascii="Arial" w:eastAsia="Arial" w:hAnsi="Arial" w:cs="Arial"/>
          <w:color w:val="auto"/>
          <w:sz w:val="22"/>
          <w:szCs w:val="22"/>
        </w:rPr>
        <w:fldChar w:fldCharType="begin" w:fldLock="1"/>
      </w:r>
      <w:r w:rsidRPr="007528E0">
        <w:rPr>
          <w:rFonts w:ascii="Arial" w:eastAsia="Arial" w:hAnsi="Arial" w:cs="Arial"/>
          <w:color w:val="auto"/>
          <w:sz w:val="22"/>
          <w:szCs w:val="22"/>
        </w:rPr>
        <w:instrText>ADDIN CSL_CITATION { "citationItems" : [ { "id" : "ITEM-1", "itemData" : { "author" : [ { "dropping-particle" : "", "family" : "Rodr\u00edguez C", "given" : "Sociedad Colombiana de Medicina del Trabajo.", "non-dropping-particle" : "", "parse-names" : false, "suffix" : "" } ], "id" : "ITEM-1", "issued" : { "date-parts" : [ [ "0" ] ] }, "title" : "Nuevos protocolos para el diagn\u00f3stico de enfermedades profesionales. Cap\u00edtulo: mercurio", "type" : "book" }, "uris" : [ "http://www.mendeley.com/documents/?uuid=ccdbb7b8-9a89-4cac-89e4-66524a3822ce" ] } ], "mendeley" : { "formattedCitation" : "(42)", "plainTextFormattedCitation" : "(42)", "previouslyFormattedCitation" : "(42)" }, "properties" : { "noteIndex" : 0 }, "schema" : "https://github.com/citation-style-language/schema/raw/master/csl-citation.json" }</w:instrText>
      </w:r>
      <w:r w:rsidRPr="007528E0">
        <w:rPr>
          <w:rFonts w:ascii="Arial" w:eastAsia="Arial" w:hAnsi="Arial" w:cs="Arial"/>
          <w:color w:val="auto"/>
          <w:sz w:val="22"/>
          <w:szCs w:val="22"/>
        </w:rPr>
        <w:fldChar w:fldCharType="separate"/>
      </w:r>
      <w:r w:rsidRPr="007528E0">
        <w:rPr>
          <w:rFonts w:ascii="Arial" w:eastAsia="Arial" w:hAnsi="Arial" w:cs="Arial"/>
          <w:noProof/>
          <w:color w:val="auto"/>
          <w:sz w:val="22"/>
          <w:szCs w:val="22"/>
        </w:rPr>
        <w:t>(42)</w:t>
      </w:r>
      <w:r w:rsidRPr="007528E0">
        <w:rPr>
          <w:rFonts w:ascii="Arial" w:eastAsia="Arial" w:hAnsi="Arial" w:cs="Arial"/>
          <w:color w:val="auto"/>
          <w:sz w:val="22"/>
          <w:szCs w:val="22"/>
        </w:rPr>
        <w:fldChar w:fldCharType="end"/>
      </w:r>
      <w:r w:rsidRPr="007528E0">
        <w:rPr>
          <w:rFonts w:ascii="Arial" w:eastAsia="Arial" w:hAnsi="Arial" w:cs="Arial"/>
          <w:color w:val="auto"/>
          <w:sz w:val="22"/>
          <w:szCs w:val="22"/>
        </w:rPr>
        <w:t>.</w:t>
      </w:r>
    </w:p>
    <w:p w14:paraId="50DD90F9" w14:textId="77777777" w:rsidR="0037398A" w:rsidRPr="007528E0" w:rsidRDefault="0037398A" w:rsidP="0037398A">
      <w:pPr>
        <w:pStyle w:val="Normal1"/>
        <w:spacing w:before="100" w:beforeAutospacing="1" w:after="100" w:afterAutospacing="1"/>
        <w:jc w:val="both"/>
        <w:rPr>
          <w:rFonts w:ascii="Arial" w:hAnsi="Arial" w:cs="Arial"/>
          <w:color w:val="auto"/>
          <w:sz w:val="22"/>
          <w:szCs w:val="22"/>
          <w:u w:val="single"/>
        </w:rPr>
      </w:pPr>
      <w:r w:rsidRPr="007528E0">
        <w:rPr>
          <w:rFonts w:ascii="Arial" w:hAnsi="Arial" w:cs="Arial"/>
          <w:color w:val="auto"/>
          <w:sz w:val="22"/>
          <w:szCs w:val="22"/>
          <w:u w:val="single"/>
        </w:rPr>
        <w:t>Biomarcadores de exposición</w:t>
      </w:r>
    </w:p>
    <w:p w14:paraId="5F0F8815" w14:textId="77777777" w:rsidR="0037398A" w:rsidRPr="007528E0" w:rsidRDefault="0037398A" w:rsidP="0037398A">
      <w:pPr>
        <w:pStyle w:val="Normal1"/>
        <w:spacing w:before="100" w:beforeAutospacing="1" w:after="100" w:afterAutospacing="1"/>
        <w:jc w:val="both"/>
        <w:rPr>
          <w:rFonts w:ascii="Arial" w:hAnsi="Arial" w:cs="Arial"/>
          <w:color w:val="auto"/>
          <w:sz w:val="22"/>
          <w:szCs w:val="22"/>
        </w:rPr>
      </w:pPr>
      <w:r w:rsidRPr="007528E0">
        <w:rPr>
          <w:rFonts w:ascii="Arial" w:hAnsi="Arial" w:cs="Arial"/>
          <w:color w:val="auto"/>
          <w:sz w:val="22"/>
          <w:szCs w:val="22"/>
        </w:rPr>
        <w:t xml:space="preserve">Se recomienda que los niveles de plomo en sangre en niños no deben superar los 10 </w:t>
      </w:r>
      <w:proofErr w:type="spellStart"/>
      <w:r w:rsidRPr="007528E0">
        <w:rPr>
          <w:rFonts w:ascii="Arial" w:hAnsi="Arial" w:cs="Arial"/>
          <w:color w:val="auto"/>
          <w:sz w:val="22"/>
          <w:szCs w:val="22"/>
        </w:rPr>
        <w:t>ug</w:t>
      </w:r>
      <w:proofErr w:type="spellEnd"/>
      <w:r w:rsidRPr="007528E0">
        <w:rPr>
          <w:rFonts w:ascii="Arial" w:hAnsi="Arial" w:cs="Arial"/>
          <w:color w:val="auto"/>
          <w:sz w:val="22"/>
          <w:szCs w:val="22"/>
        </w:rPr>
        <w:t xml:space="preserve">/100 ml y en adultos los 15 </w:t>
      </w:r>
      <w:proofErr w:type="spellStart"/>
      <w:r w:rsidRPr="007528E0">
        <w:rPr>
          <w:rFonts w:ascii="Arial" w:hAnsi="Arial" w:cs="Arial"/>
          <w:color w:val="auto"/>
          <w:sz w:val="22"/>
          <w:szCs w:val="22"/>
        </w:rPr>
        <w:t>ug</w:t>
      </w:r>
      <w:proofErr w:type="spellEnd"/>
      <w:r w:rsidRPr="007528E0">
        <w:rPr>
          <w:rFonts w:ascii="Arial" w:hAnsi="Arial" w:cs="Arial"/>
          <w:color w:val="auto"/>
          <w:sz w:val="22"/>
          <w:szCs w:val="22"/>
        </w:rPr>
        <w:t>/100 ml, aunque la tendencia es a disminuir estos límites hoy considerados seguros. La determinación de los niveles de plomo en sangre es lo que se recomienda para hacer control en trabajadores. Las cifras obtenidas representan exposición reciente, hasta por los últimos dos meses.</w:t>
      </w:r>
    </w:p>
    <w:p w14:paraId="71E46F7C" w14:textId="77777777" w:rsidR="0037398A" w:rsidRPr="007528E0" w:rsidRDefault="0037398A" w:rsidP="0037398A">
      <w:pPr>
        <w:pStyle w:val="Normal1"/>
        <w:spacing w:before="100" w:beforeAutospacing="1" w:after="100" w:afterAutospacing="1"/>
        <w:jc w:val="both"/>
        <w:rPr>
          <w:rFonts w:ascii="Arial" w:eastAsia="Calibri" w:hAnsi="Arial" w:cs="Arial"/>
          <w:b/>
          <w:color w:val="auto"/>
          <w:sz w:val="22"/>
          <w:szCs w:val="22"/>
          <w:u w:val="single"/>
        </w:rPr>
      </w:pPr>
      <w:r w:rsidRPr="007528E0">
        <w:rPr>
          <w:rFonts w:ascii="Arial" w:eastAsia="Calibri" w:hAnsi="Arial" w:cs="Arial"/>
          <w:b/>
          <w:color w:val="auto"/>
          <w:sz w:val="22"/>
          <w:szCs w:val="22"/>
          <w:highlight w:val="white"/>
          <w:u w:val="single"/>
        </w:rPr>
        <w:t>Toma de muestras biológicas</w:t>
      </w:r>
    </w:p>
    <w:p w14:paraId="6395CA6D" w14:textId="77777777" w:rsidR="0037398A" w:rsidRPr="007528E0" w:rsidRDefault="0037398A" w:rsidP="0037398A">
      <w:pPr>
        <w:pStyle w:val="Normal1"/>
        <w:spacing w:before="100" w:beforeAutospacing="1" w:after="100" w:afterAutospacing="1"/>
        <w:jc w:val="both"/>
        <w:rPr>
          <w:rFonts w:ascii="Arial" w:eastAsia="Calibri" w:hAnsi="Arial" w:cs="Arial"/>
          <w:color w:val="auto"/>
          <w:sz w:val="22"/>
          <w:szCs w:val="22"/>
        </w:rPr>
      </w:pPr>
      <w:r w:rsidRPr="007528E0">
        <w:rPr>
          <w:rFonts w:ascii="Arial" w:eastAsia="Calibri" w:hAnsi="Arial" w:cs="Arial"/>
          <w:color w:val="auto"/>
          <w:sz w:val="22"/>
          <w:szCs w:val="22"/>
        </w:rPr>
        <w:t xml:space="preserve">En la </w:t>
      </w:r>
      <w:r w:rsidRPr="007528E0">
        <w:rPr>
          <w:rFonts w:ascii="Arial" w:eastAsia="Calibri" w:hAnsi="Arial" w:cs="Arial"/>
          <w:bCs/>
          <w:color w:val="auto"/>
          <w:sz w:val="22"/>
          <w:szCs w:val="22"/>
        </w:rPr>
        <w:t xml:space="preserve">tabla 9 </w:t>
      </w:r>
      <w:r w:rsidRPr="007528E0">
        <w:rPr>
          <w:rFonts w:ascii="Arial" w:eastAsia="Calibri" w:hAnsi="Arial" w:cs="Arial"/>
          <w:color w:val="auto"/>
          <w:sz w:val="22"/>
          <w:szCs w:val="22"/>
        </w:rPr>
        <w:t xml:space="preserve">se resumen las condiciones de recolección, preservación y almacenamiento de muestras en sangre y agua. </w:t>
      </w:r>
    </w:p>
    <w:p w14:paraId="0483A479" w14:textId="77777777" w:rsidR="0037398A" w:rsidRPr="007528E0" w:rsidRDefault="0037398A" w:rsidP="0037398A">
      <w:pPr>
        <w:pStyle w:val="Descripcin"/>
        <w:spacing w:before="100" w:beforeAutospacing="1" w:after="100" w:afterAutospacing="1"/>
        <w:jc w:val="center"/>
        <w:rPr>
          <w:rFonts w:cs="Arial"/>
          <w:color w:val="auto"/>
          <w:sz w:val="22"/>
          <w:szCs w:val="22"/>
        </w:rPr>
      </w:pPr>
      <w:bookmarkStart w:id="23" w:name="_Toc505456255"/>
      <w:r w:rsidRPr="007528E0">
        <w:rPr>
          <w:rFonts w:cs="Arial"/>
          <w:b/>
          <w:color w:val="auto"/>
          <w:sz w:val="22"/>
          <w:szCs w:val="22"/>
        </w:rPr>
        <w:t xml:space="preserve">Tabla </w:t>
      </w:r>
      <w:r w:rsidRPr="007528E0">
        <w:rPr>
          <w:rFonts w:cs="Arial"/>
          <w:b/>
          <w:color w:val="auto"/>
          <w:sz w:val="22"/>
          <w:szCs w:val="22"/>
        </w:rPr>
        <w:fldChar w:fldCharType="begin"/>
      </w:r>
      <w:r w:rsidRPr="007528E0">
        <w:rPr>
          <w:rFonts w:cs="Arial"/>
          <w:b/>
          <w:color w:val="auto"/>
          <w:sz w:val="22"/>
          <w:szCs w:val="22"/>
        </w:rPr>
        <w:instrText xml:space="preserve"> SEQ Tabla \* ARABIC </w:instrText>
      </w:r>
      <w:r w:rsidRPr="007528E0">
        <w:rPr>
          <w:rFonts w:cs="Arial"/>
          <w:b/>
          <w:color w:val="auto"/>
          <w:sz w:val="22"/>
          <w:szCs w:val="22"/>
        </w:rPr>
        <w:fldChar w:fldCharType="separate"/>
      </w:r>
      <w:r w:rsidRPr="007528E0">
        <w:rPr>
          <w:rFonts w:cs="Arial"/>
          <w:b/>
          <w:noProof/>
          <w:color w:val="auto"/>
          <w:sz w:val="22"/>
          <w:szCs w:val="22"/>
        </w:rPr>
        <w:t>9</w:t>
      </w:r>
      <w:r w:rsidRPr="007528E0">
        <w:rPr>
          <w:rFonts w:cs="Arial"/>
          <w:b/>
          <w:color w:val="auto"/>
          <w:sz w:val="22"/>
          <w:szCs w:val="22"/>
        </w:rPr>
        <w:fldChar w:fldCharType="end"/>
      </w:r>
      <w:r w:rsidRPr="007528E0">
        <w:rPr>
          <w:rFonts w:cs="Arial"/>
          <w:b/>
          <w:color w:val="auto"/>
          <w:sz w:val="22"/>
          <w:szCs w:val="22"/>
        </w:rPr>
        <w:t>.</w:t>
      </w:r>
      <w:r w:rsidRPr="007528E0">
        <w:rPr>
          <w:rFonts w:cs="Arial"/>
          <w:color w:val="auto"/>
          <w:sz w:val="22"/>
          <w:szCs w:val="22"/>
        </w:rPr>
        <w:t xml:space="preserve"> Procesos de toma en muestras biológicas y ambientales.</w:t>
      </w:r>
      <w:bookmarkEnd w:id="2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2552"/>
        <w:gridCol w:w="4961"/>
      </w:tblGrid>
      <w:tr w:rsidR="007528E0" w:rsidRPr="007528E0" w14:paraId="38D7CADC" w14:textId="77777777" w:rsidTr="007528E0">
        <w:tc>
          <w:tcPr>
            <w:tcW w:w="1242" w:type="dxa"/>
          </w:tcPr>
          <w:p w14:paraId="49496683" w14:textId="77777777" w:rsidR="0037398A" w:rsidRPr="007528E0" w:rsidRDefault="0037398A" w:rsidP="007528E0">
            <w:pPr>
              <w:pStyle w:val="Normal1"/>
              <w:spacing w:before="100" w:beforeAutospacing="1" w:after="100" w:afterAutospacing="1"/>
              <w:jc w:val="center"/>
              <w:rPr>
                <w:rFonts w:ascii="Arial" w:hAnsi="Arial" w:cs="Arial"/>
                <w:color w:val="auto"/>
                <w:sz w:val="20"/>
                <w:szCs w:val="20"/>
              </w:rPr>
            </w:pPr>
            <w:r w:rsidRPr="007528E0">
              <w:rPr>
                <w:rFonts w:ascii="Arial" w:hAnsi="Arial" w:cs="Arial"/>
                <w:color w:val="auto"/>
                <w:sz w:val="20"/>
                <w:szCs w:val="20"/>
              </w:rPr>
              <w:t>Matriz</w:t>
            </w:r>
          </w:p>
        </w:tc>
        <w:tc>
          <w:tcPr>
            <w:tcW w:w="2552" w:type="dxa"/>
          </w:tcPr>
          <w:p w14:paraId="1FEE7E0B" w14:textId="77777777" w:rsidR="0037398A" w:rsidRPr="007528E0" w:rsidRDefault="0037398A" w:rsidP="007528E0">
            <w:pPr>
              <w:pStyle w:val="Normal1"/>
              <w:spacing w:before="100" w:beforeAutospacing="1" w:after="100" w:afterAutospacing="1"/>
              <w:jc w:val="center"/>
              <w:rPr>
                <w:rFonts w:ascii="Arial" w:hAnsi="Arial" w:cs="Arial"/>
                <w:color w:val="auto"/>
                <w:sz w:val="20"/>
                <w:szCs w:val="20"/>
              </w:rPr>
            </w:pPr>
            <w:r w:rsidRPr="007528E0">
              <w:rPr>
                <w:rFonts w:ascii="Arial" w:hAnsi="Arial" w:cs="Arial"/>
                <w:color w:val="auto"/>
                <w:sz w:val="20"/>
                <w:szCs w:val="20"/>
              </w:rPr>
              <w:t>Análisis a realizar</w:t>
            </w:r>
          </w:p>
        </w:tc>
        <w:tc>
          <w:tcPr>
            <w:tcW w:w="4961" w:type="dxa"/>
          </w:tcPr>
          <w:p w14:paraId="1B66264B" w14:textId="77777777" w:rsidR="0037398A" w:rsidRPr="007528E0" w:rsidRDefault="0037398A" w:rsidP="007528E0">
            <w:pPr>
              <w:pStyle w:val="Normal1"/>
              <w:spacing w:before="100" w:beforeAutospacing="1" w:after="100" w:afterAutospacing="1"/>
              <w:jc w:val="center"/>
              <w:rPr>
                <w:rFonts w:ascii="Arial" w:hAnsi="Arial" w:cs="Arial"/>
                <w:color w:val="auto"/>
                <w:sz w:val="20"/>
                <w:szCs w:val="20"/>
              </w:rPr>
            </w:pPr>
            <w:r w:rsidRPr="007528E0">
              <w:rPr>
                <w:rFonts w:ascii="Arial" w:hAnsi="Arial" w:cs="Arial"/>
                <w:color w:val="auto"/>
                <w:sz w:val="20"/>
                <w:szCs w:val="20"/>
              </w:rPr>
              <w:t>Muestra</w:t>
            </w:r>
          </w:p>
        </w:tc>
      </w:tr>
      <w:tr w:rsidR="007528E0" w:rsidRPr="007528E0" w14:paraId="139BBCAA" w14:textId="77777777" w:rsidTr="007528E0">
        <w:tc>
          <w:tcPr>
            <w:tcW w:w="1242" w:type="dxa"/>
          </w:tcPr>
          <w:p w14:paraId="498E3BEE" w14:textId="77777777" w:rsidR="0037398A" w:rsidRPr="007528E0" w:rsidRDefault="0037398A" w:rsidP="007528E0">
            <w:pPr>
              <w:pStyle w:val="Normal1"/>
              <w:spacing w:before="100" w:beforeAutospacing="1" w:after="100" w:afterAutospacing="1"/>
              <w:jc w:val="both"/>
              <w:rPr>
                <w:rFonts w:ascii="Arial" w:hAnsi="Arial" w:cs="Arial"/>
                <w:color w:val="auto"/>
                <w:sz w:val="20"/>
                <w:szCs w:val="20"/>
              </w:rPr>
            </w:pPr>
            <w:r w:rsidRPr="007528E0">
              <w:rPr>
                <w:rFonts w:ascii="Arial" w:hAnsi="Arial" w:cs="Arial"/>
                <w:color w:val="auto"/>
                <w:sz w:val="20"/>
                <w:szCs w:val="20"/>
              </w:rPr>
              <w:t>Sangre</w:t>
            </w:r>
          </w:p>
        </w:tc>
        <w:tc>
          <w:tcPr>
            <w:tcW w:w="2552" w:type="dxa"/>
          </w:tcPr>
          <w:p w14:paraId="709DE36A" w14:textId="77777777" w:rsidR="0037398A" w:rsidRPr="007528E0" w:rsidRDefault="0037398A" w:rsidP="007528E0">
            <w:pPr>
              <w:pStyle w:val="Normal1"/>
              <w:spacing w:before="100" w:beforeAutospacing="1" w:after="100" w:afterAutospacing="1"/>
              <w:jc w:val="both"/>
              <w:rPr>
                <w:rFonts w:ascii="Arial" w:hAnsi="Arial" w:cs="Arial"/>
                <w:color w:val="auto"/>
                <w:sz w:val="20"/>
                <w:szCs w:val="20"/>
              </w:rPr>
            </w:pPr>
            <w:r w:rsidRPr="007528E0">
              <w:rPr>
                <w:rFonts w:ascii="Arial" w:hAnsi="Arial" w:cs="Arial"/>
                <w:color w:val="auto"/>
                <w:sz w:val="20"/>
                <w:szCs w:val="20"/>
              </w:rPr>
              <w:t xml:space="preserve">Determinación de plomo en sangre por espectrofotometría de absorción atómica – horno de </w:t>
            </w:r>
            <w:proofErr w:type="spellStart"/>
            <w:r w:rsidRPr="007528E0">
              <w:rPr>
                <w:rFonts w:ascii="Arial" w:hAnsi="Arial" w:cs="Arial"/>
                <w:color w:val="auto"/>
                <w:sz w:val="20"/>
                <w:szCs w:val="20"/>
              </w:rPr>
              <w:t>gráfito</w:t>
            </w:r>
            <w:proofErr w:type="spellEnd"/>
            <w:r w:rsidRPr="007528E0">
              <w:rPr>
                <w:rFonts w:ascii="Arial" w:hAnsi="Arial" w:cs="Arial"/>
                <w:color w:val="auto"/>
                <w:sz w:val="20"/>
                <w:szCs w:val="20"/>
              </w:rPr>
              <w:t xml:space="preserve"> </w:t>
            </w:r>
          </w:p>
        </w:tc>
        <w:tc>
          <w:tcPr>
            <w:tcW w:w="4961" w:type="dxa"/>
          </w:tcPr>
          <w:p w14:paraId="742A3E0F" w14:textId="77777777" w:rsidR="0037398A" w:rsidRPr="007528E0" w:rsidRDefault="0037398A" w:rsidP="007528E0">
            <w:pPr>
              <w:pStyle w:val="Normal1"/>
              <w:spacing w:before="100" w:beforeAutospacing="1" w:after="100" w:afterAutospacing="1"/>
              <w:jc w:val="both"/>
              <w:rPr>
                <w:rFonts w:ascii="Arial" w:hAnsi="Arial" w:cs="Arial"/>
                <w:color w:val="auto"/>
                <w:sz w:val="20"/>
                <w:szCs w:val="20"/>
              </w:rPr>
            </w:pPr>
            <w:r w:rsidRPr="007528E0">
              <w:rPr>
                <w:rFonts w:ascii="Arial" w:hAnsi="Arial" w:cs="Arial"/>
                <w:color w:val="auto"/>
                <w:sz w:val="20"/>
                <w:szCs w:val="20"/>
              </w:rPr>
              <w:t xml:space="preserve">En tubo al vacío con heparina o EDTA y refrigerado (4 a 8 </w:t>
            </w:r>
            <w:proofErr w:type="spellStart"/>
            <w:r w:rsidRPr="007528E0">
              <w:rPr>
                <w:rFonts w:ascii="Arial" w:hAnsi="Arial" w:cs="Arial"/>
                <w:color w:val="auto"/>
                <w:sz w:val="20"/>
                <w:szCs w:val="20"/>
              </w:rPr>
              <w:t>ºC</w:t>
            </w:r>
            <w:proofErr w:type="spellEnd"/>
            <w:r w:rsidRPr="007528E0">
              <w:rPr>
                <w:rFonts w:ascii="Arial" w:hAnsi="Arial" w:cs="Arial"/>
                <w:color w:val="auto"/>
                <w:sz w:val="20"/>
                <w:szCs w:val="20"/>
              </w:rPr>
              <w:t>). Volumen requerido mínimo de 5 ml.</w:t>
            </w:r>
          </w:p>
        </w:tc>
      </w:tr>
      <w:tr w:rsidR="007528E0" w:rsidRPr="007528E0" w14:paraId="674E38F5" w14:textId="77777777" w:rsidTr="007528E0">
        <w:tc>
          <w:tcPr>
            <w:tcW w:w="1242" w:type="dxa"/>
          </w:tcPr>
          <w:p w14:paraId="58A178EF" w14:textId="77777777" w:rsidR="0037398A" w:rsidRPr="007528E0" w:rsidRDefault="0037398A" w:rsidP="007528E0">
            <w:pPr>
              <w:pStyle w:val="Normal1"/>
              <w:spacing w:before="100" w:beforeAutospacing="1" w:after="100" w:afterAutospacing="1"/>
              <w:jc w:val="both"/>
              <w:rPr>
                <w:rFonts w:ascii="Arial" w:hAnsi="Arial" w:cs="Arial"/>
                <w:color w:val="auto"/>
                <w:sz w:val="20"/>
                <w:szCs w:val="20"/>
              </w:rPr>
            </w:pPr>
            <w:r w:rsidRPr="007528E0">
              <w:rPr>
                <w:rFonts w:ascii="Arial" w:hAnsi="Arial" w:cs="Arial"/>
                <w:color w:val="auto"/>
                <w:sz w:val="20"/>
                <w:szCs w:val="20"/>
              </w:rPr>
              <w:t>Agua</w:t>
            </w:r>
          </w:p>
        </w:tc>
        <w:tc>
          <w:tcPr>
            <w:tcW w:w="2552" w:type="dxa"/>
          </w:tcPr>
          <w:p w14:paraId="45A944FC" w14:textId="77777777" w:rsidR="0037398A" w:rsidRPr="007528E0" w:rsidRDefault="0037398A" w:rsidP="007528E0">
            <w:pPr>
              <w:pStyle w:val="Normal1"/>
              <w:spacing w:before="100" w:beforeAutospacing="1" w:after="100" w:afterAutospacing="1"/>
              <w:jc w:val="both"/>
              <w:rPr>
                <w:rFonts w:ascii="Arial" w:hAnsi="Arial" w:cs="Arial"/>
                <w:color w:val="auto"/>
                <w:sz w:val="20"/>
                <w:szCs w:val="20"/>
              </w:rPr>
            </w:pPr>
            <w:r w:rsidRPr="007528E0">
              <w:rPr>
                <w:rFonts w:ascii="Arial" w:hAnsi="Arial" w:cs="Arial"/>
                <w:color w:val="auto"/>
                <w:sz w:val="20"/>
                <w:szCs w:val="20"/>
              </w:rPr>
              <w:t xml:space="preserve">Determinación de plomo en agua por espectrofotometría de absorción atómica – horno de </w:t>
            </w:r>
            <w:proofErr w:type="spellStart"/>
            <w:r w:rsidRPr="007528E0">
              <w:rPr>
                <w:rFonts w:ascii="Arial" w:hAnsi="Arial" w:cs="Arial"/>
                <w:color w:val="auto"/>
                <w:sz w:val="20"/>
                <w:szCs w:val="20"/>
              </w:rPr>
              <w:t>gráfito</w:t>
            </w:r>
            <w:proofErr w:type="spellEnd"/>
          </w:p>
        </w:tc>
        <w:tc>
          <w:tcPr>
            <w:tcW w:w="4961" w:type="dxa"/>
          </w:tcPr>
          <w:p w14:paraId="09C8616D" w14:textId="77777777" w:rsidR="0037398A" w:rsidRPr="007528E0" w:rsidRDefault="0037398A" w:rsidP="007528E0">
            <w:pPr>
              <w:pStyle w:val="Normal1"/>
              <w:spacing w:before="100" w:beforeAutospacing="1" w:after="100" w:afterAutospacing="1"/>
              <w:jc w:val="both"/>
              <w:rPr>
                <w:rFonts w:ascii="Arial" w:hAnsi="Arial" w:cs="Arial"/>
                <w:color w:val="auto"/>
                <w:sz w:val="20"/>
                <w:szCs w:val="20"/>
              </w:rPr>
            </w:pPr>
            <w:r w:rsidRPr="007528E0">
              <w:rPr>
                <w:rFonts w:ascii="Arial" w:hAnsi="Arial" w:cs="Arial"/>
                <w:color w:val="auto"/>
                <w:sz w:val="20"/>
                <w:szCs w:val="20"/>
              </w:rPr>
              <w:t xml:space="preserve">Las muestras se deben enviar en recipiente plástico o de vidrio. Preservada con 2 </w:t>
            </w:r>
            <w:proofErr w:type="spellStart"/>
            <w:r w:rsidRPr="007528E0">
              <w:rPr>
                <w:rFonts w:ascii="Arial" w:hAnsi="Arial" w:cs="Arial"/>
                <w:color w:val="auto"/>
                <w:sz w:val="20"/>
                <w:szCs w:val="20"/>
              </w:rPr>
              <w:t>mL</w:t>
            </w:r>
            <w:proofErr w:type="spellEnd"/>
            <w:r w:rsidRPr="007528E0">
              <w:rPr>
                <w:rFonts w:ascii="Arial" w:hAnsi="Arial" w:cs="Arial"/>
                <w:color w:val="auto"/>
                <w:sz w:val="20"/>
                <w:szCs w:val="20"/>
              </w:rPr>
              <w:t xml:space="preserve"> de HNO3 concentrado y refrigerada (2 a 6 </w:t>
            </w:r>
            <w:proofErr w:type="spellStart"/>
            <w:r w:rsidRPr="007528E0">
              <w:rPr>
                <w:rFonts w:ascii="Arial" w:hAnsi="Arial" w:cs="Arial"/>
                <w:color w:val="auto"/>
                <w:sz w:val="20"/>
                <w:szCs w:val="20"/>
              </w:rPr>
              <w:t>ºC</w:t>
            </w:r>
            <w:proofErr w:type="spellEnd"/>
            <w:r w:rsidRPr="007528E0">
              <w:rPr>
                <w:rFonts w:ascii="Arial" w:hAnsi="Arial" w:cs="Arial"/>
                <w:color w:val="auto"/>
                <w:sz w:val="20"/>
                <w:szCs w:val="20"/>
              </w:rPr>
              <w:t xml:space="preserve">). Volumen requerido mínimo de 500 </w:t>
            </w:r>
            <w:proofErr w:type="spellStart"/>
            <w:r w:rsidRPr="007528E0">
              <w:rPr>
                <w:rFonts w:ascii="Arial" w:hAnsi="Arial" w:cs="Arial"/>
                <w:color w:val="auto"/>
                <w:sz w:val="20"/>
                <w:szCs w:val="20"/>
              </w:rPr>
              <w:t>mL</w:t>
            </w:r>
            <w:proofErr w:type="spellEnd"/>
            <w:r w:rsidRPr="007528E0">
              <w:rPr>
                <w:rFonts w:ascii="Arial" w:hAnsi="Arial" w:cs="Arial"/>
                <w:color w:val="auto"/>
                <w:sz w:val="20"/>
                <w:szCs w:val="20"/>
              </w:rPr>
              <w:t>.</w:t>
            </w:r>
          </w:p>
        </w:tc>
      </w:tr>
    </w:tbl>
    <w:p w14:paraId="3EEC0F35" w14:textId="77777777" w:rsidR="0037398A" w:rsidRPr="007528E0" w:rsidRDefault="0037398A" w:rsidP="0037398A">
      <w:pPr>
        <w:pStyle w:val="Normal1"/>
        <w:spacing w:before="100" w:beforeAutospacing="1" w:after="100" w:afterAutospacing="1"/>
        <w:jc w:val="center"/>
        <w:rPr>
          <w:rFonts w:ascii="Arial" w:hAnsi="Arial" w:cs="Arial"/>
          <w:color w:val="auto"/>
          <w:sz w:val="16"/>
          <w:szCs w:val="16"/>
        </w:rPr>
      </w:pPr>
      <w:r w:rsidRPr="007528E0">
        <w:rPr>
          <w:rFonts w:ascii="Arial" w:hAnsi="Arial" w:cs="Arial"/>
          <w:color w:val="auto"/>
          <w:sz w:val="16"/>
          <w:szCs w:val="16"/>
        </w:rPr>
        <w:t>Fuente:</w:t>
      </w:r>
      <w:r w:rsidRPr="007528E0">
        <w:rPr>
          <w:rFonts w:ascii="Arial" w:hAnsi="Arial" w:cs="Arial"/>
          <w:color w:val="auto"/>
          <w:sz w:val="16"/>
          <w:szCs w:val="16"/>
        </w:rPr>
        <w:fldChar w:fldCharType="begin" w:fldLock="1"/>
      </w:r>
      <w:r w:rsidRPr="007528E0">
        <w:rPr>
          <w:rFonts w:ascii="Arial" w:hAnsi="Arial" w:cs="Arial"/>
          <w:color w:val="auto"/>
          <w:sz w:val="16"/>
          <w:szCs w:val="16"/>
        </w:rPr>
        <w:instrText>ADDIN CSL_CITATION { "citationItems" : [ { "id" : "ITEM-1", "itemData" : { "author" : [ { "dropping-particle" : "", "family" : "Instituto Nacional de Salud", "given" : "", "non-dropping-particle" : "", "parse-names" : false, "suffix" : "" } ], "id" : "ITEM-1", "issued" : { "date-parts" : [ [ "2011" ] ] }, "title" : "Manual para la obtenci\u00f3n y env\u00edo de muestras para el an\u00e1lisis de eventos de inter\u00e9s en salud p\u00fablica", "type" : "report" }, "uris" : [ "http://www.mendeley.com/documents/?uuid=0da2d6b1-054c-44aa-ae2e-1e52f2e7368b" ] } ], "mendeley" : { "formattedCitation" : "(35)", "plainTextFormattedCitation" : "(35)", "previouslyFormattedCitation" : "(35)" }, "properties" : { "noteIndex" : 0 }, "schema" : "https://github.com/citation-style-language/schema/raw/master/csl-citation.json" }</w:instrText>
      </w:r>
      <w:r w:rsidRPr="007528E0">
        <w:rPr>
          <w:rFonts w:ascii="Arial" w:hAnsi="Arial" w:cs="Arial"/>
          <w:color w:val="auto"/>
          <w:sz w:val="16"/>
          <w:szCs w:val="16"/>
        </w:rPr>
        <w:fldChar w:fldCharType="separate"/>
      </w:r>
      <w:r w:rsidRPr="007528E0">
        <w:rPr>
          <w:rFonts w:ascii="Arial" w:hAnsi="Arial" w:cs="Arial"/>
          <w:noProof/>
          <w:color w:val="auto"/>
          <w:sz w:val="16"/>
          <w:szCs w:val="16"/>
        </w:rPr>
        <w:t>(35)</w:t>
      </w:r>
      <w:r w:rsidRPr="007528E0">
        <w:rPr>
          <w:rFonts w:ascii="Arial" w:hAnsi="Arial" w:cs="Arial"/>
          <w:color w:val="auto"/>
          <w:sz w:val="16"/>
          <w:szCs w:val="16"/>
        </w:rPr>
        <w:fldChar w:fldCharType="end"/>
      </w:r>
      <w:r w:rsidRPr="007528E0">
        <w:rPr>
          <w:rFonts w:ascii="Arial" w:hAnsi="Arial" w:cs="Arial"/>
          <w:color w:val="auto"/>
          <w:sz w:val="16"/>
          <w:szCs w:val="16"/>
        </w:rPr>
        <w:t xml:space="preserve"> </w:t>
      </w:r>
    </w:p>
    <w:p w14:paraId="011035EE" w14:textId="77777777" w:rsidR="0037398A" w:rsidRPr="007528E0" w:rsidRDefault="0037398A" w:rsidP="0037398A">
      <w:pPr>
        <w:pStyle w:val="Prrafodelista"/>
        <w:spacing w:before="100" w:beforeAutospacing="1" w:after="100" w:afterAutospacing="1" w:line="240" w:lineRule="auto"/>
        <w:ind w:left="0"/>
        <w:rPr>
          <w:rFonts w:eastAsia="Calibri" w:cs="Arial"/>
          <w:b/>
          <w:szCs w:val="22"/>
        </w:rPr>
      </w:pPr>
      <w:r w:rsidRPr="007528E0">
        <w:rPr>
          <w:rFonts w:eastAsia="Calibri" w:cs="Arial"/>
          <w:b/>
          <w:szCs w:val="22"/>
        </w:rPr>
        <w:t>Cromo</w:t>
      </w:r>
    </w:p>
    <w:p w14:paraId="65F19E7C" w14:textId="77777777" w:rsidR="0037398A" w:rsidRPr="007528E0" w:rsidRDefault="0037398A" w:rsidP="0037398A">
      <w:pPr>
        <w:pStyle w:val="Normal1"/>
        <w:spacing w:before="100" w:beforeAutospacing="1" w:after="100" w:afterAutospacing="1"/>
        <w:jc w:val="both"/>
        <w:rPr>
          <w:rFonts w:ascii="Arial" w:eastAsia="Arial" w:hAnsi="Arial" w:cs="Arial"/>
          <w:color w:val="auto"/>
          <w:sz w:val="22"/>
          <w:szCs w:val="22"/>
        </w:rPr>
      </w:pPr>
      <w:r w:rsidRPr="007528E0">
        <w:rPr>
          <w:rFonts w:ascii="Arial" w:eastAsia="Arial" w:hAnsi="Arial" w:cs="Arial"/>
          <w:color w:val="auto"/>
          <w:sz w:val="22"/>
          <w:szCs w:val="22"/>
        </w:rPr>
        <w:t xml:space="preserve">El cromo elemental no existe como tal en la naturaleza, pero se encuentra combinado con otros elementos principalmente óxidos y sulfuros, de los que se extrae el metal, se emplea especialmente en metalurgia, para dar un acabado brillante y en aleaciones con hierro o </w:t>
      </w:r>
      <w:r w:rsidRPr="007528E0">
        <w:rPr>
          <w:rFonts w:ascii="Arial" w:eastAsia="Arial" w:hAnsi="Arial" w:cs="Arial"/>
          <w:color w:val="auto"/>
          <w:sz w:val="22"/>
          <w:szCs w:val="22"/>
        </w:rPr>
        <w:lastRenderedPageBreak/>
        <w:t xml:space="preserve">acero, para dar dureza y resistencia a la corrosión. Su nombre se debe a los distintos colores que presentan sus compuestos. La mayoría de ellos se encuentran en el estado de oxidación hexavalente (Cr VI) o trivalente (Cr III), cada uno de ellos tiene efectos tóxicos, pero el más peligroso es el hexavalente que es 500 a mil veces más tóxico que el trivalente.  La toxicidad se presenta usualmente en ambientes industriales, la exposición es fundamentalmente de tipo cutáneo, inhalatorio y digestivo </w:t>
      </w:r>
      <w:r w:rsidRPr="007528E0">
        <w:rPr>
          <w:rFonts w:ascii="Arial" w:eastAsia="Arial" w:hAnsi="Arial" w:cs="Arial"/>
          <w:color w:val="auto"/>
          <w:sz w:val="22"/>
          <w:szCs w:val="22"/>
        </w:rPr>
        <w:fldChar w:fldCharType="begin" w:fldLock="1"/>
      </w:r>
      <w:r w:rsidRPr="007528E0">
        <w:rPr>
          <w:rFonts w:ascii="Arial" w:eastAsia="Arial" w:hAnsi="Arial" w:cs="Arial"/>
          <w:color w:val="auto"/>
          <w:sz w:val="22"/>
          <w:szCs w:val="22"/>
        </w:rPr>
        <w:instrText>ADDIN CSL_CITATION { "citationItems" : [ { "id" : "ITEM-1", "itemData" : { "author" : [ { "dropping-particle" : "", "family" : "Cohen, M. and M. Costa", "given" : "", "non-dropping-particle" : "", "parse-names" : false, "suffix" : "" } ], "container-title" : "WoltersKluver \u2013 Lippincott Williams &amp; Wilkins.", "id" : "ITEM-1", "issued" : { "date-parts" : [ [ "2007" ] ] }, "title" : "Chromium Compounds in Envinronmental and Occupational Medicine, W.N. Rom and S.B. Markowitz", "type" : "article-journal" }, "uris" : [ "http://www.mendeley.com/documents/?uuid=bde2ac1c-7815-42c5-9f4e-520e68a8643f" ] } ], "mendeley" : { "formattedCitation" : "(55)", "plainTextFormattedCitation" : "(55)", "previouslyFormattedCitation" : "(55)" }, "properties" : { "noteIndex" : 0 }, "schema" : "https://github.com/citation-style-language/schema/raw/master/csl-citation.json" }</w:instrText>
      </w:r>
      <w:r w:rsidRPr="007528E0">
        <w:rPr>
          <w:rFonts w:ascii="Arial" w:eastAsia="Arial" w:hAnsi="Arial" w:cs="Arial"/>
          <w:color w:val="auto"/>
          <w:sz w:val="22"/>
          <w:szCs w:val="22"/>
        </w:rPr>
        <w:fldChar w:fldCharType="separate"/>
      </w:r>
      <w:r w:rsidRPr="007528E0">
        <w:rPr>
          <w:rFonts w:ascii="Arial" w:eastAsia="Arial" w:hAnsi="Arial" w:cs="Arial"/>
          <w:noProof/>
          <w:color w:val="auto"/>
          <w:sz w:val="22"/>
          <w:szCs w:val="22"/>
        </w:rPr>
        <w:t>(55)</w:t>
      </w:r>
      <w:r w:rsidRPr="007528E0">
        <w:rPr>
          <w:rFonts w:ascii="Arial" w:eastAsia="Arial" w:hAnsi="Arial" w:cs="Arial"/>
          <w:color w:val="auto"/>
          <w:sz w:val="22"/>
          <w:szCs w:val="22"/>
        </w:rPr>
        <w:fldChar w:fldCharType="end"/>
      </w:r>
      <w:r w:rsidRPr="007528E0">
        <w:rPr>
          <w:rFonts w:ascii="Arial" w:eastAsia="Arial" w:hAnsi="Arial" w:cs="Arial"/>
          <w:color w:val="auto"/>
          <w:sz w:val="22"/>
          <w:szCs w:val="22"/>
        </w:rPr>
        <w:t>. Uno de sus principales usos es la aplicación a herramientas de corte, rodillos, cigüeñales, fabricación de cajas fuertes, cerraduras, y para el procesamiento de cueros y maderas.  La exposición se da fundamentalmente en ambientes industriales. Se le ha asociado con el desarrollo de cáncer de pulmón y de las vías respiratorias altas</w:t>
      </w:r>
      <w:r w:rsidRPr="007528E0">
        <w:rPr>
          <w:rFonts w:ascii="Arial" w:eastAsia="Arial" w:hAnsi="Arial" w:cs="Arial"/>
          <w:color w:val="auto"/>
          <w:sz w:val="22"/>
          <w:szCs w:val="22"/>
        </w:rPr>
        <w:fldChar w:fldCharType="begin" w:fldLock="1"/>
      </w:r>
      <w:r w:rsidRPr="007528E0">
        <w:rPr>
          <w:rFonts w:ascii="Arial" w:eastAsia="Arial" w:hAnsi="Arial" w:cs="Arial"/>
          <w:color w:val="auto"/>
          <w:sz w:val="22"/>
          <w:szCs w:val="22"/>
        </w:rPr>
        <w:instrText>ADDIN CSL_CITATION { "citationItems" : [ { "id" : "ITEM-1", "itemData" : { "author" : [ { "dropping-particle" : "", "family" : "Bird", "given" : "S. McGraw-Hill: United States of America.", "non-dropping-particle" : "", "parse-names" : false, "suffix" : "" } ], "id" : "ITEM-1", "issued" : { "date-parts" : [ [ "2008" ] ] }, "title" : "Chromium, in Goldfrank\u2019sToxicologic Emergencies.", "type" : "book" }, "uris" : [ "http://www.mendeley.com/documents/?uuid=5822d5a9-086b-4835-8a8c-9f9e1e54aac4" ] } ], "mendeley" : { "formattedCitation" : "(56)", "plainTextFormattedCitation" : "(56)", "previouslyFormattedCitation" : "(56)" }, "properties" : { "noteIndex" : 0 }, "schema" : "https://github.com/citation-style-language/schema/raw/master/csl-citation.json" }</w:instrText>
      </w:r>
      <w:r w:rsidRPr="007528E0">
        <w:rPr>
          <w:rFonts w:ascii="Arial" w:eastAsia="Arial" w:hAnsi="Arial" w:cs="Arial"/>
          <w:color w:val="auto"/>
          <w:sz w:val="22"/>
          <w:szCs w:val="22"/>
        </w:rPr>
        <w:fldChar w:fldCharType="separate"/>
      </w:r>
      <w:r w:rsidRPr="007528E0">
        <w:rPr>
          <w:rFonts w:ascii="Arial" w:eastAsia="Arial" w:hAnsi="Arial" w:cs="Arial"/>
          <w:noProof/>
          <w:color w:val="auto"/>
          <w:sz w:val="22"/>
          <w:szCs w:val="22"/>
        </w:rPr>
        <w:t>(56)</w:t>
      </w:r>
      <w:r w:rsidRPr="007528E0">
        <w:rPr>
          <w:rFonts w:ascii="Arial" w:eastAsia="Arial" w:hAnsi="Arial" w:cs="Arial"/>
          <w:color w:val="auto"/>
          <w:sz w:val="22"/>
          <w:szCs w:val="22"/>
        </w:rPr>
        <w:fldChar w:fldCharType="end"/>
      </w:r>
      <w:r w:rsidRPr="007528E0">
        <w:rPr>
          <w:rFonts w:ascii="Arial" w:eastAsia="Arial" w:hAnsi="Arial" w:cs="Arial"/>
          <w:color w:val="auto"/>
          <w:sz w:val="22"/>
          <w:szCs w:val="22"/>
        </w:rPr>
        <w:t xml:space="preserve">. </w:t>
      </w:r>
    </w:p>
    <w:p w14:paraId="0159EFA4" w14:textId="77777777" w:rsidR="0037398A" w:rsidRPr="007528E0" w:rsidRDefault="0037398A" w:rsidP="0037398A">
      <w:pPr>
        <w:pStyle w:val="Normal1"/>
        <w:spacing w:before="100" w:beforeAutospacing="1" w:after="100" w:afterAutospacing="1"/>
        <w:jc w:val="both"/>
        <w:rPr>
          <w:rFonts w:ascii="Arial" w:hAnsi="Arial" w:cs="Arial"/>
          <w:b/>
          <w:color w:val="auto"/>
          <w:sz w:val="22"/>
          <w:szCs w:val="22"/>
          <w:u w:val="single"/>
        </w:rPr>
      </w:pPr>
      <w:r w:rsidRPr="007528E0">
        <w:rPr>
          <w:rFonts w:ascii="Arial" w:hAnsi="Arial" w:cs="Arial"/>
          <w:b/>
          <w:color w:val="auto"/>
          <w:sz w:val="22"/>
          <w:szCs w:val="22"/>
          <w:u w:val="single"/>
        </w:rPr>
        <w:t>Manifestaciones clínicas</w:t>
      </w:r>
    </w:p>
    <w:p w14:paraId="724B176E" w14:textId="77777777" w:rsidR="0037398A" w:rsidRPr="007528E0" w:rsidRDefault="0037398A" w:rsidP="0037398A">
      <w:pPr>
        <w:pStyle w:val="Normal1"/>
        <w:numPr>
          <w:ilvl w:val="0"/>
          <w:numId w:val="22"/>
        </w:numPr>
        <w:spacing w:before="100" w:beforeAutospacing="1" w:after="100" w:afterAutospacing="1"/>
        <w:jc w:val="both"/>
        <w:rPr>
          <w:rFonts w:ascii="Arial" w:eastAsia="Arial" w:hAnsi="Arial" w:cs="Arial"/>
          <w:color w:val="auto"/>
          <w:sz w:val="22"/>
          <w:szCs w:val="22"/>
        </w:rPr>
      </w:pPr>
      <w:r w:rsidRPr="007528E0">
        <w:rPr>
          <w:rFonts w:ascii="Arial" w:eastAsia="Arial" w:hAnsi="Arial" w:cs="Arial"/>
          <w:color w:val="auto"/>
          <w:sz w:val="22"/>
          <w:szCs w:val="22"/>
        </w:rPr>
        <w:t>Intoxicación aguda:</w:t>
      </w:r>
    </w:p>
    <w:p w14:paraId="45CEC149" w14:textId="77777777" w:rsidR="0037398A" w:rsidRPr="007528E0" w:rsidRDefault="0037398A" w:rsidP="0037398A">
      <w:pPr>
        <w:pStyle w:val="Normal1"/>
        <w:numPr>
          <w:ilvl w:val="0"/>
          <w:numId w:val="27"/>
        </w:numPr>
        <w:spacing w:before="100" w:beforeAutospacing="1" w:after="100" w:afterAutospacing="1"/>
        <w:jc w:val="both"/>
        <w:rPr>
          <w:rFonts w:ascii="Arial" w:eastAsia="Arial" w:hAnsi="Arial" w:cs="Arial"/>
          <w:color w:val="auto"/>
          <w:sz w:val="22"/>
          <w:szCs w:val="22"/>
        </w:rPr>
      </w:pPr>
      <w:r w:rsidRPr="007528E0">
        <w:rPr>
          <w:rFonts w:ascii="Arial" w:eastAsia="Arial" w:hAnsi="Arial" w:cs="Arial"/>
          <w:color w:val="auto"/>
          <w:sz w:val="22"/>
          <w:szCs w:val="22"/>
        </w:rPr>
        <w:t>Por inhalación: ulceraciones de la mucosa nasal, neumonitis química.</w:t>
      </w:r>
    </w:p>
    <w:p w14:paraId="27D9E94F" w14:textId="77777777" w:rsidR="0037398A" w:rsidRPr="007528E0" w:rsidRDefault="0037398A" w:rsidP="0037398A">
      <w:pPr>
        <w:pStyle w:val="Normal1"/>
        <w:numPr>
          <w:ilvl w:val="0"/>
          <w:numId w:val="27"/>
        </w:numPr>
        <w:spacing w:before="100" w:beforeAutospacing="1" w:after="100" w:afterAutospacing="1"/>
        <w:jc w:val="both"/>
        <w:rPr>
          <w:rFonts w:ascii="Arial" w:eastAsia="Arial" w:hAnsi="Arial" w:cs="Arial"/>
          <w:color w:val="auto"/>
          <w:sz w:val="22"/>
          <w:szCs w:val="22"/>
        </w:rPr>
      </w:pPr>
      <w:r w:rsidRPr="007528E0">
        <w:rPr>
          <w:rFonts w:ascii="Arial" w:eastAsia="Arial" w:hAnsi="Arial" w:cs="Arial"/>
          <w:color w:val="auto"/>
          <w:sz w:val="22"/>
          <w:szCs w:val="22"/>
        </w:rPr>
        <w:t xml:space="preserve">Por ingestión: gastritis, quemaduras y sangrado del tracto gastrointestinal, coloración amarilla de los dientes y la lengua. </w:t>
      </w:r>
    </w:p>
    <w:p w14:paraId="6DD842BB" w14:textId="77777777" w:rsidR="0037398A" w:rsidRPr="007528E0" w:rsidRDefault="0037398A" w:rsidP="0037398A">
      <w:pPr>
        <w:pStyle w:val="Normal1"/>
        <w:numPr>
          <w:ilvl w:val="0"/>
          <w:numId w:val="27"/>
        </w:numPr>
        <w:spacing w:before="100" w:beforeAutospacing="1" w:after="100" w:afterAutospacing="1"/>
        <w:jc w:val="both"/>
        <w:rPr>
          <w:rFonts w:ascii="Arial" w:eastAsia="Arial" w:hAnsi="Arial" w:cs="Arial"/>
          <w:color w:val="auto"/>
          <w:sz w:val="22"/>
          <w:szCs w:val="22"/>
        </w:rPr>
      </w:pPr>
      <w:r w:rsidRPr="007528E0">
        <w:rPr>
          <w:rFonts w:ascii="Arial" w:eastAsia="Arial" w:hAnsi="Arial" w:cs="Arial"/>
          <w:color w:val="auto"/>
          <w:sz w:val="22"/>
          <w:szCs w:val="22"/>
        </w:rPr>
        <w:t>Por contacto cutáneo: ulceras y quemaduras.</w:t>
      </w:r>
    </w:p>
    <w:p w14:paraId="1C84E145" w14:textId="77777777" w:rsidR="0037398A" w:rsidRPr="007528E0" w:rsidRDefault="0037398A" w:rsidP="0037398A">
      <w:pPr>
        <w:pStyle w:val="Normal1"/>
        <w:numPr>
          <w:ilvl w:val="0"/>
          <w:numId w:val="27"/>
        </w:numPr>
        <w:spacing w:before="100" w:beforeAutospacing="1" w:after="100" w:afterAutospacing="1"/>
        <w:jc w:val="both"/>
        <w:rPr>
          <w:rFonts w:ascii="Arial" w:eastAsia="Arial" w:hAnsi="Arial" w:cs="Arial"/>
          <w:color w:val="auto"/>
          <w:sz w:val="22"/>
          <w:szCs w:val="22"/>
        </w:rPr>
      </w:pPr>
      <w:r w:rsidRPr="007528E0">
        <w:rPr>
          <w:rFonts w:ascii="Arial" w:eastAsia="Arial" w:hAnsi="Arial" w:cs="Arial"/>
          <w:color w:val="auto"/>
          <w:sz w:val="22"/>
          <w:szCs w:val="22"/>
        </w:rPr>
        <w:t xml:space="preserve">En exposición a grandes cantidades, puede desarrollarse neumonitis química, falla renal, hepática y muerte </w:t>
      </w:r>
      <w:r w:rsidRPr="007528E0">
        <w:rPr>
          <w:rFonts w:ascii="Arial" w:eastAsia="Arial" w:hAnsi="Arial" w:cs="Arial"/>
          <w:color w:val="auto"/>
          <w:sz w:val="22"/>
          <w:szCs w:val="22"/>
        </w:rPr>
        <w:fldChar w:fldCharType="begin" w:fldLock="1"/>
      </w:r>
      <w:r w:rsidRPr="007528E0">
        <w:rPr>
          <w:rFonts w:ascii="Arial" w:eastAsia="Arial" w:hAnsi="Arial" w:cs="Arial"/>
          <w:color w:val="auto"/>
          <w:sz w:val="22"/>
          <w:szCs w:val="22"/>
        </w:rPr>
        <w:instrText>ADDIN CSL_CITATION { "citationItems" : [ { "id" : "ITEM-1", "itemData" : { "author" : [ { "dropping-particle" : "", "family" : "Cohen, M. and M. Costa", "given" : "", "non-dropping-particle" : "", "parse-names" : false, "suffix" : "" } ], "container-title" : "WoltersKluver \u2013 Lippincott Williams &amp; Wilkins.", "id" : "ITEM-1", "issued" : { "date-parts" : [ [ "2007" ] ] }, "title" : "Chromium Compounds in Envinronmental and Occupational Medicine, W.N. Rom and S.B. Markowitz", "type" : "article-journal" }, "uris" : [ "http://www.mendeley.com/documents/?uuid=bde2ac1c-7815-42c5-9f4e-520e68a8643f" ] } ], "mendeley" : { "formattedCitation" : "(55)", "plainTextFormattedCitation" : "(55)", "previouslyFormattedCitation" : "(55)" }, "properties" : { "noteIndex" : 0 }, "schema" : "https://github.com/citation-style-language/schema/raw/master/csl-citation.json" }</w:instrText>
      </w:r>
      <w:r w:rsidRPr="007528E0">
        <w:rPr>
          <w:rFonts w:ascii="Arial" w:eastAsia="Arial" w:hAnsi="Arial" w:cs="Arial"/>
          <w:color w:val="auto"/>
          <w:sz w:val="22"/>
          <w:szCs w:val="22"/>
        </w:rPr>
        <w:fldChar w:fldCharType="separate"/>
      </w:r>
      <w:r w:rsidRPr="007528E0">
        <w:rPr>
          <w:rFonts w:ascii="Arial" w:eastAsia="Arial" w:hAnsi="Arial" w:cs="Arial"/>
          <w:noProof/>
          <w:color w:val="auto"/>
          <w:sz w:val="22"/>
          <w:szCs w:val="22"/>
        </w:rPr>
        <w:t>(55)</w:t>
      </w:r>
      <w:r w:rsidRPr="007528E0">
        <w:rPr>
          <w:rFonts w:ascii="Arial" w:eastAsia="Arial" w:hAnsi="Arial" w:cs="Arial"/>
          <w:color w:val="auto"/>
          <w:sz w:val="22"/>
          <w:szCs w:val="22"/>
        </w:rPr>
        <w:fldChar w:fldCharType="end"/>
      </w:r>
      <w:r w:rsidRPr="007528E0">
        <w:rPr>
          <w:rFonts w:ascii="Arial" w:eastAsia="Arial" w:hAnsi="Arial" w:cs="Arial"/>
          <w:color w:val="auto"/>
          <w:sz w:val="22"/>
          <w:szCs w:val="22"/>
        </w:rPr>
        <w:t xml:space="preserve">. </w:t>
      </w:r>
    </w:p>
    <w:p w14:paraId="30C2C5BF" w14:textId="77777777" w:rsidR="0037398A" w:rsidRPr="007528E0" w:rsidRDefault="0037398A" w:rsidP="0037398A">
      <w:pPr>
        <w:pStyle w:val="Normal1"/>
        <w:numPr>
          <w:ilvl w:val="0"/>
          <w:numId w:val="26"/>
        </w:numPr>
        <w:spacing w:before="100" w:beforeAutospacing="1" w:after="100" w:afterAutospacing="1"/>
        <w:jc w:val="both"/>
        <w:rPr>
          <w:rFonts w:ascii="Arial" w:hAnsi="Arial" w:cs="Arial"/>
          <w:color w:val="auto"/>
          <w:sz w:val="22"/>
          <w:szCs w:val="22"/>
        </w:rPr>
      </w:pPr>
      <w:r w:rsidRPr="007528E0">
        <w:rPr>
          <w:rFonts w:ascii="Arial" w:eastAsia="Arial" w:hAnsi="Arial" w:cs="Arial"/>
          <w:color w:val="auto"/>
          <w:sz w:val="22"/>
          <w:szCs w:val="22"/>
        </w:rPr>
        <w:t xml:space="preserve">Intoxicación crónica: la vía de exposición respiratoria es la más importante, presentándose de manera ocupacional. Cursa con gingivitis, periodontitis, queratoconjuntivitis, dermatitis de contacto, bronquitis crónica, rinitis, sinusitis, pólipos nasales, perforación del septo nasal daño hepático y renal </w:t>
      </w:r>
      <w:r w:rsidRPr="007528E0">
        <w:rPr>
          <w:rFonts w:ascii="Arial" w:eastAsia="Arial" w:hAnsi="Arial" w:cs="Arial"/>
          <w:color w:val="auto"/>
          <w:sz w:val="22"/>
          <w:szCs w:val="22"/>
        </w:rPr>
        <w:fldChar w:fldCharType="begin" w:fldLock="1"/>
      </w:r>
      <w:r w:rsidRPr="007528E0">
        <w:rPr>
          <w:rFonts w:ascii="Arial" w:eastAsia="Arial" w:hAnsi="Arial" w:cs="Arial"/>
          <w:color w:val="auto"/>
          <w:sz w:val="22"/>
          <w:szCs w:val="22"/>
        </w:rPr>
        <w:instrText>ADDIN CSL_CITATION { "citationItems" : [ { "id" : "ITEM-1", "itemData" : { "author" : [ { "dropping-particle" : "", "family" : "Cohen, M. and M. Costa", "given" : "", "non-dropping-particle" : "", "parse-names" : false, "suffix" : "" } ], "container-title" : "WoltersKluver \u2013 Lippincott Williams &amp; Wilkins.", "id" : "ITEM-1", "issued" : { "date-parts" : [ [ "2007" ] ] }, "title" : "Chromium Compounds in Envinronmental and Occupational Medicine, W.N. Rom and S.B. Markowitz", "type" : "article-journal" }, "uris" : [ "http://www.mendeley.com/documents/?uuid=bde2ac1c-7815-42c5-9f4e-520e68a8643f" ] } ], "mendeley" : { "formattedCitation" : "(55)", "plainTextFormattedCitation" : "(55)", "previouslyFormattedCitation" : "(55)" }, "properties" : { "noteIndex" : 0 }, "schema" : "https://github.com/citation-style-language/schema/raw/master/csl-citation.json" }</w:instrText>
      </w:r>
      <w:r w:rsidRPr="007528E0">
        <w:rPr>
          <w:rFonts w:ascii="Arial" w:eastAsia="Arial" w:hAnsi="Arial" w:cs="Arial"/>
          <w:color w:val="auto"/>
          <w:sz w:val="22"/>
          <w:szCs w:val="22"/>
        </w:rPr>
        <w:fldChar w:fldCharType="separate"/>
      </w:r>
      <w:r w:rsidRPr="007528E0">
        <w:rPr>
          <w:rFonts w:ascii="Arial" w:eastAsia="Arial" w:hAnsi="Arial" w:cs="Arial"/>
          <w:noProof/>
          <w:color w:val="auto"/>
          <w:sz w:val="22"/>
          <w:szCs w:val="22"/>
        </w:rPr>
        <w:t>(55)</w:t>
      </w:r>
      <w:r w:rsidRPr="007528E0">
        <w:rPr>
          <w:rFonts w:ascii="Arial" w:eastAsia="Arial" w:hAnsi="Arial" w:cs="Arial"/>
          <w:color w:val="auto"/>
          <w:sz w:val="22"/>
          <w:szCs w:val="22"/>
        </w:rPr>
        <w:fldChar w:fldCharType="end"/>
      </w:r>
      <w:r w:rsidRPr="007528E0">
        <w:rPr>
          <w:rFonts w:ascii="Arial" w:eastAsia="Arial" w:hAnsi="Arial" w:cs="Arial"/>
          <w:color w:val="auto"/>
          <w:sz w:val="22"/>
          <w:szCs w:val="22"/>
        </w:rPr>
        <w:t>.</w:t>
      </w:r>
    </w:p>
    <w:p w14:paraId="3B28F446" w14:textId="77777777" w:rsidR="0037398A" w:rsidRPr="007528E0" w:rsidRDefault="0037398A" w:rsidP="0037398A">
      <w:pPr>
        <w:pStyle w:val="Prrafodelista"/>
        <w:spacing w:before="100" w:beforeAutospacing="1" w:after="100" w:afterAutospacing="1" w:line="240" w:lineRule="auto"/>
        <w:ind w:left="0"/>
        <w:rPr>
          <w:rFonts w:eastAsia="Calibri" w:cs="Arial"/>
          <w:b/>
          <w:szCs w:val="22"/>
        </w:rPr>
      </w:pPr>
      <w:r w:rsidRPr="007528E0">
        <w:rPr>
          <w:rFonts w:eastAsia="Calibri" w:cs="Arial"/>
          <w:b/>
          <w:szCs w:val="22"/>
        </w:rPr>
        <w:t>Cadmio</w:t>
      </w:r>
    </w:p>
    <w:p w14:paraId="2D2FEAA3" w14:textId="77777777" w:rsidR="0037398A" w:rsidRPr="007528E0" w:rsidRDefault="0037398A" w:rsidP="0037398A">
      <w:pPr>
        <w:pStyle w:val="Prrafodelista"/>
        <w:spacing w:before="100" w:beforeAutospacing="1" w:after="100" w:afterAutospacing="1" w:line="240" w:lineRule="auto"/>
        <w:rPr>
          <w:rFonts w:eastAsia="Calibri" w:cs="Arial"/>
          <w:b/>
          <w:szCs w:val="22"/>
        </w:rPr>
      </w:pPr>
    </w:p>
    <w:p w14:paraId="22493473" w14:textId="77777777" w:rsidR="0037398A" w:rsidRPr="007528E0" w:rsidRDefault="0037398A" w:rsidP="0037398A">
      <w:pPr>
        <w:pStyle w:val="Prrafodelista"/>
        <w:spacing w:before="100" w:beforeAutospacing="1" w:after="100" w:afterAutospacing="1" w:line="240" w:lineRule="auto"/>
        <w:ind w:left="0"/>
        <w:rPr>
          <w:rFonts w:eastAsia="Arial" w:cs="Arial"/>
          <w:szCs w:val="22"/>
          <w:lang w:val="es-ES_tradnl" w:eastAsia="ja-JP"/>
        </w:rPr>
      </w:pPr>
      <w:r w:rsidRPr="007528E0">
        <w:rPr>
          <w:rFonts w:eastAsia="Arial" w:cs="Arial"/>
          <w:szCs w:val="22"/>
          <w:lang w:val="es-ES_tradnl" w:eastAsia="ja-JP"/>
        </w:rPr>
        <w:t xml:space="preserve">El cadmio (Cd) es un elemento natural de la corteza terrestre, puro es un metal blando de color plateado. Generalmente se encuentra como mineral combinado con otros elementos tales como oxígeno (óxido de cadmio), cloro (cloruro de cadmio) o azufre (sulfato de cadmio, sulfuro de cadmio). El cromo se encuentra principalmente en tres estados de oxidación: metálico (Cr0), trivalente (Cr3+) y hexavalente (Cr6+). La exposición a este último puede ocurrir en ciertas fases de la producción en acero inoxidable: en la fundición de ferrocromo, en la fusión y laminado del acero inoxidable. Se ha observado una posible asociación entre este compuesto y el cáncer de nariz y senos nasales </w:t>
      </w:r>
      <w:r w:rsidRPr="007528E0">
        <w:rPr>
          <w:rFonts w:eastAsia="Arial" w:cs="Arial"/>
          <w:szCs w:val="22"/>
          <w:lang w:val="es-ES_tradnl" w:eastAsia="ja-JP"/>
        </w:rPr>
        <w:fldChar w:fldCharType="begin" w:fldLock="1"/>
      </w:r>
      <w:r w:rsidRPr="007528E0">
        <w:rPr>
          <w:rFonts w:eastAsia="Arial" w:cs="Arial"/>
          <w:szCs w:val="22"/>
          <w:lang w:val="es-ES_tradnl" w:eastAsia="ja-JP"/>
        </w:rPr>
        <w:instrText>ADDIN CSL_CITATION { "citationItems" : [ { "id" : "ITEM-1", "itemData" : { "author" : [ { "dropping-particle" : "", "family" : "Rodr\u00edguez C", "given" : "Sociedad Colombiana de Medicina del Trabajo.", "non-dropping-particle" : "", "parse-names" : false, "suffix" : "" } ], "id" : "ITEM-1", "issued" : { "date-parts" : [ [ "0" ] ] }, "title" : "Nuevos protocolos para el diagn\u00f3stico de enfermedades profesionales. Cap\u00edtulo: mercurio", "type" : "book" }, "uris" : [ "http://www.mendeley.com/documents/?uuid=ccdbb7b8-9a89-4cac-89e4-66524a3822ce" ] } ], "mendeley" : { "formattedCitation" : "(42)", "plainTextFormattedCitation" : "(42)", "previouslyFormattedCitation" : "(42)" }, "properties" : { "noteIndex" : 0 }, "schema" : "https://github.com/citation-style-language/schema/raw/master/csl-citation.json" }</w:instrText>
      </w:r>
      <w:r w:rsidRPr="007528E0">
        <w:rPr>
          <w:rFonts w:eastAsia="Arial" w:cs="Arial"/>
          <w:szCs w:val="22"/>
          <w:lang w:val="es-ES_tradnl" w:eastAsia="ja-JP"/>
        </w:rPr>
        <w:fldChar w:fldCharType="separate"/>
      </w:r>
      <w:r w:rsidRPr="007528E0">
        <w:rPr>
          <w:rFonts w:eastAsia="Arial" w:cs="Arial"/>
          <w:szCs w:val="22"/>
          <w:lang w:val="es-ES_tradnl" w:eastAsia="ja-JP"/>
        </w:rPr>
        <w:t>(42)</w:t>
      </w:r>
      <w:r w:rsidRPr="007528E0">
        <w:rPr>
          <w:rFonts w:eastAsia="Arial" w:cs="Arial"/>
          <w:szCs w:val="22"/>
          <w:lang w:val="es-ES_tradnl" w:eastAsia="ja-JP"/>
        </w:rPr>
        <w:fldChar w:fldCharType="end"/>
      </w:r>
      <w:r w:rsidRPr="007528E0">
        <w:rPr>
          <w:rFonts w:eastAsia="Arial" w:cs="Arial"/>
          <w:szCs w:val="22"/>
          <w:lang w:val="es-ES_tradnl" w:eastAsia="ja-JP"/>
        </w:rPr>
        <w:t xml:space="preserve">. El cadmio es liberado al suelo, al agua y al aire durante la extracción y refinación de metales no ferrosos, la manufactura y aplicación de abonos de fosfato, la combustión de combustibles fósiles, y la disposición e incineración de basura. El cadmio puede acumularse en organismos acuáticos y en cosechas agrícolas. </w:t>
      </w:r>
      <w:r w:rsidRPr="007528E0">
        <w:rPr>
          <w:rFonts w:eastAsia="Arial" w:cs="Arial"/>
          <w:szCs w:val="22"/>
          <w:lang w:val="es-ES_tradnl" w:eastAsia="ja-JP"/>
        </w:rPr>
        <w:cr/>
      </w:r>
      <w:r w:rsidRPr="007528E0">
        <w:rPr>
          <w:rFonts w:eastAsia="Arial" w:cs="Arial"/>
          <w:szCs w:val="22"/>
          <w:lang w:val="es-ES_tradnl" w:eastAsia="ja-JP"/>
        </w:rPr>
        <w:cr/>
        <w:t xml:space="preserve">Los principales usos y aplicaciones del cadmio o sus compuestos son como pigmento en </w:t>
      </w:r>
      <w:r w:rsidRPr="007528E0">
        <w:rPr>
          <w:rFonts w:eastAsia="Arial" w:cs="Arial"/>
          <w:szCs w:val="22"/>
          <w:lang w:val="es-ES_tradnl" w:eastAsia="ja-JP"/>
        </w:rPr>
        <w:lastRenderedPageBreak/>
        <w:t xml:space="preserve">pinturas, esmaltes, plásticos, textiles, vidrios, tintas de impresión, caucho, lacas, etc., en aleación con cobre, aluminio y plata, en la producción de pilas de cadmio-níquel, como estabilizador de termoplásticos, como el PVC, en fotografía, litografía y procesos de grabado, como “endurecedor” de ruedas y llantas de automóvil,  en fabricación de foto - conductores y células solares fotoeléctricas, en </w:t>
      </w:r>
      <w:proofErr w:type="spellStart"/>
      <w:r w:rsidRPr="007528E0">
        <w:rPr>
          <w:rFonts w:eastAsia="Arial" w:cs="Arial"/>
          <w:szCs w:val="22"/>
          <w:lang w:val="es-ES_tradnl" w:eastAsia="ja-JP"/>
        </w:rPr>
        <w:t>electroplatinado</w:t>
      </w:r>
      <w:proofErr w:type="spellEnd"/>
      <w:r w:rsidRPr="007528E0">
        <w:rPr>
          <w:rFonts w:eastAsia="Arial" w:cs="Arial"/>
          <w:szCs w:val="22"/>
          <w:lang w:val="es-ES_tradnl" w:eastAsia="ja-JP"/>
        </w:rPr>
        <w:t>, en fabricación de “controles” de reactores nucleares</w:t>
      </w:r>
      <w:r w:rsidRPr="007528E0">
        <w:rPr>
          <w:rFonts w:eastAsia="Arial" w:cs="Arial"/>
          <w:szCs w:val="22"/>
          <w:lang w:val="es-ES_tradnl" w:eastAsia="ja-JP"/>
        </w:rPr>
        <w:fldChar w:fldCharType="begin"/>
      </w:r>
      <w:r w:rsidRPr="007528E0">
        <w:rPr>
          <w:rFonts w:eastAsia="Arial" w:cs="Arial"/>
          <w:szCs w:val="22"/>
          <w:lang w:val="es-ES_tradnl" w:eastAsia="ja-JP"/>
        </w:rPr>
        <w:instrText xml:space="preserve"> ADDIN EN.CITE &lt;EndNote&gt;&lt;Cite&gt;&lt;Author&gt;Agency for Toxic Substances and Disease Registry&lt;/Author&gt;&lt;Year&gt;2013&lt;/Year&gt;&lt;RecNum&gt;48&lt;/RecNum&gt;&lt;record&gt;&lt;rec-number&gt;48&lt;/rec-number&gt;&lt;foreign-keys&gt;&lt;key app="EN" db-id="ddpe5f20rxpzfme5vd9vtzvts0derwa25asd"&gt;48&lt;/key&gt;&lt;/foreign-keys&gt;&lt;ref-type name="Government Document"&gt;46&lt;/ref-type&gt;&lt;contributors&gt;&lt;authors&gt;&lt;author&gt;Agency for Toxic Substances and Disease Registry, ATSDR&lt;/author&gt;&lt;/authors&gt;&lt;/contributors&gt;&lt;titles&gt;&lt;title&gt;Cadmium. CAS # 7440-43-9&lt;/title&gt;&lt;/titles&gt;&lt;dates&gt;&lt;year&gt;2013&lt;/year&gt;&lt;/dates&gt;&lt;urls&gt;&lt;related-urls&gt;&lt;url&gt;&lt;style face="normal" font="default" size="11"&gt;Consultado el 2 de mayo de 2014. Disponible en: &lt;/style&gt;&lt;style face="underline" font="default" size="11"&gt;&amp;lt;http://www.atsdr.cdc.gov/es/toxfaqs/es_tfacts5.pdf&amp;gt;&lt;/style&gt;&lt;style face="normal" font="default" size="11"&gt;&lt;/style&gt;&lt;/url&gt;&lt;/related-urls&gt;&lt;/urls&gt;&lt;/record&gt;&lt;/Cite&gt;&lt;/EndNote&gt;</w:instrText>
      </w:r>
      <w:r w:rsidRPr="007528E0">
        <w:rPr>
          <w:rFonts w:eastAsia="Arial" w:cs="Arial"/>
          <w:szCs w:val="22"/>
          <w:lang w:val="es-ES_tradnl" w:eastAsia="ja-JP"/>
        </w:rPr>
        <w:fldChar w:fldCharType="separate"/>
      </w:r>
      <w:r w:rsidRPr="007528E0">
        <w:rPr>
          <w:rFonts w:eastAsia="Arial" w:cs="Arial"/>
          <w:szCs w:val="22"/>
          <w:lang w:val="es-ES_tradnl" w:eastAsia="ja-JP"/>
        </w:rPr>
        <w:t>[75]</w:t>
      </w:r>
      <w:r w:rsidRPr="007528E0">
        <w:rPr>
          <w:rFonts w:eastAsia="Arial" w:cs="Arial"/>
          <w:szCs w:val="22"/>
          <w:lang w:val="es-ES_tradnl" w:eastAsia="ja-JP"/>
        </w:rPr>
        <w:fldChar w:fldCharType="end"/>
      </w:r>
      <w:r w:rsidRPr="007528E0">
        <w:rPr>
          <w:rFonts w:eastAsia="Arial" w:cs="Arial"/>
          <w:szCs w:val="22"/>
          <w:lang w:val="es-ES_tradnl" w:eastAsia="ja-JP"/>
        </w:rPr>
        <w:t>.   Según la IARC, el cromo metálico y los compuestos de cromo III son catalogados como no cancerígenos, mientras que los compuestos de cromo IV en el 2012 fueron clasificados en el grupo 1 (cancerígeno para los seres humanos)</w:t>
      </w:r>
      <w:r w:rsidRPr="007528E0">
        <w:rPr>
          <w:rFonts w:eastAsia="Arial" w:cs="Arial"/>
          <w:szCs w:val="22"/>
          <w:lang w:val="es-ES_tradnl" w:eastAsia="ja-JP"/>
        </w:rPr>
        <w:fldChar w:fldCharType="begin" w:fldLock="1"/>
      </w:r>
      <w:r w:rsidRPr="007528E0">
        <w:rPr>
          <w:rFonts w:eastAsia="Arial" w:cs="Arial"/>
          <w:szCs w:val="22"/>
          <w:lang w:val="es-ES_tradnl" w:eastAsia="ja-JP"/>
        </w:rPr>
        <w:instrText>ADDIN CSL_CITATION { "citationItems" : [ { "id" : "ITEM-1", "itemData" : { "author" : [ { "dropping-particle" : "", "family" : "(IARC)", "given" : "Internacional Agency for Research on Cancer", "non-dropping-particle" : "", "parse-names" : false, "suffix" : "" } ], "id" : "ITEM-1", "issued" : { "date-parts" : [ [ "2017" ] ] }, "title" : "Monographson the evaluation of carcinogenic risks to human", "type" : "report" }, "uris" : [ "http://www.mendeley.com/documents/?uuid=b4131331-e6dc-423b-8a8b-1e2600547e82" ] } ], "mendeley" : { "formattedCitation" : "(57)", "plainTextFormattedCitation" : "(57)", "previouslyFormattedCitation" : "(57)" }, "properties" : { "noteIndex" : 0 }, "schema" : "https://github.com/citation-style-language/schema/raw/master/csl-citation.json" }</w:instrText>
      </w:r>
      <w:r w:rsidRPr="007528E0">
        <w:rPr>
          <w:rFonts w:eastAsia="Arial" w:cs="Arial"/>
          <w:szCs w:val="22"/>
          <w:lang w:val="es-ES_tradnl" w:eastAsia="ja-JP"/>
        </w:rPr>
        <w:fldChar w:fldCharType="separate"/>
      </w:r>
      <w:r w:rsidRPr="007528E0">
        <w:rPr>
          <w:rFonts w:eastAsia="Arial" w:cs="Arial"/>
          <w:szCs w:val="22"/>
          <w:lang w:val="es-ES_tradnl" w:eastAsia="ja-JP"/>
        </w:rPr>
        <w:t>(57)</w:t>
      </w:r>
      <w:r w:rsidRPr="007528E0">
        <w:rPr>
          <w:rFonts w:eastAsia="Arial" w:cs="Arial"/>
          <w:szCs w:val="22"/>
          <w:lang w:val="es-ES_tradnl" w:eastAsia="ja-JP"/>
        </w:rPr>
        <w:fldChar w:fldCharType="end"/>
      </w:r>
      <w:r w:rsidRPr="007528E0">
        <w:rPr>
          <w:rFonts w:eastAsia="Arial" w:cs="Arial"/>
          <w:szCs w:val="22"/>
          <w:lang w:val="es-ES_tradnl" w:eastAsia="ja-JP"/>
        </w:rPr>
        <w:t xml:space="preserve"> </w:t>
      </w:r>
    </w:p>
    <w:p w14:paraId="6D6DF352" w14:textId="77777777" w:rsidR="0037398A" w:rsidRPr="007528E0" w:rsidRDefault="0037398A" w:rsidP="0037398A">
      <w:pPr>
        <w:pStyle w:val="Normal1"/>
        <w:spacing w:before="100" w:beforeAutospacing="1" w:after="100" w:afterAutospacing="1"/>
        <w:jc w:val="both"/>
        <w:rPr>
          <w:rFonts w:ascii="Arial" w:eastAsia="Arial" w:hAnsi="Arial" w:cs="Arial"/>
          <w:color w:val="auto"/>
          <w:sz w:val="22"/>
          <w:szCs w:val="22"/>
        </w:rPr>
      </w:pPr>
      <w:r w:rsidRPr="007528E0">
        <w:rPr>
          <w:rFonts w:ascii="Arial" w:eastAsia="Arial" w:hAnsi="Arial" w:cs="Arial"/>
          <w:color w:val="auto"/>
          <w:sz w:val="22"/>
          <w:szCs w:val="22"/>
        </w:rPr>
        <w:t>Los valores de referencia para muestras biológicas son tomados de los índices de exposición biológica (</w:t>
      </w:r>
      <w:proofErr w:type="spellStart"/>
      <w:r w:rsidRPr="007528E0">
        <w:rPr>
          <w:rFonts w:ascii="Arial" w:eastAsia="Arial" w:hAnsi="Arial" w:cs="Arial"/>
          <w:color w:val="auto"/>
          <w:sz w:val="22"/>
          <w:szCs w:val="22"/>
        </w:rPr>
        <w:t>Biological</w:t>
      </w:r>
      <w:proofErr w:type="spellEnd"/>
      <w:r w:rsidRPr="007528E0">
        <w:rPr>
          <w:rFonts w:ascii="Arial" w:eastAsia="Arial" w:hAnsi="Arial" w:cs="Arial"/>
          <w:color w:val="auto"/>
          <w:sz w:val="22"/>
          <w:szCs w:val="22"/>
        </w:rPr>
        <w:t xml:space="preserve"> </w:t>
      </w:r>
      <w:proofErr w:type="spellStart"/>
      <w:r w:rsidRPr="007528E0">
        <w:rPr>
          <w:rFonts w:ascii="Arial" w:eastAsia="Arial" w:hAnsi="Arial" w:cs="Arial"/>
          <w:color w:val="auto"/>
          <w:sz w:val="22"/>
          <w:szCs w:val="22"/>
        </w:rPr>
        <w:t>Exposure</w:t>
      </w:r>
      <w:proofErr w:type="spellEnd"/>
      <w:r w:rsidRPr="007528E0">
        <w:rPr>
          <w:rFonts w:ascii="Arial" w:eastAsia="Arial" w:hAnsi="Arial" w:cs="Arial"/>
          <w:color w:val="auto"/>
          <w:sz w:val="22"/>
          <w:szCs w:val="22"/>
        </w:rPr>
        <w:t xml:space="preserve"> </w:t>
      </w:r>
      <w:proofErr w:type="spellStart"/>
      <w:r w:rsidRPr="007528E0">
        <w:rPr>
          <w:rFonts w:ascii="Arial" w:eastAsia="Arial" w:hAnsi="Arial" w:cs="Arial"/>
          <w:color w:val="auto"/>
          <w:sz w:val="22"/>
          <w:szCs w:val="22"/>
        </w:rPr>
        <w:t>Indices</w:t>
      </w:r>
      <w:proofErr w:type="spellEnd"/>
      <w:r w:rsidRPr="007528E0">
        <w:rPr>
          <w:rFonts w:ascii="Arial" w:eastAsia="Arial" w:hAnsi="Arial" w:cs="Arial"/>
          <w:color w:val="auto"/>
          <w:sz w:val="22"/>
          <w:szCs w:val="22"/>
        </w:rPr>
        <w:t>-BEI) y los valores límite permisibles en el ambiente laboral de los Valores de umbral límite (</w:t>
      </w:r>
      <w:proofErr w:type="spellStart"/>
      <w:r w:rsidRPr="007528E0">
        <w:rPr>
          <w:rFonts w:ascii="Arial" w:eastAsia="Arial" w:hAnsi="Arial" w:cs="Arial"/>
          <w:color w:val="auto"/>
          <w:sz w:val="22"/>
          <w:szCs w:val="22"/>
        </w:rPr>
        <w:t>Threshold</w:t>
      </w:r>
      <w:proofErr w:type="spellEnd"/>
      <w:r w:rsidRPr="007528E0">
        <w:rPr>
          <w:rFonts w:ascii="Arial" w:eastAsia="Arial" w:hAnsi="Arial" w:cs="Arial"/>
          <w:color w:val="auto"/>
          <w:sz w:val="22"/>
          <w:szCs w:val="22"/>
        </w:rPr>
        <w:t xml:space="preserve"> </w:t>
      </w:r>
      <w:proofErr w:type="spellStart"/>
      <w:r w:rsidRPr="007528E0">
        <w:rPr>
          <w:rFonts w:ascii="Arial" w:eastAsia="Arial" w:hAnsi="Arial" w:cs="Arial"/>
          <w:color w:val="auto"/>
          <w:sz w:val="22"/>
          <w:szCs w:val="22"/>
        </w:rPr>
        <w:t>Limit</w:t>
      </w:r>
      <w:proofErr w:type="spellEnd"/>
      <w:r w:rsidRPr="007528E0">
        <w:rPr>
          <w:rFonts w:ascii="Arial" w:eastAsia="Arial" w:hAnsi="Arial" w:cs="Arial"/>
          <w:color w:val="auto"/>
          <w:sz w:val="22"/>
          <w:szCs w:val="22"/>
        </w:rPr>
        <w:t xml:space="preserve"> </w:t>
      </w:r>
      <w:proofErr w:type="spellStart"/>
      <w:r w:rsidRPr="007528E0">
        <w:rPr>
          <w:rFonts w:ascii="Arial" w:eastAsia="Arial" w:hAnsi="Arial" w:cs="Arial"/>
          <w:color w:val="auto"/>
          <w:sz w:val="22"/>
          <w:szCs w:val="22"/>
        </w:rPr>
        <w:t>Value</w:t>
      </w:r>
      <w:proofErr w:type="spellEnd"/>
      <w:r w:rsidRPr="007528E0">
        <w:rPr>
          <w:rFonts w:ascii="Arial" w:eastAsia="Arial" w:hAnsi="Arial" w:cs="Arial"/>
          <w:color w:val="auto"/>
          <w:sz w:val="22"/>
          <w:szCs w:val="22"/>
        </w:rPr>
        <w:t>-</w:t>
      </w:r>
      <w:proofErr w:type="gramStart"/>
      <w:r w:rsidRPr="007528E0">
        <w:rPr>
          <w:rFonts w:ascii="Arial" w:eastAsia="Arial" w:hAnsi="Arial" w:cs="Arial"/>
          <w:color w:val="auto"/>
          <w:sz w:val="22"/>
          <w:szCs w:val="22"/>
        </w:rPr>
        <w:t>TLV)(</w:t>
      </w:r>
      <w:proofErr w:type="gramEnd"/>
      <w:r w:rsidRPr="007528E0">
        <w:rPr>
          <w:rFonts w:ascii="Arial" w:eastAsia="Arial" w:hAnsi="Arial" w:cs="Arial"/>
          <w:color w:val="auto"/>
          <w:sz w:val="22"/>
          <w:szCs w:val="22"/>
        </w:rPr>
        <w:t>ver tabla 10).</w:t>
      </w:r>
    </w:p>
    <w:p w14:paraId="2E1C7EEF" w14:textId="77777777" w:rsidR="0037398A" w:rsidRPr="007528E0" w:rsidRDefault="0037398A" w:rsidP="0037398A">
      <w:pPr>
        <w:pStyle w:val="Descripcin"/>
        <w:spacing w:before="100" w:beforeAutospacing="1" w:after="100" w:afterAutospacing="1"/>
        <w:jc w:val="center"/>
        <w:rPr>
          <w:rFonts w:cs="Arial"/>
          <w:i w:val="0"/>
          <w:color w:val="auto"/>
          <w:sz w:val="22"/>
          <w:szCs w:val="22"/>
        </w:rPr>
      </w:pPr>
      <w:bookmarkStart w:id="24" w:name="_Toc505456256"/>
      <w:r w:rsidRPr="007528E0">
        <w:rPr>
          <w:rFonts w:cs="Arial"/>
          <w:b/>
          <w:color w:val="auto"/>
          <w:sz w:val="22"/>
          <w:szCs w:val="22"/>
        </w:rPr>
        <w:t xml:space="preserve">Tabla </w:t>
      </w:r>
      <w:r w:rsidRPr="007528E0">
        <w:rPr>
          <w:rFonts w:cs="Arial"/>
          <w:b/>
          <w:color w:val="auto"/>
          <w:sz w:val="22"/>
          <w:szCs w:val="22"/>
        </w:rPr>
        <w:fldChar w:fldCharType="begin"/>
      </w:r>
      <w:r w:rsidRPr="007528E0">
        <w:rPr>
          <w:rFonts w:cs="Arial"/>
          <w:b/>
          <w:color w:val="auto"/>
          <w:sz w:val="22"/>
          <w:szCs w:val="22"/>
        </w:rPr>
        <w:instrText xml:space="preserve"> SEQ Tabla \* ARABIC </w:instrText>
      </w:r>
      <w:r w:rsidRPr="007528E0">
        <w:rPr>
          <w:rFonts w:cs="Arial"/>
          <w:b/>
          <w:color w:val="auto"/>
          <w:sz w:val="22"/>
          <w:szCs w:val="22"/>
        </w:rPr>
        <w:fldChar w:fldCharType="separate"/>
      </w:r>
      <w:r w:rsidRPr="007528E0">
        <w:rPr>
          <w:rFonts w:cs="Arial"/>
          <w:b/>
          <w:noProof/>
          <w:color w:val="auto"/>
          <w:sz w:val="22"/>
          <w:szCs w:val="22"/>
        </w:rPr>
        <w:t>10</w:t>
      </w:r>
      <w:r w:rsidRPr="007528E0">
        <w:rPr>
          <w:rFonts w:cs="Arial"/>
          <w:b/>
          <w:color w:val="auto"/>
          <w:sz w:val="22"/>
          <w:szCs w:val="22"/>
        </w:rPr>
        <w:fldChar w:fldCharType="end"/>
      </w:r>
      <w:r w:rsidRPr="007528E0">
        <w:rPr>
          <w:rFonts w:cs="Arial"/>
          <w:b/>
          <w:color w:val="auto"/>
          <w:sz w:val="22"/>
          <w:szCs w:val="22"/>
        </w:rPr>
        <w:t>.</w:t>
      </w:r>
      <w:r w:rsidRPr="007528E0">
        <w:rPr>
          <w:rFonts w:cs="Arial"/>
          <w:color w:val="auto"/>
          <w:sz w:val="22"/>
          <w:szCs w:val="22"/>
        </w:rPr>
        <w:t xml:space="preserve"> Niveles de referencia para compuestos de cadmio en muestras biológicas.</w:t>
      </w:r>
      <w:bookmarkEnd w:id="2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2975"/>
        <w:gridCol w:w="6079"/>
      </w:tblGrid>
      <w:tr w:rsidR="007528E0" w:rsidRPr="007528E0" w14:paraId="3911D37A" w14:textId="77777777" w:rsidTr="007528E0">
        <w:tc>
          <w:tcPr>
            <w:tcW w:w="1643" w:type="pct"/>
          </w:tcPr>
          <w:p w14:paraId="163E7144" w14:textId="77777777" w:rsidR="0037398A" w:rsidRPr="007528E0" w:rsidRDefault="0037398A" w:rsidP="007528E0">
            <w:pPr>
              <w:pStyle w:val="Normal1"/>
              <w:spacing w:before="100" w:beforeAutospacing="1" w:after="100" w:afterAutospacing="1"/>
              <w:jc w:val="center"/>
              <w:rPr>
                <w:rFonts w:ascii="Arial" w:hAnsi="Arial" w:cs="Arial"/>
                <w:b/>
                <w:bCs/>
                <w:color w:val="auto"/>
                <w:sz w:val="20"/>
                <w:szCs w:val="20"/>
              </w:rPr>
            </w:pPr>
            <w:r w:rsidRPr="007528E0">
              <w:rPr>
                <w:rFonts w:ascii="Arial" w:hAnsi="Arial" w:cs="Arial"/>
                <w:b/>
                <w:bCs/>
                <w:color w:val="auto"/>
                <w:sz w:val="20"/>
                <w:szCs w:val="20"/>
              </w:rPr>
              <w:t>Matriz</w:t>
            </w:r>
          </w:p>
        </w:tc>
        <w:tc>
          <w:tcPr>
            <w:tcW w:w="3357" w:type="pct"/>
          </w:tcPr>
          <w:p w14:paraId="748BFA64" w14:textId="77777777" w:rsidR="0037398A" w:rsidRPr="007528E0" w:rsidRDefault="0037398A" w:rsidP="007528E0">
            <w:pPr>
              <w:pStyle w:val="Normal1"/>
              <w:spacing w:before="100" w:beforeAutospacing="1" w:after="100" w:afterAutospacing="1"/>
              <w:jc w:val="center"/>
              <w:rPr>
                <w:rFonts w:ascii="Arial" w:hAnsi="Arial" w:cs="Arial"/>
                <w:b/>
                <w:bCs/>
                <w:color w:val="auto"/>
                <w:sz w:val="20"/>
                <w:szCs w:val="20"/>
              </w:rPr>
            </w:pPr>
            <w:r w:rsidRPr="007528E0">
              <w:rPr>
                <w:rFonts w:ascii="Arial" w:hAnsi="Arial" w:cs="Arial"/>
                <w:b/>
                <w:bCs/>
                <w:color w:val="auto"/>
                <w:sz w:val="20"/>
                <w:szCs w:val="20"/>
              </w:rPr>
              <w:t>Límite biológico</w:t>
            </w:r>
          </w:p>
        </w:tc>
      </w:tr>
      <w:tr w:rsidR="007528E0" w:rsidRPr="007528E0" w14:paraId="3EEB9B88" w14:textId="77777777" w:rsidTr="007528E0">
        <w:tc>
          <w:tcPr>
            <w:tcW w:w="1643" w:type="pct"/>
          </w:tcPr>
          <w:p w14:paraId="7BEAC09D" w14:textId="77777777" w:rsidR="0037398A" w:rsidRPr="007528E0" w:rsidRDefault="0037398A" w:rsidP="007528E0">
            <w:pPr>
              <w:pStyle w:val="Normal1"/>
              <w:spacing w:before="100" w:beforeAutospacing="1" w:after="100" w:afterAutospacing="1"/>
              <w:jc w:val="center"/>
              <w:rPr>
                <w:rFonts w:ascii="Arial" w:eastAsia="Calibri" w:hAnsi="Arial" w:cs="Arial"/>
                <w:color w:val="auto"/>
                <w:sz w:val="20"/>
                <w:szCs w:val="20"/>
              </w:rPr>
            </w:pPr>
            <w:r w:rsidRPr="007528E0">
              <w:rPr>
                <w:rFonts w:ascii="Arial" w:eastAsia="Calibri" w:hAnsi="Arial" w:cs="Arial"/>
                <w:color w:val="auto"/>
                <w:sz w:val="20"/>
                <w:szCs w:val="20"/>
              </w:rPr>
              <w:t>Sangre</w:t>
            </w:r>
          </w:p>
        </w:tc>
        <w:tc>
          <w:tcPr>
            <w:tcW w:w="3357" w:type="pct"/>
          </w:tcPr>
          <w:p w14:paraId="77EC4A4E" w14:textId="77777777" w:rsidR="0037398A" w:rsidRPr="007528E0" w:rsidRDefault="0037398A" w:rsidP="007528E0">
            <w:pPr>
              <w:pStyle w:val="Normal1"/>
              <w:spacing w:before="100" w:beforeAutospacing="1" w:after="100" w:afterAutospacing="1"/>
              <w:rPr>
                <w:rFonts w:ascii="Arial" w:eastAsia="Calibri" w:hAnsi="Arial" w:cs="Arial"/>
                <w:color w:val="auto"/>
                <w:sz w:val="20"/>
                <w:szCs w:val="20"/>
              </w:rPr>
            </w:pPr>
            <w:r w:rsidRPr="007528E0">
              <w:rPr>
                <w:rFonts w:ascii="Arial" w:eastAsia="Calibri" w:hAnsi="Arial" w:cs="Arial"/>
                <w:color w:val="auto"/>
                <w:sz w:val="20"/>
                <w:szCs w:val="20"/>
              </w:rPr>
              <w:t>&lt; 5 µg / L de sangre total*</w:t>
            </w:r>
          </w:p>
        </w:tc>
      </w:tr>
      <w:tr w:rsidR="007528E0" w:rsidRPr="007528E0" w14:paraId="550CEAAB" w14:textId="77777777" w:rsidTr="007528E0">
        <w:tc>
          <w:tcPr>
            <w:tcW w:w="1643" w:type="pct"/>
          </w:tcPr>
          <w:p w14:paraId="6FBA7A5C" w14:textId="77777777" w:rsidR="0037398A" w:rsidRPr="007528E0" w:rsidRDefault="0037398A" w:rsidP="007528E0">
            <w:pPr>
              <w:pStyle w:val="Normal1"/>
              <w:spacing w:before="100" w:beforeAutospacing="1" w:after="100" w:afterAutospacing="1"/>
              <w:jc w:val="center"/>
              <w:rPr>
                <w:rFonts w:ascii="Arial" w:eastAsia="Calibri" w:hAnsi="Arial" w:cs="Arial"/>
                <w:color w:val="auto"/>
                <w:sz w:val="20"/>
                <w:szCs w:val="20"/>
              </w:rPr>
            </w:pPr>
            <w:r w:rsidRPr="007528E0">
              <w:rPr>
                <w:rFonts w:ascii="Arial" w:eastAsia="Calibri" w:hAnsi="Arial" w:cs="Arial"/>
                <w:color w:val="auto"/>
                <w:sz w:val="20"/>
                <w:szCs w:val="20"/>
              </w:rPr>
              <w:t>Orina</w:t>
            </w:r>
          </w:p>
        </w:tc>
        <w:tc>
          <w:tcPr>
            <w:tcW w:w="3357" w:type="pct"/>
          </w:tcPr>
          <w:p w14:paraId="5FF4FFF9" w14:textId="77777777" w:rsidR="0037398A" w:rsidRPr="007528E0" w:rsidRDefault="0037398A" w:rsidP="007528E0">
            <w:pPr>
              <w:pStyle w:val="Normal1"/>
              <w:spacing w:before="100" w:beforeAutospacing="1" w:after="100" w:afterAutospacing="1"/>
              <w:rPr>
                <w:rFonts w:ascii="Arial" w:eastAsia="Calibri" w:hAnsi="Arial" w:cs="Arial"/>
                <w:color w:val="auto"/>
                <w:sz w:val="20"/>
                <w:szCs w:val="20"/>
              </w:rPr>
            </w:pPr>
            <w:r w:rsidRPr="007528E0">
              <w:rPr>
                <w:rFonts w:ascii="Arial" w:eastAsia="Calibri" w:hAnsi="Arial" w:cs="Arial"/>
                <w:color w:val="auto"/>
                <w:sz w:val="20"/>
                <w:szCs w:val="20"/>
              </w:rPr>
              <w:t>&lt; 5 µg / g creatinina*</w:t>
            </w:r>
          </w:p>
        </w:tc>
      </w:tr>
      <w:tr w:rsidR="007528E0" w:rsidRPr="007528E0" w14:paraId="524F6DA5" w14:textId="77777777" w:rsidTr="007528E0">
        <w:tc>
          <w:tcPr>
            <w:tcW w:w="1643" w:type="pct"/>
          </w:tcPr>
          <w:p w14:paraId="6B937B95" w14:textId="77777777" w:rsidR="0037398A" w:rsidRPr="007528E0" w:rsidRDefault="0037398A" w:rsidP="007528E0">
            <w:pPr>
              <w:pStyle w:val="Normal1"/>
              <w:spacing w:before="100" w:beforeAutospacing="1" w:after="100" w:afterAutospacing="1"/>
              <w:jc w:val="center"/>
              <w:rPr>
                <w:rFonts w:ascii="Arial" w:eastAsia="Calibri" w:hAnsi="Arial" w:cs="Arial"/>
                <w:color w:val="auto"/>
                <w:sz w:val="20"/>
                <w:szCs w:val="20"/>
              </w:rPr>
            </w:pPr>
            <w:r w:rsidRPr="007528E0">
              <w:rPr>
                <w:rFonts w:ascii="Arial" w:eastAsia="Calibri" w:hAnsi="Arial" w:cs="Arial"/>
                <w:color w:val="auto"/>
                <w:sz w:val="20"/>
                <w:szCs w:val="20"/>
              </w:rPr>
              <w:t>En ambiente de trabajo</w:t>
            </w:r>
          </w:p>
        </w:tc>
        <w:tc>
          <w:tcPr>
            <w:tcW w:w="3357" w:type="pct"/>
          </w:tcPr>
          <w:p w14:paraId="13F8FEB0" w14:textId="77777777" w:rsidR="0037398A" w:rsidRPr="007528E0" w:rsidRDefault="0037398A" w:rsidP="007528E0">
            <w:pPr>
              <w:pStyle w:val="Prrafodelista"/>
              <w:spacing w:before="100" w:beforeAutospacing="1" w:after="100" w:afterAutospacing="1" w:line="240" w:lineRule="auto"/>
              <w:ind w:left="34"/>
              <w:rPr>
                <w:rFonts w:eastAsia="Calibri" w:cs="Arial"/>
                <w:sz w:val="20"/>
              </w:rPr>
            </w:pPr>
            <w:r w:rsidRPr="007528E0">
              <w:rPr>
                <w:rFonts w:eastAsia="Calibri" w:cs="Arial"/>
                <w:sz w:val="20"/>
              </w:rPr>
              <w:t>0,002 mg/ m3 para 8 h/ día / 5 días semana**</w:t>
            </w:r>
          </w:p>
        </w:tc>
      </w:tr>
    </w:tbl>
    <w:p w14:paraId="4C2E2643" w14:textId="77777777" w:rsidR="0037398A" w:rsidRPr="007528E0" w:rsidRDefault="0037398A" w:rsidP="0037398A">
      <w:pPr>
        <w:spacing w:before="100" w:beforeAutospacing="1" w:after="100" w:afterAutospacing="1"/>
        <w:ind w:left="54"/>
        <w:jc w:val="center"/>
        <w:rPr>
          <w:rFonts w:cs="Arial"/>
          <w:sz w:val="16"/>
          <w:szCs w:val="16"/>
          <w:shd w:val="clear" w:color="auto" w:fill="FFFFFF"/>
          <w:lang w:val="en-US"/>
        </w:rPr>
      </w:pPr>
      <w:r w:rsidRPr="007528E0">
        <w:rPr>
          <w:rFonts w:cs="Arial"/>
          <w:sz w:val="16"/>
          <w:szCs w:val="16"/>
          <w:shd w:val="clear" w:color="auto" w:fill="FFFFFF"/>
          <w:lang w:val="en-US"/>
        </w:rPr>
        <w:t xml:space="preserve">* BEI ** Threshold Level Value TLV </w:t>
      </w:r>
    </w:p>
    <w:p w14:paraId="217EB195" w14:textId="77777777" w:rsidR="0037398A" w:rsidRPr="007528E0" w:rsidRDefault="0037398A" w:rsidP="0037398A">
      <w:pPr>
        <w:spacing w:before="100" w:beforeAutospacing="1" w:after="100" w:afterAutospacing="1"/>
        <w:ind w:left="54"/>
        <w:jc w:val="center"/>
        <w:rPr>
          <w:rFonts w:cs="Arial"/>
          <w:sz w:val="16"/>
          <w:szCs w:val="16"/>
          <w:shd w:val="clear" w:color="auto" w:fill="FFFFFF"/>
          <w:lang w:val="en-US"/>
        </w:rPr>
      </w:pPr>
      <w:r w:rsidRPr="007528E0">
        <w:rPr>
          <w:rFonts w:cs="Arial"/>
          <w:sz w:val="16"/>
          <w:szCs w:val="16"/>
          <w:shd w:val="clear" w:color="auto" w:fill="FFFFFF"/>
          <w:lang w:val="en-US"/>
        </w:rPr>
        <w:t>Fuente</w:t>
      </w:r>
      <w:r w:rsidRPr="007528E0">
        <w:rPr>
          <w:rFonts w:eastAsia="Calibri" w:cs="Arial"/>
          <w:sz w:val="16"/>
          <w:szCs w:val="16"/>
          <w:lang w:val="en-US"/>
        </w:rPr>
        <w:t>:</w:t>
      </w:r>
      <w:r w:rsidRPr="007528E0">
        <w:rPr>
          <w:rFonts w:cs="Arial"/>
          <w:sz w:val="16"/>
          <w:szCs w:val="16"/>
          <w:shd w:val="clear" w:color="auto" w:fill="FFFFFF"/>
          <w:lang w:val="en-US"/>
        </w:rPr>
        <w:t xml:space="preserve"> </w:t>
      </w:r>
      <w:r w:rsidRPr="007528E0">
        <w:rPr>
          <w:rFonts w:cs="Arial"/>
          <w:sz w:val="16"/>
          <w:szCs w:val="16"/>
          <w:shd w:val="clear" w:color="auto" w:fill="FFFFFF"/>
        </w:rPr>
        <w:fldChar w:fldCharType="begin" w:fldLock="1"/>
      </w:r>
      <w:r w:rsidRPr="007528E0">
        <w:rPr>
          <w:rFonts w:cs="Arial"/>
          <w:sz w:val="16"/>
          <w:szCs w:val="16"/>
          <w:shd w:val="clear" w:color="auto" w:fill="FFFFFF"/>
          <w:lang w:val="en-US"/>
        </w:rPr>
        <w:instrText>ADDIN CSL_CITATION { "citationItems" : [ { "id" : "ITEM-1", "itemData" : { "author" : [ { "dropping-particle" : "", "family" : "Ram\u00edrez A", "given" : "", "non-dropping-particle" : "", "parse-names" : false, "suffix" : "" } ], "container-title" : "Rev. Fac. Med", "id" : "ITEM-1", "issue" : "46", "issued" : { "date-parts" : [ [ "2008" ] ] }, "page" : "51", "title" : "Mercury occupational poisoning", "type" : "article-journal", "volume" : "69 (1)" }, "uris" : [ "http://www.mendeley.com/documents/?uuid=ec5eba17-901c-4da0-afc7-3feffeb03515" ] } ], "mendeley" : { "formattedCitation" : "(58)", "plainTextFormattedCitation" : "(58)", "previouslyFormattedCitation" : "(58)" }, "properties" : { "noteIndex" : 0 }, "schema" : "https://github.com/citation-style-language/schema/raw/master/csl-citation.json" }</w:instrText>
      </w:r>
      <w:r w:rsidRPr="007528E0">
        <w:rPr>
          <w:rFonts w:cs="Arial"/>
          <w:sz w:val="16"/>
          <w:szCs w:val="16"/>
          <w:shd w:val="clear" w:color="auto" w:fill="FFFFFF"/>
        </w:rPr>
        <w:fldChar w:fldCharType="separate"/>
      </w:r>
      <w:r w:rsidRPr="007528E0">
        <w:rPr>
          <w:rFonts w:cs="Arial"/>
          <w:noProof/>
          <w:sz w:val="16"/>
          <w:szCs w:val="16"/>
          <w:shd w:val="clear" w:color="auto" w:fill="FFFFFF"/>
          <w:lang w:val="en-US"/>
        </w:rPr>
        <w:t>(58)</w:t>
      </w:r>
      <w:r w:rsidRPr="007528E0">
        <w:rPr>
          <w:rFonts w:cs="Arial"/>
          <w:sz w:val="16"/>
          <w:szCs w:val="16"/>
          <w:shd w:val="clear" w:color="auto" w:fill="FFFFFF"/>
        </w:rPr>
        <w:fldChar w:fldCharType="end"/>
      </w:r>
      <w:r w:rsidRPr="007528E0">
        <w:rPr>
          <w:rFonts w:cs="Arial"/>
          <w:sz w:val="16"/>
          <w:szCs w:val="16"/>
          <w:shd w:val="clear" w:color="auto" w:fill="FFFFFF"/>
          <w:lang w:val="en-US"/>
        </w:rPr>
        <w:t xml:space="preserve"> </w:t>
      </w:r>
    </w:p>
    <w:p w14:paraId="146F616C" w14:textId="77777777" w:rsidR="0037398A" w:rsidRPr="007528E0" w:rsidRDefault="0037398A" w:rsidP="0037398A">
      <w:pPr>
        <w:pStyle w:val="Normal1"/>
        <w:spacing w:before="100" w:beforeAutospacing="1" w:after="100" w:afterAutospacing="1"/>
        <w:jc w:val="both"/>
        <w:rPr>
          <w:rFonts w:ascii="Arial" w:eastAsia="Calibri" w:hAnsi="Arial" w:cs="Arial"/>
          <w:b/>
          <w:color w:val="auto"/>
          <w:sz w:val="22"/>
          <w:szCs w:val="22"/>
          <w:u w:val="single"/>
        </w:rPr>
      </w:pPr>
      <w:r w:rsidRPr="007528E0">
        <w:rPr>
          <w:rFonts w:ascii="Arial" w:eastAsia="Calibri" w:hAnsi="Arial" w:cs="Arial"/>
          <w:b/>
          <w:color w:val="auto"/>
          <w:sz w:val="22"/>
          <w:szCs w:val="22"/>
          <w:u w:val="single"/>
        </w:rPr>
        <w:t>Manifestaciones clínicas</w:t>
      </w:r>
    </w:p>
    <w:p w14:paraId="0FF919DE" w14:textId="77777777" w:rsidR="0037398A" w:rsidRPr="007528E0" w:rsidRDefault="0037398A" w:rsidP="0037398A">
      <w:pPr>
        <w:pStyle w:val="Prrafodelista"/>
        <w:numPr>
          <w:ilvl w:val="0"/>
          <w:numId w:val="11"/>
        </w:numPr>
        <w:spacing w:before="100" w:beforeAutospacing="1" w:after="100" w:afterAutospacing="1" w:line="240" w:lineRule="auto"/>
        <w:rPr>
          <w:rFonts w:eastAsia="Calibri" w:cs="Arial"/>
          <w:szCs w:val="22"/>
        </w:rPr>
      </w:pPr>
      <w:r w:rsidRPr="007528E0">
        <w:rPr>
          <w:rFonts w:eastAsia="Calibri" w:cs="Arial"/>
          <w:szCs w:val="22"/>
        </w:rPr>
        <w:t>Intoxicación aguda: la absorción por vía digestiva ocasiona náuseas, vómito, diarrea y dolor abdominal. La absorción por vía respiratoria puede producir desde un cuadro de hipertermia (fiebre de los metales) hasta una neumonitis química y un edema agudo de pulmón, que incluso puede ser mortal.</w:t>
      </w:r>
    </w:p>
    <w:p w14:paraId="626224E0" w14:textId="77777777" w:rsidR="0037398A" w:rsidRPr="007528E0" w:rsidRDefault="0037398A" w:rsidP="0037398A">
      <w:pPr>
        <w:numPr>
          <w:ilvl w:val="0"/>
          <w:numId w:val="11"/>
        </w:numPr>
        <w:spacing w:before="100" w:beforeAutospacing="1" w:after="100" w:afterAutospacing="1"/>
        <w:rPr>
          <w:rFonts w:cs="Arial"/>
          <w:sz w:val="22"/>
          <w:szCs w:val="22"/>
          <w:lang w:val="es-CO"/>
        </w:rPr>
      </w:pPr>
      <w:r w:rsidRPr="007528E0">
        <w:rPr>
          <w:rFonts w:eastAsia="Calibri" w:cs="Arial"/>
          <w:sz w:val="22"/>
          <w:szCs w:val="22"/>
          <w:lang w:val="es-CO"/>
        </w:rPr>
        <w:t>Intoxicación crónica: puede ocasionar acumulación del metal en huesos y articulaciones causando dolor, también puede producir una pigmentación amarilla del esmalte. Además se presentan alteraciones respiratorias en forma de rinitis, anosmia, bronquitis y enfisema. Se considera al cadmio como un cancerígeno de pulmón y de próstata</w:t>
      </w:r>
      <w:r w:rsidRPr="007528E0">
        <w:rPr>
          <w:rFonts w:eastAsia="Calibri" w:cs="Arial"/>
          <w:sz w:val="22"/>
          <w:szCs w:val="22"/>
          <w:lang w:val="es-CO"/>
        </w:rPr>
        <w:fldChar w:fldCharType="begin" w:fldLock="1"/>
      </w:r>
      <w:r w:rsidRPr="007528E0">
        <w:rPr>
          <w:rFonts w:eastAsia="Calibri" w:cs="Arial"/>
          <w:sz w:val="22"/>
          <w:szCs w:val="22"/>
          <w:lang w:val="es-CO"/>
        </w:rPr>
        <w:instrText>ADDIN CSL_CITATION { "citationItems" : [ { "id" : "ITEM-1", "itemData" : { "author" : [ { "dropping-particle" : "", "family" : "Aristiz\u00e1bal, H.J., A.L. Pe\u00f1a", "given" : "et al.", "non-dropping-particle" : "", "parse-names" : false, "suffix" : "" } ], "id" : "ITEM-1", "issued" : { "date-parts" : [ [ "0" ] ] }, "title" : "Diagn\u00f3stico cl\u00ednico del paciente intoxicado, in Toxicolog\u00eda cl\u00ednica", "type" : "book" }, "uris" : [ "http://www.mendeley.com/documents/?uuid=1bb4ec25-6eb8-44f7-95b0-a44d560158ae" ] } ], "mendeley" : { "formattedCitation" : "(5)", "plainTextFormattedCitation" : "(5)", "previouslyFormattedCitation" : "(5)" }, "properties" : { "noteIndex" : 0 }, "schema" : "https://github.com/citation-style-language/schema/raw/master/csl-citation.json" }</w:instrText>
      </w:r>
      <w:r w:rsidRPr="007528E0">
        <w:rPr>
          <w:rFonts w:eastAsia="Calibri" w:cs="Arial"/>
          <w:sz w:val="22"/>
          <w:szCs w:val="22"/>
          <w:lang w:val="es-CO"/>
        </w:rPr>
        <w:fldChar w:fldCharType="separate"/>
      </w:r>
      <w:r w:rsidRPr="007528E0">
        <w:rPr>
          <w:rFonts w:eastAsia="Calibri" w:cs="Arial"/>
          <w:noProof/>
          <w:sz w:val="22"/>
          <w:szCs w:val="22"/>
          <w:lang w:val="es-CO"/>
        </w:rPr>
        <w:t>(5)</w:t>
      </w:r>
      <w:r w:rsidRPr="007528E0">
        <w:rPr>
          <w:rFonts w:eastAsia="Calibri" w:cs="Arial"/>
          <w:sz w:val="22"/>
          <w:szCs w:val="22"/>
          <w:lang w:val="es-CO"/>
        </w:rPr>
        <w:fldChar w:fldCharType="end"/>
      </w:r>
      <w:r w:rsidRPr="007528E0">
        <w:rPr>
          <w:rFonts w:cs="Arial"/>
          <w:sz w:val="22"/>
          <w:szCs w:val="22"/>
          <w:lang w:val="es-CO"/>
        </w:rPr>
        <w:t>.</w:t>
      </w:r>
    </w:p>
    <w:p w14:paraId="6A2D8D4C" w14:textId="77777777" w:rsidR="0037398A" w:rsidRPr="007528E0" w:rsidRDefault="0037398A" w:rsidP="0037398A">
      <w:pPr>
        <w:pStyle w:val="Normal1"/>
        <w:spacing w:before="100" w:beforeAutospacing="1" w:after="100" w:afterAutospacing="1"/>
        <w:jc w:val="both"/>
        <w:rPr>
          <w:rFonts w:ascii="Arial" w:eastAsia="Calibri" w:hAnsi="Arial" w:cs="Arial"/>
          <w:b/>
          <w:color w:val="auto"/>
          <w:sz w:val="22"/>
          <w:szCs w:val="22"/>
          <w:u w:val="single"/>
        </w:rPr>
      </w:pPr>
      <w:r w:rsidRPr="007528E0">
        <w:rPr>
          <w:rFonts w:ascii="Arial" w:eastAsia="Calibri" w:hAnsi="Arial" w:cs="Arial"/>
          <w:b/>
          <w:color w:val="auto"/>
          <w:sz w:val="22"/>
          <w:szCs w:val="22"/>
          <w:highlight w:val="white"/>
          <w:u w:val="single"/>
        </w:rPr>
        <w:t>Toma de muestras biológicas</w:t>
      </w:r>
    </w:p>
    <w:p w14:paraId="70929A56" w14:textId="77777777" w:rsidR="0037398A" w:rsidRPr="007528E0" w:rsidRDefault="0037398A" w:rsidP="0037398A">
      <w:pPr>
        <w:pStyle w:val="Normal1"/>
        <w:spacing w:before="100" w:beforeAutospacing="1" w:after="100" w:afterAutospacing="1"/>
        <w:jc w:val="both"/>
        <w:rPr>
          <w:rFonts w:ascii="Arial" w:eastAsia="Calibri" w:hAnsi="Arial" w:cs="Arial"/>
          <w:color w:val="auto"/>
          <w:sz w:val="22"/>
          <w:szCs w:val="22"/>
        </w:rPr>
      </w:pPr>
      <w:r w:rsidRPr="007528E0">
        <w:rPr>
          <w:rFonts w:ascii="Arial" w:eastAsia="Calibri" w:hAnsi="Arial" w:cs="Arial"/>
          <w:color w:val="auto"/>
          <w:sz w:val="22"/>
          <w:szCs w:val="22"/>
        </w:rPr>
        <w:t xml:space="preserve">En la </w:t>
      </w:r>
      <w:r w:rsidRPr="007528E0">
        <w:rPr>
          <w:rFonts w:ascii="Arial" w:eastAsia="Calibri" w:hAnsi="Arial" w:cs="Arial"/>
          <w:bCs/>
          <w:color w:val="auto"/>
          <w:sz w:val="22"/>
          <w:szCs w:val="22"/>
        </w:rPr>
        <w:t xml:space="preserve">tabla 11 </w:t>
      </w:r>
      <w:r w:rsidRPr="007528E0">
        <w:rPr>
          <w:rFonts w:ascii="Arial" w:eastAsia="Calibri" w:hAnsi="Arial" w:cs="Arial"/>
          <w:color w:val="auto"/>
          <w:sz w:val="22"/>
          <w:szCs w:val="22"/>
        </w:rPr>
        <w:t xml:space="preserve">se resumen las condiciones de recolección, preservación y almacenamiento de muestras en sangre y agua. </w:t>
      </w:r>
    </w:p>
    <w:p w14:paraId="4337CD81" w14:textId="77777777" w:rsidR="0037398A" w:rsidRPr="007528E0" w:rsidRDefault="0037398A" w:rsidP="0037398A">
      <w:pPr>
        <w:pStyle w:val="Descripcin"/>
        <w:keepNext/>
        <w:spacing w:before="100" w:beforeAutospacing="1" w:after="100" w:afterAutospacing="1"/>
        <w:jc w:val="center"/>
        <w:rPr>
          <w:rFonts w:cs="Arial"/>
          <w:color w:val="auto"/>
          <w:sz w:val="22"/>
          <w:szCs w:val="22"/>
        </w:rPr>
      </w:pPr>
      <w:bookmarkStart w:id="25" w:name="_Toc505456257"/>
      <w:r w:rsidRPr="007528E0">
        <w:rPr>
          <w:rFonts w:cs="Arial"/>
          <w:b/>
          <w:color w:val="auto"/>
          <w:sz w:val="22"/>
          <w:szCs w:val="22"/>
        </w:rPr>
        <w:lastRenderedPageBreak/>
        <w:t xml:space="preserve">Tabla </w:t>
      </w:r>
      <w:r w:rsidRPr="007528E0">
        <w:rPr>
          <w:rFonts w:cs="Arial"/>
          <w:b/>
          <w:color w:val="auto"/>
          <w:sz w:val="22"/>
          <w:szCs w:val="22"/>
        </w:rPr>
        <w:fldChar w:fldCharType="begin"/>
      </w:r>
      <w:r w:rsidRPr="007528E0">
        <w:rPr>
          <w:rFonts w:cs="Arial"/>
          <w:b/>
          <w:color w:val="auto"/>
          <w:sz w:val="22"/>
          <w:szCs w:val="22"/>
        </w:rPr>
        <w:instrText xml:space="preserve"> SEQ Tabla \* ARABIC </w:instrText>
      </w:r>
      <w:r w:rsidRPr="007528E0">
        <w:rPr>
          <w:rFonts w:cs="Arial"/>
          <w:b/>
          <w:color w:val="auto"/>
          <w:sz w:val="22"/>
          <w:szCs w:val="22"/>
        </w:rPr>
        <w:fldChar w:fldCharType="separate"/>
      </w:r>
      <w:r w:rsidRPr="007528E0">
        <w:rPr>
          <w:rFonts w:cs="Arial"/>
          <w:b/>
          <w:noProof/>
          <w:color w:val="auto"/>
          <w:sz w:val="22"/>
          <w:szCs w:val="22"/>
        </w:rPr>
        <w:t>11</w:t>
      </w:r>
      <w:r w:rsidRPr="007528E0">
        <w:rPr>
          <w:rFonts w:cs="Arial"/>
          <w:b/>
          <w:color w:val="auto"/>
          <w:sz w:val="22"/>
          <w:szCs w:val="22"/>
        </w:rPr>
        <w:fldChar w:fldCharType="end"/>
      </w:r>
      <w:r w:rsidRPr="007528E0">
        <w:rPr>
          <w:rFonts w:cs="Arial"/>
          <w:color w:val="auto"/>
          <w:sz w:val="22"/>
          <w:szCs w:val="22"/>
        </w:rPr>
        <w:t>. Procesos de toma en muestras biológicas y ambientales para cadmio</w:t>
      </w:r>
      <w:bookmarkEnd w:id="2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2552"/>
        <w:gridCol w:w="4961"/>
      </w:tblGrid>
      <w:tr w:rsidR="007528E0" w:rsidRPr="007528E0" w14:paraId="53BD91DB" w14:textId="77777777" w:rsidTr="007528E0">
        <w:tc>
          <w:tcPr>
            <w:tcW w:w="1242" w:type="dxa"/>
            <w:shd w:val="clear" w:color="auto" w:fill="auto"/>
          </w:tcPr>
          <w:p w14:paraId="4ED395DE" w14:textId="77777777" w:rsidR="0037398A" w:rsidRPr="007528E0" w:rsidRDefault="0037398A" w:rsidP="007528E0">
            <w:pPr>
              <w:pStyle w:val="Normal1"/>
              <w:spacing w:before="100" w:beforeAutospacing="1" w:after="100" w:afterAutospacing="1"/>
              <w:jc w:val="center"/>
              <w:rPr>
                <w:rFonts w:ascii="Arial" w:hAnsi="Arial" w:cs="Arial"/>
                <w:color w:val="auto"/>
                <w:sz w:val="20"/>
                <w:szCs w:val="20"/>
              </w:rPr>
            </w:pPr>
            <w:r w:rsidRPr="007528E0">
              <w:rPr>
                <w:rFonts w:ascii="Arial" w:hAnsi="Arial" w:cs="Arial"/>
                <w:color w:val="auto"/>
                <w:sz w:val="20"/>
                <w:szCs w:val="20"/>
              </w:rPr>
              <w:t>Matriz</w:t>
            </w:r>
          </w:p>
        </w:tc>
        <w:tc>
          <w:tcPr>
            <w:tcW w:w="2552" w:type="dxa"/>
            <w:shd w:val="clear" w:color="auto" w:fill="auto"/>
          </w:tcPr>
          <w:p w14:paraId="262954D8" w14:textId="77777777" w:rsidR="0037398A" w:rsidRPr="007528E0" w:rsidRDefault="0037398A" w:rsidP="007528E0">
            <w:pPr>
              <w:pStyle w:val="Normal1"/>
              <w:spacing w:before="100" w:beforeAutospacing="1" w:after="100" w:afterAutospacing="1"/>
              <w:jc w:val="center"/>
              <w:rPr>
                <w:rFonts w:ascii="Arial" w:hAnsi="Arial" w:cs="Arial"/>
                <w:color w:val="auto"/>
                <w:sz w:val="20"/>
                <w:szCs w:val="20"/>
              </w:rPr>
            </w:pPr>
            <w:r w:rsidRPr="007528E0">
              <w:rPr>
                <w:rFonts w:ascii="Arial" w:hAnsi="Arial" w:cs="Arial"/>
                <w:color w:val="auto"/>
                <w:sz w:val="20"/>
                <w:szCs w:val="20"/>
              </w:rPr>
              <w:t>Análisis a realizar</w:t>
            </w:r>
          </w:p>
        </w:tc>
        <w:tc>
          <w:tcPr>
            <w:tcW w:w="4961" w:type="dxa"/>
            <w:shd w:val="clear" w:color="auto" w:fill="auto"/>
          </w:tcPr>
          <w:p w14:paraId="1AA8AB3A" w14:textId="77777777" w:rsidR="0037398A" w:rsidRPr="007528E0" w:rsidRDefault="0037398A" w:rsidP="007528E0">
            <w:pPr>
              <w:pStyle w:val="Normal1"/>
              <w:spacing w:before="100" w:beforeAutospacing="1" w:after="100" w:afterAutospacing="1"/>
              <w:jc w:val="center"/>
              <w:rPr>
                <w:rFonts w:ascii="Arial" w:hAnsi="Arial" w:cs="Arial"/>
                <w:color w:val="auto"/>
                <w:sz w:val="20"/>
                <w:szCs w:val="20"/>
              </w:rPr>
            </w:pPr>
            <w:r w:rsidRPr="007528E0">
              <w:rPr>
                <w:rFonts w:ascii="Arial" w:hAnsi="Arial" w:cs="Arial"/>
                <w:color w:val="auto"/>
                <w:sz w:val="20"/>
                <w:szCs w:val="20"/>
              </w:rPr>
              <w:t>Muestra</w:t>
            </w:r>
          </w:p>
        </w:tc>
      </w:tr>
      <w:tr w:rsidR="007528E0" w:rsidRPr="007528E0" w14:paraId="077AB77A" w14:textId="77777777" w:rsidTr="007528E0">
        <w:tc>
          <w:tcPr>
            <w:tcW w:w="1242" w:type="dxa"/>
          </w:tcPr>
          <w:p w14:paraId="2A916AD5" w14:textId="77777777" w:rsidR="0037398A" w:rsidRPr="007528E0" w:rsidRDefault="0037398A" w:rsidP="007528E0">
            <w:pPr>
              <w:pStyle w:val="Normal1"/>
              <w:spacing w:before="100" w:beforeAutospacing="1" w:after="100" w:afterAutospacing="1"/>
              <w:jc w:val="both"/>
              <w:rPr>
                <w:rFonts w:ascii="Arial" w:hAnsi="Arial" w:cs="Arial"/>
                <w:color w:val="auto"/>
                <w:sz w:val="20"/>
                <w:szCs w:val="20"/>
              </w:rPr>
            </w:pPr>
            <w:r w:rsidRPr="007528E0">
              <w:rPr>
                <w:rFonts w:ascii="Arial" w:hAnsi="Arial" w:cs="Arial"/>
                <w:color w:val="auto"/>
                <w:sz w:val="20"/>
                <w:szCs w:val="20"/>
              </w:rPr>
              <w:t>Sangre</w:t>
            </w:r>
          </w:p>
        </w:tc>
        <w:tc>
          <w:tcPr>
            <w:tcW w:w="2552" w:type="dxa"/>
          </w:tcPr>
          <w:p w14:paraId="27BC32EA" w14:textId="77777777" w:rsidR="0037398A" w:rsidRPr="007528E0" w:rsidRDefault="0037398A" w:rsidP="007528E0">
            <w:pPr>
              <w:pStyle w:val="Normal1"/>
              <w:spacing w:before="100" w:beforeAutospacing="1" w:after="100" w:afterAutospacing="1"/>
              <w:jc w:val="both"/>
              <w:rPr>
                <w:rFonts w:ascii="Arial" w:hAnsi="Arial" w:cs="Arial"/>
                <w:color w:val="auto"/>
                <w:sz w:val="20"/>
                <w:szCs w:val="20"/>
              </w:rPr>
            </w:pPr>
            <w:r w:rsidRPr="007528E0">
              <w:rPr>
                <w:rFonts w:ascii="Arial" w:hAnsi="Arial" w:cs="Arial"/>
                <w:color w:val="auto"/>
                <w:sz w:val="20"/>
                <w:szCs w:val="20"/>
              </w:rPr>
              <w:t xml:space="preserve">Determinación de cadmio en sangre por espectrofotometría de absorción atómica – horno de grafito </w:t>
            </w:r>
          </w:p>
        </w:tc>
        <w:tc>
          <w:tcPr>
            <w:tcW w:w="4961" w:type="dxa"/>
          </w:tcPr>
          <w:p w14:paraId="79FA040F" w14:textId="77777777" w:rsidR="0037398A" w:rsidRPr="007528E0" w:rsidRDefault="0037398A" w:rsidP="007528E0">
            <w:pPr>
              <w:pStyle w:val="Normal1"/>
              <w:spacing w:before="100" w:beforeAutospacing="1" w:after="100" w:afterAutospacing="1"/>
              <w:jc w:val="both"/>
              <w:rPr>
                <w:rFonts w:ascii="Arial" w:hAnsi="Arial" w:cs="Arial"/>
                <w:color w:val="auto"/>
                <w:sz w:val="20"/>
                <w:szCs w:val="20"/>
              </w:rPr>
            </w:pPr>
            <w:r w:rsidRPr="007528E0">
              <w:rPr>
                <w:rFonts w:ascii="Arial" w:hAnsi="Arial" w:cs="Arial"/>
                <w:color w:val="auto"/>
                <w:sz w:val="20"/>
                <w:szCs w:val="20"/>
              </w:rPr>
              <w:t xml:space="preserve">En tubo al vacío con heparina o EDTA y refrigerado (2 a 6 </w:t>
            </w:r>
            <w:proofErr w:type="spellStart"/>
            <w:r w:rsidRPr="007528E0">
              <w:rPr>
                <w:rFonts w:ascii="Arial" w:hAnsi="Arial" w:cs="Arial"/>
                <w:color w:val="auto"/>
                <w:sz w:val="20"/>
                <w:szCs w:val="20"/>
              </w:rPr>
              <w:t>ºC</w:t>
            </w:r>
            <w:proofErr w:type="spellEnd"/>
            <w:r w:rsidRPr="007528E0">
              <w:rPr>
                <w:rFonts w:ascii="Arial" w:hAnsi="Arial" w:cs="Arial"/>
                <w:color w:val="auto"/>
                <w:sz w:val="20"/>
                <w:szCs w:val="20"/>
              </w:rPr>
              <w:t>). Volumen requerido mínimo de 5 ml.</w:t>
            </w:r>
          </w:p>
        </w:tc>
      </w:tr>
      <w:tr w:rsidR="007528E0" w:rsidRPr="007528E0" w14:paraId="62CCB343" w14:textId="77777777" w:rsidTr="007528E0">
        <w:tc>
          <w:tcPr>
            <w:tcW w:w="1242" w:type="dxa"/>
          </w:tcPr>
          <w:p w14:paraId="09DD78E6" w14:textId="77777777" w:rsidR="0037398A" w:rsidRPr="007528E0" w:rsidRDefault="0037398A" w:rsidP="007528E0">
            <w:pPr>
              <w:pStyle w:val="Normal1"/>
              <w:spacing w:before="100" w:beforeAutospacing="1" w:after="100" w:afterAutospacing="1"/>
              <w:jc w:val="both"/>
              <w:rPr>
                <w:rFonts w:ascii="Arial" w:hAnsi="Arial" w:cs="Arial"/>
                <w:color w:val="auto"/>
                <w:sz w:val="20"/>
                <w:szCs w:val="20"/>
              </w:rPr>
            </w:pPr>
            <w:r w:rsidRPr="007528E0">
              <w:rPr>
                <w:rFonts w:ascii="Arial" w:hAnsi="Arial" w:cs="Arial"/>
                <w:color w:val="auto"/>
                <w:sz w:val="20"/>
                <w:szCs w:val="20"/>
              </w:rPr>
              <w:t>Agua</w:t>
            </w:r>
          </w:p>
        </w:tc>
        <w:tc>
          <w:tcPr>
            <w:tcW w:w="2552" w:type="dxa"/>
          </w:tcPr>
          <w:p w14:paraId="1073BE2A" w14:textId="77777777" w:rsidR="0037398A" w:rsidRPr="007528E0" w:rsidRDefault="0037398A" w:rsidP="007528E0">
            <w:pPr>
              <w:pStyle w:val="Normal1"/>
              <w:spacing w:before="100" w:beforeAutospacing="1" w:after="100" w:afterAutospacing="1"/>
              <w:jc w:val="both"/>
              <w:rPr>
                <w:rFonts w:ascii="Arial" w:hAnsi="Arial" w:cs="Arial"/>
                <w:color w:val="auto"/>
                <w:sz w:val="20"/>
                <w:szCs w:val="20"/>
              </w:rPr>
            </w:pPr>
            <w:r w:rsidRPr="007528E0">
              <w:rPr>
                <w:rFonts w:ascii="Arial" w:hAnsi="Arial" w:cs="Arial"/>
                <w:color w:val="auto"/>
                <w:sz w:val="20"/>
                <w:szCs w:val="20"/>
              </w:rPr>
              <w:t>Determinación de cadmio en agua por espectrofotometría de absorción atómica – horno de grafito</w:t>
            </w:r>
          </w:p>
        </w:tc>
        <w:tc>
          <w:tcPr>
            <w:tcW w:w="4961" w:type="dxa"/>
          </w:tcPr>
          <w:p w14:paraId="435303FC" w14:textId="77777777" w:rsidR="0037398A" w:rsidRPr="007528E0" w:rsidRDefault="0037398A" w:rsidP="007528E0">
            <w:pPr>
              <w:pStyle w:val="Normal1"/>
              <w:spacing w:before="100" w:beforeAutospacing="1" w:after="100" w:afterAutospacing="1"/>
              <w:jc w:val="both"/>
              <w:rPr>
                <w:rFonts w:ascii="Arial" w:hAnsi="Arial" w:cs="Arial"/>
                <w:color w:val="auto"/>
                <w:sz w:val="20"/>
                <w:szCs w:val="20"/>
              </w:rPr>
            </w:pPr>
            <w:r w:rsidRPr="007528E0">
              <w:rPr>
                <w:rFonts w:ascii="Arial" w:hAnsi="Arial" w:cs="Arial"/>
                <w:color w:val="auto"/>
                <w:sz w:val="20"/>
                <w:szCs w:val="20"/>
              </w:rPr>
              <w:t xml:space="preserve">Las muestras se deben enviar en recipiente plástico o de vidrio. Preservada con 2 </w:t>
            </w:r>
            <w:proofErr w:type="spellStart"/>
            <w:r w:rsidRPr="007528E0">
              <w:rPr>
                <w:rFonts w:ascii="Arial" w:hAnsi="Arial" w:cs="Arial"/>
                <w:color w:val="auto"/>
                <w:sz w:val="20"/>
                <w:szCs w:val="20"/>
              </w:rPr>
              <w:t>mL</w:t>
            </w:r>
            <w:proofErr w:type="spellEnd"/>
            <w:r w:rsidRPr="007528E0">
              <w:rPr>
                <w:rFonts w:ascii="Arial" w:hAnsi="Arial" w:cs="Arial"/>
                <w:color w:val="auto"/>
                <w:sz w:val="20"/>
                <w:szCs w:val="20"/>
              </w:rPr>
              <w:t xml:space="preserve"> de HNO3 concentrado y refrigerada (2 a 6 </w:t>
            </w:r>
            <w:proofErr w:type="spellStart"/>
            <w:r w:rsidRPr="007528E0">
              <w:rPr>
                <w:rFonts w:ascii="Arial" w:hAnsi="Arial" w:cs="Arial"/>
                <w:color w:val="auto"/>
                <w:sz w:val="20"/>
                <w:szCs w:val="20"/>
              </w:rPr>
              <w:t>ºC</w:t>
            </w:r>
            <w:proofErr w:type="spellEnd"/>
            <w:r w:rsidRPr="007528E0">
              <w:rPr>
                <w:rFonts w:ascii="Arial" w:hAnsi="Arial" w:cs="Arial"/>
                <w:color w:val="auto"/>
                <w:sz w:val="20"/>
                <w:szCs w:val="20"/>
              </w:rPr>
              <w:t xml:space="preserve">). Volumen requerido mínimo de 500 </w:t>
            </w:r>
            <w:proofErr w:type="spellStart"/>
            <w:r w:rsidRPr="007528E0">
              <w:rPr>
                <w:rFonts w:ascii="Arial" w:hAnsi="Arial" w:cs="Arial"/>
                <w:color w:val="auto"/>
                <w:sz w:val="20"/>
                <w:szCs w:val="20"/>
              </w:rPr>
              <w:t>mL</w:t>
            </w:r>
            <w:proofErr w:type="spellEnd"/>
            <w:r w:rsidRPr="007528E0">
              <w:rPr>
                <w:rFonts w:ascii="Arial" w:hAnsi="Arial" w:cs="Arial"/>
                <w:color w:val="auto"/>
                <w:sz w:val="20"/>
                <w:szCs w:val="20"/>
              </w:rPr>
              <w:t>.</w:t>
            </w:r>
          </w:p>
        </w:tc>
      </w:tr>
    </w:tbl>
    <w:p w14:paraId="6205ED93" w14:textId="77777777" w:rsidR="0037398A" w:rsidRPr="007528E0" w:rsidRDefault="0037398A" w:rsidP="0037398A">
      <w:pPr>
        <w:pStyle w:val="Prrafodelista"/>
        <w:spacing w:before="100" w:beforeAutospacing="1" w:after="100" w:afterAutospacing="1" w:line="240" w:lineRule="auto"/>
        <w:ind w:left="0"/>
        <w:jc w:val="center"/>
        <w:rPr>
          <w:rFonts w:eastAsia="Calibri" w:cs="Arial"/>
          <w:sz w:val="16"/>
          <w:szCs w:val="16"/>
        </w:rPr>
      </w:pPr>
      <w:r w:rsidRPr="007528E0">
        <w:rPr>
          <w:rFonts w:eastAsia="Calibri" w:cs="Arial"/>
          <w:sz w:val="16"/>
          <w:szCs w:val="16"/>
        </w:rPr>
        <w:t>Fuente:</w:t>
      </w:r>
      <w:r w:rsidRPr="007528E0">
        <w:rPr>
          <w:rFonts w:eastAsia="Calibri" w:cs="Arial"/>
          <w:sz w:val="16"/>
          <w:szCs w:val="16"/>
        </w:rPr>
        <w:fldChar w:fldCharType="begin" w:fldLock="1"/>
      </w:r>
      <w:r w:rsidRPr="007528E0">
        <w:rPr>
          <w:rFonts w:eastAsia="Calibri" w:cs="Arial"/>
          <w:sz w:val="16"/>
          <w:szCs w:val="16"/>
        </w:rPr>
        <w:instrText>ADDIN CSL_CITATION { "citationItems" : [ { "id" : "ITEM-1", "itemData" : { "author" : [ { "dropping-particle" : "", "family" : "Instituto Nacional de Salud", "given" : "", "non-dropping-particle" : "", "parse-names" : false, "suffix" : "" } ], "id" : "ITEM-1", "issued" : { "date-parts" : [ [ "2011" ] ] }, "title" : "Manual para la obtenci\u00f3n y env\u00edo de muestras para el an\u00e1lisis de eventos de inter\u00e9s en salud p\u00fablica", "type" : "report" }, "uris" : [ "http://www.mendeley.com/documents/?uuid=0da2d6b1-054c-44aa-ae2e-1e52f2e7368b" ] } ], "mendeley" : { "formattedCitation" : "(35)", "plainTextFormattedCitation" : "(35)", "previouslyFormattedCitation" : "(35)" }, "properties" : { "noteIndex" : 0 }, "schema" : "https://github.com/citation-style-language/schema/raw/master/csl-citation.json" }</w:instrText>
      </w:r>
      <w:r w:rsidRPr="007528E0">
        <w:rPr>
          <w:rFonts w:eastAsia="Calibri" w:cs="Arial"/>
          <w:sz w:val="16"/>
          <w:szCs w:val="16"/>
        </w:rPr>
        <w:fldChar w:fldCharType="separate"/>
      </w:r>
      <w:r w:rsidRPr="007528E0">
        <w:rPr>
          <w:rFonts w:eastAsia="Calibri" w:cs="Arial"/>
          <w:noProof/>
          <w:sz w:val="16"/>
          <w:szCs w:val="16"/>
        </w:rPr>
        <w:t>(35)</w:t>
      </w:r>
      <w:r w:rsidRPr="007528E0">
        <w:rPr>
          <w:rFonts w:eastAsia="Calibri" w:cs="Arial"/>
          <w:sz w:val="16"/>
          <w:szCs w:val="16"/>
        </w:rPr>
        <w:fldChar w:fldCharType="end"/>
      </w:r>
      <w:r w:rsidRPr="007528E0">
        <w:rPr>
          <w:rFonts w:eastAsia="Calibri" w:cs="Arial"/>
          <w:sz w:val="16"/>
          <w:szCs w:val="16"/>
        </w:rPr>
        <w:t xml:space="preserve"> </w:t>
      </w:r>
    </w:p>
    <w:p w14:paraId="1878113F" w14:textId="77777777" w:rsidR="0037398A" w:rsidRPr="007528E0" w:rsidRDefault="0037398A" w:rsidP="0037398A">
      <w:pPr>
        <w:spacing w:before="100" w:beforeAutospacing="1" w:after="100" w:afterAutospacing="1"/>
        <w:rPr>
          <w:rFonts w:eastAsia="Calibri" w:cs="Arial"/>
          <w:b/>
          <w:sz w:val="22"/>
          <w:szCs w:val="22"/>
          <w:lang w:val="es-CO"/>
        </w:rPr>
      </w:pPr>
      <w:r w:rsidRPr="007528E0">
        <w:rPr>
          <w:rFonts w:eastAsia="Calibri" w:cs="Arial"/>
          <w:b/>
          <w:sz w:val="22"/>
          <w:szCs w:val="22"/>
          <w:lang w:val="es-CO"/>
        </w:rPr>
        <w:t>Arsénico</w:t>
      </w:r>
    </w:p>
    <w:p w14:paraId="513A667E" w14:textId="77777777" w:rsidR="0037398A" w:rsidRPr="007528E0" w:rsidRDefault="0037398A" w:rsidP="0037398A">
      <w:pPr>
        <w:spacing w:before="100" w:beforeAutospacing="1" w:after="100" w:afterAutospacing="1"/>
        <w:rPr>
          <w:rFonts w:eastAsia="Calibri" w:cs="Arial"/>
          <w:sz w:val="22"/>
          <w:szCs w:val="22"/>
          <w:lang w:val="es-CO"/>
        </w:rPr>
      </w:pPr>
      <w:r w:rsidRPr="007528E0">
        <w:rPr>
          <w:rFonts w:eastAsia="Calibri" w:cs="Arial"/>
          <w:sz w:val="22"/>
          <w:szCs w:val="22"/>
          <w:lang w:val="es-CO"/>
        </w:rPr>
        <w:t xml:space="preserve">El arsénico (As) se encuentra en cuatro formas alotrópicas (metálica, gris, parda y amarilla), tanto de forma natural como antropogénica </w:t>
      </w:r>
      <w:r w:rsidRPr="007528E0">
        <w:rPr>
          <w:rFonts w:eastAsia="Calibri" w:cs="Arial"/>
          <w:sz w:val="22"/>
          <w:szCs w:val="22"/>
          <w:lang w:val="es-CO"/>
        </w:rPr>
        <w:fldChar w:fldCharType="begin" w:fldLock="1"/>
      </w:r>
      <w:r w:rsidRPr="007528E0">
        <w:rPr>
          <w:rFonts w:eastAsia="Calibri" w:cs="Arial"/>
          <w:sz w:val="22"/>
          <w:szCs w:val="22"/>
          <w:lang w:val="es-CO"/>
        </w:rPr>
        <w:instrText>ADDIN CSL_CITATION { "citationItems" : [ { "id" : "ITEM-1", "itemData" : { "author" : [ { "dropping-particle" : "", "family" : "(INS)", "given" : "Instituto Nacional de Salud", "non-dropping-particle" : "", "parse-names" : false, "suffix" : "" } ], "id" : "ITEM-1", "issued" : { "date-parts" : [ [ "2013" ] ] }, "title" : "Perfil del riesgo de ars\u00e9nico en arroz, Colombia. Unidad de evaluaci\u00f3n de riesgos para la inocuidad de los alimentos.", "type" : "report" }, "uris" : [ "http://www.mendeley.com/documents/?uuid=fd8d181b-80be-4d79-a928-8b237933ac51" ] } ], "mendeley" : { "formattedCitation" : "(59)", "plainTextFormattedCitation" : "(59)", "previouslyFormattedCitation" : "(59)" }, "properties" : { "noteIndex" : 0 }, "schema" : "https://github.com/citation-style-language/schema/raw/master/csl-citation.json" }</w:instrText>
      </w:r>
      <w:r w:rsidRPr="007528E0">
        <w:rPr>
          <w:rFonts w:eastAsia="Calibri" w:cs="Arial"/>
          <w:sz w:val="22"/>
          <w:szCs w:val="22"/>
          <w:lang w:val="es-CO"/>
        </w:rPr>
        <w:fldChar w:fldCharType="separate"/>
      </w:r>
      <w:r w:rsidRPr="007528E0">
        <w:rPr>
          <w:rFonts w:eastAsia="Calibri" w:cs="Arial"/>
          <w:noProof/>
          <w:sz w:val="22"/>
          <w:szCs w:val="22"/>
          <w:lang w:val="es-CO"/>
        </w:rPr>
        <w:t>(59)</w:t>
      </w:r>
      <w:r w:rsidRPr="007528E0">
        <w:rPr>
          <w:rFonts w:eastAsia="Calibri" w:cs="Arial"/>
          <w:sz w:val="22"/>
          <w:szCs w:val="22"/>
          <w:lang w:val="es-CO"/>
        </w:rPr>
        <w:fldChar w:fldCharType="end"/>
      </w:r>
      <w:r w:rsidRPr="007528E0">
        <w:rPr>
          <w:rFonts w:eastAsia="Calibri" w:cs="Arial"/>
          <w:sz w:val="22"/>
          <w:szCs w:val="22"/>
          <w:lang w:val="es-CO"/>
        </w:rPr>
        <w:t xml:space="preserve">. Esta sustancia se emplea en las fundiciones de plomo, zinc y cobre, siendo un metal pesado que no se degrada, no se evapora. Los compuestos que forman este metal son solubles en agua. En la actualidad se conoce que el arsénico y sus compuestos son cancerígenos, principalmente de pulmón, piel y vejiga. Penetra al organismo por medio de la piel causando irritación a la misma. Por inhalación, los vapores entran a los pulmones, irritando las vías respiratorias </w:t>
      </w:r>
      <w:r w:rsidRPr="007528E0">
        <w:rPr>
          <w:rFonts w:eastAsia="Calibri" w:cs="Arial"/>
          <w:sz w:val="22"/>
          <w:szCs w:val="22"/>
          <w:lang w:val="es-CO"/>
        </w:rPr>
        <w:fldChar w:fldCharType="begin" w:fldLock="1"/>
      </w:r>
      <w:r w:rsidRPr="007528E0">
        <w:rPr>
          <w:rFonts w:eastAsia="Calibri" w:cs="Arial"/>
          <w:sz w:val="22"/>
          <w:szCs w:val="22"/>
          <w:lang w:val="es-CO"/>
        </w:rPr>
        <w:instrText>ADDIN CSL_CITATION { "citationItems" : [ { "id" : "ITEM-1", "itemData" : { "author" : [ { "dropping-particle" : "", "family" : "Vargas J.", "given" : "", "non-dropping-particle" : "", "parse-names" : false, "suffix" : "" } ], "container-title" : "Revista Ciencia &amp; Desarrollo", "id" : "ITEM-1", "issued" : { "date-parts" : [ [ "2012" ] ] }, "page" : "9-14", "title" : "Estudio Evaluativo de los Metales Contaminantes y sus Alternativas de Prevenci\u00f3n", "type" : "article-journal", "volume" : "14" }, "uris" : [ "http://www.mendeley.com/documents/?uuid=390b080e-7880-4b4b-95b0-73d7e94c9e81" ] } ], "mendeley" : { "formattedCitation" : "(60)", "plainTextFormattedCitation" : "(60)", "previouslyFormattedCitation" : "(60)" }, "properties" : { "noteIndex" : 0 }, "schema" : "https://github.com/citation-style-language/schema/raw/master/csl-citation.json" }</w:instrText>
      </w:r>
      <w:r w:rsidRPr="007528E0">
        <w:rPr>
          <w:rFonts w:eastAsia="Calibri" w:cs="Arial"/>
          <w:sz w:val="22"/>
          <w:szCs w:val="22"/>
          <w:lang w:val="es-CO"/>
        </w:rPr>
        <w:fldChar w:fldCharType="separate"/>
      </w:r>
      <w:r w:rsidRPr="007528E0">
        <w:rPr>
          <w:rFonts w:eastAsia="Calibri" w:cs="Arial"/>
          <w:noProof/>
          <w:sz w:val="22"/>
          <w:szCs w:val="22"/>
          <w:lang w:val="es-CO"/>
        </w:rPr>
        <w:t>(60)</w:t>
      </w:r>
      <w:r w:rsidRPr="007528E0">
        <w:rPr>
          <w:rFonts w:eastAsia="Calibri" w:cs="Arial"/>
          <w:sz w:val="22"/>
          <w:szCs w:val="22"/>
          <w:lang w:val="es-CO"/>
        </w:rPr>
        <w:fldChar w:fldCharType="end"/>
      </w:r>
      <w:r w:rsidRPr="007528E0">
        <w:rPr>
          <w:rFonts w:eastAsia="Calibri" w:cs="Arial"/>
          <w:sz w:val="22"/>
          <w:szCs w:val="22"/>
          <w:lang w:val="es-CO"/>
        </w:rPr>
        <w:t>.</w:t>
      </w:r>
    </w:p>
    <w:p w14:paraId="487AC9FD" w14:textId="77777777" w:rsidR="0037398A" w:rsidRPr="007528E0" w:rsidRDefault="0037398A" w:rsidP="0037398A">
      <w:pPr>
        <w:spacing w:before="100" w:beforeAutospacing="1" w:after="100" w:afterAutospacing="1"/>
        <w:rPr>
          <w:rFonts w:eastAsia="Calibri" w:cs="Arial"/>
          <w:sz w:val="22"/>
          <w:szCs w:val="22"/>
          <w:lang w:val="es-CO"/>
        </w:rPr>
      </w:pPr>
      <w:r w:rsidRPr="007528E0">
        <w:rPr>
          <w:rFonts w:eastAsia="Calibri" w:cs="Arial"/>
          <w:sz w:val="22"/>
          <w:szCs w:val="22"/>
          <w:lang w:val="es-CO"/>
        </w:rPr>
        <w:t xml:space="preserve">La exposición industrial más frecuente se encuentra en la aplicación de plaguicidas, herbicidas, fundición de metales, tratamiento de maderas y en la industria química y producción de plaguicidas. </w:t>
      </w:r>
    </w:p>
    <w:p w14:paraId="29A3BD10" w14:textId="77777777" w:rsidR="0037398A" w:rsidRPr="007528E0" w:rsidRDefault="0037398A" w:rsidP="0037398A">
      <w:pPr>
        <w:pStyle w:val="Normal1"/>
        <w:spacing w:before="100" w:beforeAutospacing="1" w:after="100" w:afterAutospacing="1"/>
        <w:jc w:val="both"/>
        <w:rPr>
          <w:rFonts w:ascii="Arial" w:eastAsia="Calibri" w:hAnsi="Arial" w:cs="Arial"/>
          <w:b/>
          <w:color w:val="auto"/>
          <w:sz w:val="22"/>
          <w:szCs w:val="22"/>
          <w:u w:val="single"/>
          <w:lang w:eastAsia="es-ES"/>
        </w:rPr>
      </w:pPr>
      <w:r w:rsidRPr="007528E0">
        <w:rPr>
          <w:rFonts w:ascii="Arial" w:eastAsia="Calibri" w:hAnsi="Arial" w:cs="Arial"/>
          <w:b/>
          <w:color w:val="auto"/>
          <w:sz w:val="22"/>
          <w:szCs w:val="22"/>
          <w:u w:val="single"/>
          <w:lang w:val="es-CO" w:eastAsia="es-ES"/>
        </w:rPr>
        <w:t>Manifestaciones clínicas</w:t>
      </w:r>
    </w:p>
    <w:p w14:paraId="0998D39A" w14:textId="77777777" w:rsidR="0037398A" w:rsidRPr="007528E0" w:rsidRDefault="0037398A" w:rsidP="0037398A">
      <w:pPr>
        <w:spacing w:before="100" w:beforeAutospacing="1" w:after="100" w:afterAutospacing="1"/>
        <w:rPr>
          <w:rFonts w:eastAsia="Calibri" w:cs="Arial"/>
          <w:sz w:val="22"/>
          <w:szCs w:val="22"/>
          <w:lang w:val="es-CO"/>
        </w:rPr>
      </w:pPr>
      <w:r w:rsidRPr="007528E0">
        <w:rPr>
          <w:rFonts w:eastAsia="Calibri" w:cs="Arial"/>
          <w:sz w:val="22"/>
          <w:szCs w:val="22"/>
          <w:lang w:val="es-CO"/>
        </w:rPr>
        <w:t>La intoxicación aguda produce un cuadro de irritación y cuadro grave que puede llevar a la muerte. Se presenta fiebre, anorexia, hepatomegalia, arritmias cardiacas con alteraciones del electrocardiograma que son precursores de falla cardiaca mortal</w:t>
      </w:r>
      <w:r w:rsidRPr="007528E0">
        <w:rPr>
          <w:rFonts w:eastAsia="Calibri" w:cs="Arial"/>
          <w:sz w:val="22"/>
          <w:szCs w:val="22"/>
          <w:lang w:val="es-CO"/>
        </w:rPr>
        <w:fldChar w:fldCharType="begin" w:fldLock="1"/>
      </w:r>
      <w:r w:rsidRPr="007528E0">
        <w:rPr>
          <w:rFonts w:eastAsia="Calibri" w:cs="Arial"/>
          <w:sz w:val="22"/>
          <w:szCs w:val="22"/>
          <w:lang w:val="es-CO"/>
        </w:rPr>
        <w:instrText>ADDIN CSL_CITATION { "citationItems" : [ { "id" : "ITEM-1", "itemData" : { "ISBN" : "958-9446-16-7", "author" : [ { "dropping-particle" : "", "family" : "C\u00f3rdoba D", "given" : "", "non-dropping-particle" : "", "parse-names" : false, "suffix" : "" } ], "id" : "ITEM-1", "issued" : { "date-parts" : [ [ "2006" ] ] }, "number-of-pages" : "460", "title" : "Toxicolog\u00eda, editorial el Manual Moderno, Quinta edici\u00f3n", "type" : "book" }, "uris" : [ "http://www.mendeley.com/documents/?uuid=6dab011e-ecb3-4fbf-a69a-bb86e91ad241" ] } ], "mendeley" : { "formattedCitation" : "(37)", "plainTextFormattedCitation" : "(37)", "previouslyFormattedCitation" : "(37)" }, "properties" : { "noteIndex" : 0 }, "schema" : "https://github.com/citation-style-language/schema/raw/master/csl-citation.json" }</w:instrText>
      </w:r>
      <w:r w:rsidRPr="007528E0">
        <w:rPr>
          <w:rFonts w:eastAsia="Calibri" w:cs="Arial"/>
          <w:sz w:val="22"/>
          <w:szCs w:val="22"/>
          <w:lang w:val="es-CO"/>
        </w:rPr>
        <w:fldChar w:fldCharType="separate"/>
      </w:r>
      <w:r w:rsidRPr="007528E0">
        <w:rPr>
          <w:rFonts w:eastAsia="Calibri" w:cs="Arial"/>
          <w:noProof/>
          <w:sz w:val="22"/>
          <w:szCs w:val="22"/>
          <w:lang w:val="es-CO"/>
        </w:rPr>
        <w:t>(37)</w:t>
      </w:r>
      <w:r w:rsidRPr="007528E0">
        <w:rPr>
          <w:rFonts w:eastAsia="Calibri" w:cs="Arial"/>
          <w:sz w:val="22"/>
          <w:szCs w:val="22"/>
          <w:lang w:val="es-CO"/>
        </w:rPr>
        <w:fldChar w:fldCharType="end"/>
      </w:r>
      <w:r w:rsidRPr="007528E0">
        <w:rPr>
          <w:rFonts w:eastAsia="Calibri" w:cs="Arial"/>
          <w:sz w:val="22"/>
          <w:szCs w:val="22"/>
          <w:lang w:val="es-CO"/>
        </w:rPr>
        <w:t>.</w:t>
      </w:r>
    </w:p>
    <w:p w14:paraId="46FA64AE" w14:textId="77777777" w:rsidR="0037398A" w:rsidRPr="007528E0" w:rsidRDefault="0037398A" w:rsidP="0037398A">
      <w:pPr>
        <w:spacing w:before="100" w:beforeAutospacing="1" w:after="100" w:afterAutospacing="1"/>
        <w:rPr>
          <w:rFonts w:eastAsia="Calibri" w:cs="Arial"/>
          <w:sz w:val="22"/>
          <w:szCs w:val="22"/>
          <w:lang w:val="es-CO"/>
        </w:rPr>
      </w:pPr>
      <w:r w:rsidRPr="007528E0">
        <w:rPr>
          <w:rFonts w:eastAsia="Calibri" w:cs="Arial"/>
          <w:sz w:val="22"/>
          <w:szCs w:val="22"/>
          <w:lang w:val="es-CO"/>
        </w:rPr>
        <w:t xml:space="preserve">En la intoxicación subaguda se presenta el cáncer cutáneo y visceral es menos observado, en las uñas se pueden ver las denominadas bandas o “estrías de Mees”, que consisten en líneas transversales blancas de depósito de arsénico, que aparecen generalmente seis semanas después de la exposición </w:t>
      </w:r>
      <w:r w:rsidRPr="007528E0">
        <w:rPr>
          <w:rFonts w:eastAsia="Calibri" w:cs="Arial"/>
          <w:sz w:val="22"/>
          <w:szCs w:val="22"/>
          <w:lang w:val="es-CO"/>
        </w:rPr>
        <w:fldChar w:fldCharType="begin" w:fldLock="1"/>
      </w:r>
      <w:r w:rsidRPr="007528E0">
        <w:rPr>
          <w:rFonts w:eastAsia="Calibri" w:cs="Arial"/>
          <w:sz w:val="22"/>
          <w:szCs w:val="22"/>
          <w:lang w:val="es-CO"/>
        </w:rPr>
        <w:instrText>ADDIN CSL_CITATION { "citationItems" : [ { "id" : "ITEM-1", "itemData" : { "ISBN" : "958-9446-16-7", "author" : [ { "dropping-particle" : "", "family" : "C\u00f3rdoba D", "given" : "", "non-dropping-particle" : "", "parse-names" : false, "suffix" : "" } ], "id" : "ITEM-1", "issued" : { "date-parts" : [ [ "2006" ] ] }, "number-of-pages" : "460", "title" : "Toxicolog\u00eda, editorial el Manual Moderno, Quinta edici\u00f3n", "type" : "book" }, "uris" : [ "http://www.mendeley.com/documents/?uuid=6dab011e-ecb3-4fbf-a69a-bb86e91ad241" ] } ], "mendeley" : { "formattedCitation" : "(37)", "plainTextFormattedCitation" : "(37)", "previouslyFormattedCitation" : "(37)" }, "properties" : { "noteIndex" : 0 }, "schema" : "https://github.com/citation-style-language/schema/raw/master/csl-citation.json" }</w:instrText>
      </w:r>
      <w:r w:rsidRPr="007528E0">
        <w:rPr>
          <w:rFonts w:eastAsia="Calibri" w:cs="Arial"/>
          <w:sz w:val="22"/>
          <w:szCs w:val="22"/>
          <w:lang w:val="es-CO"/>
        </w:rPr>
        <w:fldChar w:fldCharType="separate"/>
      </w:r>
      <w:r w:rsidRPr="007528E0">
        <w:rPr>
          <w:rFonts w:eastAsia="Calibri" w:cs="Arial"/>
          <w:noProof/>
          <w:sz w:val="22"/>
          <w:szCs w:val="22"/>
          <w:lang w:val="es-CO"/>
        </w:rPr>
        <w:t>(37)</w:t>
      </w:r>
      <w:r w:rsidRPr="007528E0">
        <w:rPr>
          <w:rFonts w:eastAsia="Calibri" w:cs="Arial"/>
          <w:sz w:val="22"/>
          <w:szCs w:val="22"/>
          <w:lang w:val="es-CO"/>
        </w:rPr>
        <w:fldChar w:fldCharType="end"/>
      </w:r>
      <w:r w:rsidRPr="007528E0">
        <w:rPr>
          <w:rFonts w:eastAsia="Calibri" w:cs="Arial"/>
          <w:sz w:val="22"/>
          <w:szCs w:val="22"/>
          <w:lang w:val="es-CO"/>
        </w:rPr>
        <w:t>.</w:t>
      </w:r>
    </w:p>
    <w:p w14:paraId="0EF547B9" w14:textId="77777777" w:rsidR="0037398A" w:rsidRPr="007528E0" w:rsidRDefault="0037398A" w:rsidP="0037398A">
      <w:pPr>
        <w:spacing w:before="100" w:beforeAutospacing="1" w:after="100" w:afterAutospacing="1"/>
        <w:rPr>
          <w:rFonts w:eastAsia="Calibri" w:cs="Arial"/>
          <w:sz w:val="22"/>
          <w:szCs w:val="22"/>
          <w:lang w:val="es-CO"/>
        </w:rPr>
      </w:pPr>
      <w:r w:rsidRPr="007528E0">
        <w:rPr>
          <w:rFonts w:eastAsia="Calibri" w:cs="Arial"/>
          <w:sz w:val="22"/>
          <w:szCs w:val="22"/>
          <w:lang w:val="es-CO"/>
        </w:rPr>
        <w:t xml:space="preserve">La intoxicación crónica es la más frecuente a nivel industrial, produciendo hiperpigmentación en la piel e hiperqueratosis, neuropatía sensoriomotora periférica, </w:t>
      </w:r>
      <w:r w:rsidRPr="007528E0">
        <w:rPr>
          <w:rFonts w:eastAsia="Calibri" w:cs="Arial"/>
          <w:sz w:val="22"/>
          <w:szCs w:val="22"/>
          <w:lang w:val="es-CO"/>
        </w:rPr>
        <w:lastRenderedPageBreak/>
        <w:t xml:space="preserve">anemia megaloblástica, hepatotoxicidad y cirrosis hepática </w:t>
      </w:r>
      <w:r w:rsidRPr="007528E0">
        <w:rPr>
          <w:rFonts w:eastAsia="Calibri" w:cs="Arial"/>
          <w:sz w:val="22"/>
          <w:szCs w:val="22"/>
          <w:lang w:val="es-CO"/>
        </w:rPr>
        <w:fldChar w:fldCharType="begin" w:fldLock="1"/>
      </w:r>
      <w:r w:rsidRPr="007528E0">
        <w:rPr>
          <w:rFonts w:eastAsia="Calibri" w:cs="Arial"/>
          <w:sz w:val="22"/>
          <w:szCs w:val="22"/>
          <w:lang w:val="es-CO"/>
        </w:rPr>
        <w:instrText>ADDIN CSL_CITATION { "citationItems" : [ { "id" : "ITEM-1", "itemData" : { "author" : [ { "dropping-particle" : "", "family" : "Rodr\u00edguez C", "given" : "Sociedad Colombiana de Medicina del Trabajo.", "non-dropping-particle" : "", "parse-names" : false, "suffix" : "" } ], "id" : "ITEM-1", "issued" : { "date-parts" : [ [ "0" ] ] }, "title" : "Nuevos protocolos para el diagn\u00f3stico de enfermedades profesionales. Cap\u00edtulo: mercurio", "type" : "book" }, "uris" : [ "http://www.mendeley.com/documents/?uuid=ccdbb7b8-9a89-4cac-89e4-66524a3822ce" ] } ], "mendeley" : { "formattedCitation" : "(42)", "plainTextFormattedCitation" : "(42)", "previouslyFormattedCitation" : "(42)" }, "properties" : { "noteIndex" : 0 }, "schema" : "https://github.com/citation-style-language/schema/raw/master/csl-citation.json" }</w:instrText>
      </w:r>
      <w:r w:rsidRPr="007528E0">
        <w:rPr>
          <w:rFonts w:eastAsia="Calibri" w:cs="Arial"/>
          <w:sz w:val="22"/>
          <w:szCs w:val="22"/>
          <w:lang w:val="es-CO"/>
        </w:rPr>
        <w:fldChar w:fldCharType="separate"/>
      </w:r>
      <w:r w:rsidRPr="007528E0">
        <w:rPr>
          <w:rFonts w:eastAsia="Calibri" w:cs="Arial"/>
          <w:noProof/>
          <w:sz w:val="22"/>
          <w:szCs w:val="22"/>
          <w:lang w:val="es-CO"/>
        </w:rPr>
        <w:t>(42)</w:t>
      </w:r>
      <w:r w:rsidRPr="007528E0">
        <w:rPr>
          <w:rFonts w:eastAsia="Calibri" w:cs="Arial"/>
          <w:sz w:val="22"/>
          <w:szCs w:val="22"/>
          <w:lang w:val="es-CO"/>
        </w:rPr>
        <w:fldChar w:fldCharType="end"/>
      </w:r>
      <w:r w:rsidRPr="007528E0">
        <w:rPr>
          <w:rFonts w:eastAsia="Calibri" w:cs="Arial"/>
          <w:sz w:val="22"/>
          <w:szCs w:val="22"/>
          <w:lang w:val="es-CO"/>
        </w:rPr>
        <w:t xml:space="preserve">.También produce una serie de síntomas digestivos, caracterizados por vómitos, náuseas y diarrea; síntomas respiratorios como coriza, catarro bronquial, problemas hepáticos con anemia y agranulocitosis; sobre el sistema nervioso es frecuente la polineuritis, que suele comenzar por los miembros inferiores </w:t>
      </w:r>
      <w:r w:rsidRPr="007528E0">
        <w:rPr>
          <w:rFonts w:eastAsia="Calibri" w:cs="Arial"/>
          <w:sz w:val="22"/>
          <w:szCs w:val="22"/>
          <w:lang w:val="es-CO"/>
        </w:rPr>
        <w:fldChar w:fldCharType="begin" w:fldLock="1"/>
      </w:r>
      <w:r w:rsidRPr="007528E0">
        <w:rPr>
          <w:rFonts w:eastAsia="Calibri" w:cs="Arial"/>
          <w:sz w:val="22"/>
          <w:szCs w:val="22"/>
          <w:lang w:val="es-CO"/>
        </w:rPr>
        <w:instrText>ADDIN CSL_CITATION { "citationItems" : [ { "id" : "ITEM-1", "itemData" : { "ISBN" : "958-9446-16-7", "author" : [ { "dropping-particle" : "", "family" : "C\u00f3rdoba D", "given" : "", "non-dropping-particle" : "", "parse-names" : false, "suffix" : "" } ], "id" : "ITEM-1", "issued" : { "date-parts" : [ [ "2006" ] ] }, "number-of-pages" : "460", "title" : "Toxicolog\u00eda, editorial el Manual Moderno, Quinta edici\u00f3n", "type" : "book" }, "uris" : [ "http://www.mendeley.com/documents/?uuid=6dab011e-ecb3-4fbf-a69a-bb86e91ad241" ] } ], "mendeley" : { "formattedCitation" : "(37)", "plainTextFormattedCitation" : "(37)", "previouslyFormattedCitation" : "(37)" }, "properties" : { "noteIndex" : 0 }, "schema" : "https://github.com/citation-style-language/schema/raw/master/csl-citation.json" }</w:instrText>
      </w:r>
      <w:r w:rsidRPr="007528E0">
        <w:rPr>
          <w:rFonts w:eastAsia="Calibri" w:cs="Arial"/>
          <w:sz w:val="22"/>
          <w:szCs w:val="22"/>
          <w:lang w:val="es-CO"/>
        </w:rPr>
        <w:fldChar w:fldCharType="separate"/>
      </w:r>
      <w:r w:rsidRPr="007528E0">
        <w:rPr>
          <w:rFonts w:eastAsia="Calibri" w:cs="Arial"/>
          <w:noProof/>
          <w:sz w:val="22"/>
          <w:szCs w:val="22"/>
          <w:lang w:val="es-CO"/>
        </w:rPr>
        <w:t>(37)</w:t>
      </w:r>
      <w:r w:rsidRPr="007528E0">
        <w:rPr>
          <w:rFonts w:eastAsia="Calibri" w:cs="Arial"/>
          <w:sz w:val="22"/>
          <w:szCs w:val="22"/>
          <w:lang w:val="es-CO"/>
        </w:rPr>
        <w:fldChar w:fldCharType="end"/>
      </w:r>
      <w:r w:rsidRPr="007528E0">
        <w:rPr>
          <w:rFonts w:eastAsia="Calibri" w:cs="Arial"/>
          <w:sz w:val="22"/>
          <w:szCs w:val="22"/>
          <w:lang w:val="es-CO"/>
        </w:rPr>
        <w:t>.</w:t>
      </w:r>
    </w:p>
    <w:p w14:paraId="72CD35E2" w14:textId="77777777" w:rsidR="0037398A" w:rsidRPr="007528E0" w:rsidRDefault="0037398A" w:rsidP="0037398A">
      <w:pPr>
        <w:spacing w:before="100" w:beforeAutospacing="1" w:after="100" w:afterAutospacing="1"/>
        <w:rPr>
          <w:rFonts w:eastAsia="Calibri" w:cs="Arial"/>
          <w:sz w:val="22"/>
          <w:szCs w:val="22"/>
          <w:lang w:val="es-CO"/>
        </w:rPr>
      </w:pPr>
      <w:r w:rsidRPr="007528E0">
        <w:rPr>
          <w:rFonts w:eastAsia="Calibri" w:cs="Arial"/>
          <w:sz w:val="22"/>
          <w:szCs w:val="22"/>
          <w:lang w:val="es-CO"/>
        </w:rPr>
        <w:t>Los biomarcadores de exposición son sangre, orina, cabello y uñas. En sangre es empleado para exposición reciente, en orina es el mejor para exposición crónica y también reciente, en cabello y uñas ayuda a evaluar exposiciones pasadas.</w:t>
      </w:r>
    </w:p>
    <w:p w14:paraId="4599095A" w14:textId="77777777" w:rsidR="0037398A" w:rsidRPr="007528E0" w:rsidRDefault="0037398A" w:rsidP="0037398A">
      <w:pPr>
        <w:pStyle w:val="Descripcin"/>
        <w:spacing w:before="100" w:beforeAutospacing="1" w:after="100" w:afterAutospacing="1"/>
        <w:jc w:val="center"/>
        <w:rPr>
          <w:rFonts w:eastAsia="Calibri" w:cs="Arial"/>
          <w:b/>
          <w:bCs/>
          <w:color w:val="auto"/>
          <w:sz w:val="22"/>
          <w:szCs w:val="22"/>
          <w:lang w:val="es-CO"/>
        </w:rPr>
      </w:pPr>
      <w:bookmarkStart w:id="26" w:name="_Toc505456258"/>
      <w:r w:rsidRPr="007528E0">
        <w:rPr>
          <w:rFonts w:cs="Arial"/>
          <w:b/>
          <w:color w:val="auto"/>
          <w:sz w:val="22"/>
          <w:szCs w:val="22"/>
        </w:rPr>
        <w:t xml:space="preserve">Tabla </w:t>
      </w:r>
      <w:r w:rsidRPr="007528E0">
        <w:rPr>
          <w:rFonts w:cs="Arial"/>
          <w:b/>
          <w:color w:val="auto"/>
          <w:sz w:val="22"/>
          <w:szCs w:val="22"/>
        </w:rPr>
        <w:fldChar w:fldCharType="begin"/>
      </w:r>
      <w:r w:rsidRPr="007528E0">
        <w:rPr>
          <w:rFonts w:cs="Arial"/>
          <w:b/>
          <w:color w:val="auto"/>
          <w:sz w:val="22"/>
          <w:szCs w:val="22"/>
        </w:rPr>
        <w:instrText xml:space="preserve"> SEQ Tabla \* ARABIC </w:instrText>
      </w:r>
      <w:r w:rsidRPr="007528E0">
        <w:rPr>
          <w:rFonts w:cs="Arial"/>
          <w:b/>
          <w:color w:val="auto"/>
          <w:sz w:val="22"/>
          <w:szCs w:val="22"/>
        </w:rPr>
        <w:fldChar w:fldCharType="separate"/>
      </w:r>
      <w:r w:rsidRPr="007528E0">
        <w:rPr>
          <w:rFonts w:cs="Arial"/>
          <w:b/>
          <w:noProof/>
          <w:color w:val="auto"/>
          <w:sz w:val="22"/>
          <w:szCs w:val="22"/>
        </w:rPr>
        <w:t>12</w:t>
      </w:r>
      <w:r w:rsidRPr="007528E0">
        <w:rPr>
          <w:rFonts w:cs="Arial"/>
          <w:b/>
          <w:color w:val="auto"/>
          <w:sz w:val="22"/>
          <w:szCs w:val="22"/>
        </w:rPr>
        <w:fldChar w:fldCharType="end"/>
      </w:r>
      <w:r w:rsidRPr="007528E0">
        <w:rPr>
          <w:rFonts w:cs="Arial"/>
          <w:b/>
          <w:color w:val="auto"/>
          <w:sz w:val="22"/>
          <w:szCs w:val="22"/>
        </w:rPr>
        <w:t>.</w:t>
      </w:r>
      <w:r w:rsidRPr="007528E0">
        <w:rPr>
          <w:rFonts w:cs="Arial"/>
          <w:color w:val="auto"/>
          <w:sz w:val="22"/>
          <w:szCs w:val="22"/>
        </w:rPr>
        <w:t xml:space="preserve"> Niveles de referencia para exposición a arsénico en muestras biológicas.</w:t>
      </w:r>
      <w:bookmarkEnd w:id="2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2"/>
        <w:gridCol w:w="2943"/>
        <w:gridCol w:w="2943"/>
      </w:tblGrid>
      <w:tr w:rsidR="007528E0" w:rsidRPr="007528E0" w14:paraId="5F3160AA" w14:textId="77777777" w:rsidTr="007528E0">
        <w:tc>
          <w:tcPr>
            <w:tcW w:w="2942" w:type="dxa"/>
          </w:tcPr>
          <w:p w14:paraId="1B088B0D" w14:textId="77777777" w:rsidR="0037398A" w:rsidRPr="007528E0" w:rsidRDefault="0037398A" w:rsidP="007528E0">
            <w:pPr>
              <w:spacing w:before="100" w:beforeAutospacing="1" w:after="100" w:afterAutospacing="1"/>
              <w:jc w:val="center"/>
              <w:rPr>
                <w:rFonts w:eastAsia="Calibri" w:cs="Arial"/>
                <w:sz w:val="20"/>
                <w:szCs w:val="20"/>
                <w:lang w:val="es-CO"/>
              </w:rPr>
            </w:pPr>
            <w:r w:rsidRPr="007528E0">
              <w:rPr>
                <w:rFonts w:eastAsia="Calibri" w:cs="Arial"/>
                <w:sz w:val="20"/>
                <w:szCs w:val="20"/>
                <w:lang w:val="es-CO"/>
              </w:rPr>
              <w:t>Muestra</w:t>
            </w:r>
          </w:p>
        </w:tc>
        <w:tc>
          <w:tcPr>
            <w:tcW w:w="2943" w:type="dxa"/>
          </w:tcPr>
          <w:p w14:paraId="31CB44E5" w14:textId="77777777" w:rsidR="0037398A" w:rsidRPr="007528E0" w:rsidRDefault="0037398A" w:rsidP="007528E0">
            <w:pPr>
              <w:spacing w:before="100" w:beforeAutospacing="1" w:after="100" w:afterAutospacing="1"/>
              <w:jc w:val="center"/>
              <w:rPr>
                <w:rFonts w:eastAsia="Calibri" w:cs="Arial"/>
                <w:sz w:val="20"/>
                <w:szCs w:val="20"/>
                <w:lang w:val="es-CO"/>
              </w:rPr>
            </w:pPr>
            <w:r w:rsidRPr="007528E0">
              <w:rPr>
                <w:rFonts w:eastAsia="Calibri" w:cs="Arial"/>
                <w:sz w:val="20"/>
                <w:szCs w:val="20"/>
                <w:lang w:val="es-CO"/>
              </w:rPr>
              <w:t>Normal</w:t>
            </w:r>
          </w:p>
        </w:tc>
        <w:tc>
          <w:tcPr>
            <w:tcW w:w="2943" w:type="dxa"/>
          </w:tcPr>
          <w:p w14:paraId="5E1ED07E" w14:textId="77777777" w:rsidR="0037398A" w:rsidRPr="007528E0" w:rsidRDefault="0037398A" w:rsidP="007528E0">
            <w:pPr>
              <w:spacing w:before="100" w:beforeAutospacing="1" w:after="100" w:afterAutospacing="1"/>
              <w:jc w:val="center"/>
              <w:rPr>
                <w:rFonts w:eastAsia="Calibri" w:cs="Arial"/>
                <w:sz w:val="20"/>
                <w:szCs w:val="20"/>
                <w:lang w:val="es-CO"/>
              </w:rPr>
            </w:pPr>
            <w:r w:rsidRPr="007528E0">
              <w:rPr>
                <w:rFonts w:eastAsia="Calibri" w:cs="Arial"/>
                <w:sz w:val="20"/>
                <w:szCs w:val="20"/>
                <w:lang w:val="es-CO"/>
              </w:rPr>
              <w:t>Exposición excesiva</w:t>
            </w:r>
          </w:p>
        </w:tc>
      </w:tr>
      <w:tr w:rsidR="007528E0" w:rsidRPr="007528E0" w14:paraId="6DAB9BA2" w14:textId="77777777" w:rsidTr="007528E0">
        <w:tc>
          <w:tcPr>
            <w:tcW w:w="2942" w:type="dxa"/>
          </w:tcPr>
          <w:p w14:paraId="0456535F" w14:textId="77777777" w:rsidR="0037398A" w:rsidRPr="007528E0" w:rsidRDefault="0037398A" w:rsidP="007528E0">
            <w:pPr>
              <w:spacing w:before="100" w:beforeAutospacing="1" w:after="100" w:afterAutospacing="1"/>
              <w:rPr>
                <w:rFonts w:eastAsia="Calibri" w:cs="Arial"/>
                <w:sz w:val="20"/>
                <w:szCs w:val="20"/>
                <w:lang w:val="es-CO"/>
              </w:rPr>
            </w:pPr>
            <w:r w:rsidRPr="007528E0">
              <w:rPr>
                <w:rFonts w:eastAsia="Calibri" w:cs="Arial"/>
                <w:sz w:val="20"/>
                <w:szCs w:val="20"/>
                <w:lang w:val="es-CO"/>
              </w:rPr>
              <w:t>Sangre total</w:t>
            </w:r>
          </w:p>
        </w:tc>
        <w:tc>
          <w:tcPr>
            <w:tcW w:w="2943" w:type="dxa"/>
          </w:tcPr>
          <w:p w14:paraId="7EC90F6B" w14:textId="77777777" w:rsidR="0037398A" w:rsidRPr="007528E0" w:rsidRDefault="0037398A" w:rsidP="007528E0">
            <w:pPr>
              <w:spacing w:before="100" w:beforeAutospacing="1" w:after="100" w:afterAutospacing="1"/>
              <w:rPr>
                <w:rFonts w:eastAsia="Calibri" w:cs="Arial"/>
                <w:sz w:val="20"/>
                <w:szCs w:val="20"/>
                <w:lang w:val="es-CO"/>
              </w:rPr>
            </w:pPr>
            <w:r w:rsidRPr="007528E0">
              <w:rPr>
                <w:rFonts w:eastAsia="Calibri" w:cs="Arial"/>
                <w:sz w:val="20"/>
                <w:szCs w:val="20"/>
                <w:lang w:val="es-CO"/>
              </w:rPr>
              <w:t xml:space="preserve">10 </w:t>
            </w:r>
            <w:proofErr w:type="spellStart"/>
            <w:r w:rsidRPr="007528E0">
              <w:rPr>
                <w:rFonts w:eastAsia="Calibri" w:cs="Arial"/>
                <w:sz w:val="20"/>
                <w:szCs w:val="20"/>
                <w:lang w:val="es-CO"/>
              </w:rPr>
              <w:t>ug</w:t>
            </w:r>
            <w:proofErr w:type="spellEnd"/>
            <w:r w:rsidRPr="007528E0">
              <w:rPr>
                <w:rFonts w:eastAsia="Calibri" w:cs="Arial"/>
                <w:sz w:val="20"/>
                <w:szCs w:val="20"/>
                <w:lang w:val="es-CO"/>
              </w:rPr>
              <w:t>/l</w:t>
            </w:r>
          </w:p>
        </w:tc>
        <w:tc>
          <w:tcPr>
            <w:tcW w:w="2943" w:type="dxa"/>
          </w:tcPr>
          <w:p w14:paraId="026166A6" w14:textId="77777777" w:rsidR="0037398A" w:rsidRPr="007528E0" w:rsidRDefault="0037398A" w:rsidP="007528E0">
            <w:pPr>
              <w:spacing w:before="100" w:beforeAutospacing="1" w:after="100" w:afterAutospacing="1"/>
              <w:rPr>
                <w:rFonts w:eastAsia="Calibri" w:cs="Arial"/>
                <w:sz w:val="20"/>
                <w:szCs w:val="20"/>
                <w:lang w:val="es-CO"/>
              </w:rPr>
            </w:pPr>
            <w:r w:rsidRPr="007528E0">
              <w:rPr>
                <w:rFonts w:eastAsia="Calibri" w:cs="Arial"/>
                <w:sz w:val="20"/>
                <w:szCs w:val="20"/>
                <w:lang w:val="es-CO"/>
              </w:rPr>
              <w:t xml:space="preserve">Hasta 50 </w:t>
            </w:r>
            <w:proofErr w:type="spellStart"/>
            <w:r w:rsidRPr="007528E0">
              <w:rPr>
                <w:rFonts w:eastAsia="Calibri" w:cs="Arial"/>
                <w:sz w:val="20"/>
                <w:szCs w:val="20"/>
                <w:lang w:val="es-CO"/>
              </w:rPr>
              <w:t>ug</w:t>
            </w:r>
            <w:proofErr w:type="spellEnd"/>
            <w:r w:rsidRPr="007528E0">
              <w:rPr>
                <w:rFonts w:eastAsia="Calibri" w:cs="Arial"/>
                <w:sz w:val="20"/>
                <w:szCs w:val="20"/>
                <w:lang w:val="es-CO"/>
              </w:rPr>
              <w:t>/l</w:t>
            </w:r>
          </w:p>
        </w:tc>
      </w:tr>
      <w:tr w:rsidR="007528E0" w:rsidRPr="007528E0" w14:paraId="21C024FE" w14:textId="77777777" w:rsidTr="007528E0">
        <w:tc>
          <w:tcPr>
            <w:tcW w:w="2942" w:type="dxa"/>
          </w:tcPr>
          <w:p w14:paraId="6B7E91EF" w14:textId="77777777" w:rsidR="0037398A" w:rsidRPr="007528E0" w:rsidRDefault="0037398A" w:rsidP="007528E0">
            <w:pPr>
              <w:spacing w:before="100" w:beforeAutospacing="1" w:after="100" w:afterAutospacing="1"/>
              <w:rPr>
                <w:rFonts w:eastAsia="Calibri" w:cs="Arial"/>
                <w:sz w:val="20"/>
                <w:szCs w:val="20"/>
                <w:lang w:val="es-CO"/>
              </w:rPr>
            </w:pPr>
            <w:r w:rsidRPr="007528E0">
              <w:rPr>
                <w:rFonts w:eastAsia="Calibri" w:cs="Arial"/>
                <w:sz w:val="20"/>
                <w:szCs w:val="20"/>
                <w:lang w:val="es-CO"/>
              </w:rPr>
              <w:t>Orina</w:t>
            </w:r>
          </w:p>
        </w:tc>
        <w:tc>
          <w:tcPr>
            <w:tcW w:w="2943" w:type="dxa"/>
          </w:tcPr>
          <w:p w14:paraId="71B166F2" w14:textId="77777777" w:rsidR="0037398A" w:rsidRPr="007528E0" w:rsidRDefault="0037398A" w:rsidP="007528E0">
            <w:pPr>
              <w:spacing w:before="100" w:beforeAutospacing="1" w:after="100" w:afterAutospacing="1"/>
              <w:rPr>
                <w:rFonts w:eastAsia="Calibri" w:cs="Arial"/>
                <w:sz w:val="20"/>
                <w:szCs w:val="20"/>
                <w:lang w:val="es-CO"/>
              </w:rPr>
            </w:pPr>
            <w:r w:rsidRPr="007528E0">
              <w:rPr>
                <w:rFonts w:eastAsia="Calibri" w:cs="Arial"/>
                <w:sz w:val="20"/>
                <w:szCs w:val="20"/>
                <w:lang w:val="es-CO"/>
              </w:rPr>
              <w:t xml:space="preserve">&lt;50 </w:t>
            </w:r>
            <w:proofErr w:type="spellStart"/>
            <w:r w:rsidRPr="007528E0">
              <w:rPr>
                <w:rFonts w:eastAsia="Calibri" w:cs="Arial"/>
                <w:sz w:val="20"/>
                <w:szCs w:val="20"/>
                <w:lang w:val="es-CO"/>
              </w:rPr>
              <w:t>ug</w:t>
            </w:r>
            <w:proofErr w:type="spellEnd"/>
            <w:r w:rsidRPr="007528E0">
              <w:rPr>
                <w:rFonts w:eastAsia="Calibri" w:cs="Arial"/>
                <w:sz w:val="20"/>
                <w:szCs w:val="20"/>
                <w:lang w:val="es-CO"/>
              </w:rPr>
              <w:t>/l</w:t>
            </w:r>
          </w:p>
        </w:tc>
        <w:tc>
          <w:tcPr>
            <w:tcW w:w="2943" w:type="dxa"/>
          </w:tcPr>
          <w:p w14:paraId="3DC74C1F" w14:textId="77777777" w:rsidR="0037398A" w:rsidRPr="007528E0" w:rsidRDefault="0037398A" w:rsidP="007528E0">
            <w:pPr>
              <w:spacing w:before="100" w:beforeAutospacing="1" w:after="100" w:afterAutospacing="1"/>
              <w:rPr>
                <w:rFonts w:eastAsia="Calibri" w:cs="Arial"/>
                <w:sz w:val="20"/>
                <w:szCs w:val="20"/>
                <w:lang w:val="es-CO"/>
              </w:rPr>
            </w:pPr>
            <w:r w:rsidRPr="007528E0">
              <w:rPr>
                <w:rFonts w:eastAsia="Calibri" w:cs="Arial"/>
                <w:sz w:val="20"/>
                <w:szCs w:val="20"/>
                <w:lang w:val="es-CO"/>
              </w:rPr>
              <w:t xml:space="preserve">&gt;100 </w:t>
            </w:r>
            <w:proofErr w:type="spellStart"/>
            <w:r w:rsidRPr="007528E0">
              <w:rPr>
                <w:rFonts w:eastAsia="Calibri" w:cs="Arial"/>
                <w:sz w:val="20"/>
                <w:szCs w:val="20"/>
                <w:lang w:val="es-CO"/>
              </w:rPr>
              <w:t>ug</w:t>
            </w:r>
            <w:proofErr w:type="spellEnd"/>
            <w:r w:rsidRPr="007528E0">
              <w:rPr>
                <w:rFonts w:eastAsia="Calibri" w:cs="Arial"/>
                <w:sz w:val="20"/>
                <w:szCs w:val="20"/>
                <w:lang w:val="es-CO"/>
              </w:rPr>
              <w:t>/l</w:t>
            </w:r>
          </w:p>
        </w:tc>
      </w:tr>
      <w:tr w:rsidR="007528E0" w:rsidRPr="007528E0" w14:paraId="4440F1A2" w14:textId="77777777" w:rsidTr="007528E0">
        <w:tc>
          <w:tcPr>
            <w:tcW w:w="2942" w:type="dxa"/>
          </w:tcPr>
          <w:p w14:paraId="6357F50B" w14:textId="77777777" w:rsidR="0037398A" w:rsidRPr="007528E0" w:rsidRDefault="0037398A" w:rsidP="007528E0">
            <w:pPr>
              <w:spacing w:before="100" w:beforeAutospacing="1" w:after="100" w:afterAutospacing="1"/>
              <w:rPr>
                <w:rFonts w:eastAsia="Calibri" w:cs="Arial"/>
                <w:sz w:val="20"/>
                <w:szCs w:val="20"/>
                <w:lang w:val="es-CO"/>
              </w:rPr>
            </w:pPr>
            <w:r w:rsidRPr="007528E0">
              <w:rPr>
                <w:rFonts w:eastAsia="Calibri" w:cs="Arial"/>
                <w:sz w:val="20"/>
                <w:szCs w:val="20"/>
                <w:lang w:val="es-CO"/>
              </w:rPr>
              <w:t>Cabello</w:t>
            </w:r>
          </w:p>
        </w:tc>
        <w:tc>
          <w:tcPr>
            <w:tcW w:w="2943" w:type="dxa"/>
          </w:tcPr>
          <w:p w14:paraId="40609FDB" w14:textId="77777777" w:rsidR="0037398A" w:rsidRPr="007528E0" w:rsidRDefault="0037398A" w:rsidP="007528E0">
            <w:pPr>
              <w:spacing w:before="100" w:beforeAutospacing="1" w:after="100" w:afterAutospacing="1"/>
              <w:rPr>
                <w:rFonts w:eastAsia="Calibri" w:cs="Arial"/>
                <w:sz w:val="20"/>
                <w:szCs w:val="20"/>
                <w:lang w:val="es-CO"/>
              </w:rPr>
            </w:pPr>
            <w:r w:rsidRPr="007528E0">
              <w:rPr>
                <w:rFonts w:eastAsia="Calibri" w:cs="Arial"/>
                <w:sz w:val="20"/>
                <w:szCs w:val="20"/>
                <w:lang w:val="es-CO"/>
              </w:rPr>
              <w:t>0,5-2,1 ppm</w:t>
            </w:r>
          </w:p>
        </w:tc>
        <w:tc>
          <w:tcPr>
            <w:tcW w:w="2943" w:type="dxa"/>
          </w:tcPr>
          <w:p w14:paraId="55E16DDF" w14:textId="77777777" w:rsidR="0037398A" w:rsidRPr="007528E0" w:rsidRDefault="0037398A" w:rsidP="007528E0">
            <w:pPr>
              <w:spacing w:before="100" w:beforeAutospacing="1" w:after="100" w:afterAutospacing="1"/>
              <w:rPr>
                <w:rFonts w:eastAsia="Calibri" w:cs="Arial"/>
                <w:sz w:val="20"/>
                <w:szCs w:val="20"/>
                <w:lang w:val="es-CO"/>
              </w:rPr>
            </w:pPr>
          </w:p>
        </w:tc>
      </w:tr>
      <w:tr w:rsidR="007528E0" w:rsidRPr="007528E0" w14:paraId="60AA3D16" w14:textId="77777777" w:rsidTr="007528E0">
        <w:tc>
          <w:tcPr>
            <w:tcW w:w="2942" w:type="dxa"/>
          </w:tcPr>
          <w:p w14:paraId="0A82A3BB" w14:textId="77777777" w:rsidR="0037398A" w:rsidRPr="007528E0" w:rsidRDefault="0037398A" w:rsidP="007528E0">
            <w:pPr>
              <w:spacing w:before="100" w:beforeAutospacing="1" w:after="100" w:afterAutospacing="1"/>
              <w:rPr>
                <w:rFonts w:eastAsia="Calibri" w:cs="Arial"/>
                <w:sz w:val="20"/>
                <w:szCs w:val="20"/>
                <w:lang w:val="es-CO"/>
              </w:rPr>
            </w:pPr>
            <w:r w:rsidRPr="007528E0">
              <w:rPr>
                <w:rFonts w:eastAsia="Calibri" w:cs="Arial"/>
                <w:sz w:val="20"/>
                <w:szCs w:val="20"/>
                <w:lang w:val="es-CO"/>
              </w:rPr>
              <w:t>Uñas</w:t>
            </w:r>
          </w:p>
        </w:tc>
        <w:tc>
          <w:tcPr>
            <w:tcW w:w="2943" w:type="dxa"/>
          </w:tcPr>
          <w:p w14:paraId="50CFE22C" w14:textId="77777777" w:rsidR="0037398A" w:rsidRPr="007528E0" w:rsidRDefault="0037398A" w:rsidP="007528E0">
            <w:pPr>
              <w:spacing w:before="100" w:beforeAutospacing="1" w:after="100" w:afterAutospacing="1"/>
              <w:rPr>
                <w:rFonts w:eastAsia="Calibri" w:cs="Arial"/>
                <w:sz w:val="20"/>
                <w:szCs w:val="20"/>
                <w:lang w:val="es-CO"/>
              </w:rPr>
            </w:pPr>
            <w:r w:rsidRPr="007528E0">
              <w:rPr>
                <w:rFonts w:eastAsia="Calibri" w:cs="Arial"/>
                <w:sz w:val="20"/>
                <w:szCs w:val="20"/>
                <w:lang w:val="es-CO"/>
              </w:rPr>
              <w:t>0,82-3,5 ppm</w:t>
            </w:r>
          </w:p>
        </w:tc>
        <w:tc>
          <w:tcPr>
            <w:tcW w:w="2943" w:type="dxa"/>
          </w:tcPr>
          <w:p w14:paraId="52249663" w14:textId="77777777" w:rsidR="0037398A" w:rsidRPr="007528E0" w:rsidRDefault="0037398A" w:rsidP="007528E0">
            <w:pPr>
              <w:spacing w:before="100" w:beforeAutospacing="1" w:after="100" w:afterAutospacing="1"/>
              <w:rPr>
                <w:rFonts w:eastAsia="Calibri" w:cs="Arial"/>
                <w:sz w:val="20"/>
                <w:szCs w:val="20"/>
                <w:lang w:val="es-CO"/>
              </w:rPr>
            </w:pPr>
          </w:p>
        </w:tc>
      </w:tr>
      <w:tr w:rsidR="007528E0" w:rsidRPr="007528E0" w14:paraId="3CA01519" w14:textId="77777777" w:rsidTr="007528E0">
        <w:tc>
          <w:tcPr>
            <w:tcW w:w="2942" w:type="dxa"/>
          </w:tcPr>
          <w:p w14:paraId="7DF66F1F" w14:textId="77777777" w:rsidR="0037398A" w:rsidRPr="007528E0" w:rsidRDefault="0037398A" w:rsidP="007528E0">
            <w:pPr>
              <w:spacing w:before="100" w:beforeAutospacing="1" w:after="100" w:afterAutospacing="1"/>
              <w:rPr>
                <w:rFonts w:eastAsia="Calibri" w:cs="Arial"/>
                <w:sz w:val="20"/>
                <w:szCs w:val="20"/>
                <w:lang w:val="es-CO"/>
              </w:rPr>
            </w:pPr>
            <w:r w:rsidRPr="007528E0">
              <w:rPr>
                <w:rFonts w:eastAsia="Calibri" w:cs="Arial"/>
                <w:sz w:val="20"/>
                <w:szCs w:val="20"/>
                <w:lang w:val="es-CO"/>
              </w:rPr>
              <w:t>Agua de consumo</w:t>
            </w:r>
          </w:p>
        </w:tc>
        <w:tc>
          <w:tcPr>
            <w:tcW w:w="2943" w:type="dxa"/>
          </w:tcPr>
          <w:p w14:paraId="7211FB4F" w14:textId="77777777" w:rsidR="0037398A" w:rsidRPr="007528E0" w:rsidRDefault="0037398A" w:rsidP="007528E0">
            <w:pPr>
              <w:spacing w:before="100" w:beforeAutospacing="1" w:after="100" w:afterAutospacing="1"/>
              <w:rPr>
                <w:rFonts w:eastAsia="Calibri" w:cs="Arial"/>
                <w:sz w:val="20"/>
                <w:szCs w:val="20"/>
                <w:lang w:val="es-CO"/>
              </w:rPr>
            </w:pPr>
            <w:r w:rsidRPr="007528E0">
              <w:rPr>
                <w:rFonts w:eastAsia="Calibri" w:cs="Arial"/>
                <w:sz w:val="20"/>
                <w:szCs w:val="20"/>
                <w:lang w:val="es-CO"/>
              </w:rPr>
              <w:t>0,05 ppm</w:t>
            </w:r>
          </w:p>
        </w:tc>
        <w:tc>
          <w:tcPr>
            <w:tcW w:w="2943" w:type="dxa"/>
          </w:tcPr>
          <w:p w14:paraId="36E2FA10" w14:textId="77777777" w:rsidR="0037398A" w:rsidRPr="007528E0" w:rsidRDefault="0037398A" w:rsidP="007528E0">
            <w:pPr>
              <w:spacing w:before="100" w:beforeAutospacing="1" w:after="100" w:afterAutospacing="1"/>
              <w:rPr>
                <w:rFonts w:eastAsia="Calibri" w:cs="Arial"/>
                <w:sz w:val="20"/>
                <w:szCs w:val="20"/>
                <w:lang w:val="es-CO"/>
              </w:rPr>
            </w:pPr>
          </w:p>
        </w:tc>
      </w:tr>
    </w:tbl>
    <w:p w14:paraId="64563F64" w14:textId="77777777" w:rsidR="0037398A" w:rsidRPr="007528E0" w:rsidRDefault="0037398A" w:rsidP="0037398A">
      <w:pPr>
        <w:spacing w:before="100" w:beforeAutospacing="1" w:after="100" w:afterAutospacing="1"/>
        <w:jc w:val="center"/>
        <w:rPr>
          <w:rFonts w:eastAsia="Calibri" w:cs="Arial"/>
          <w:sz w:val="16"/>
          <w:szCs w:val="16"/>
          <w:lang w:val="es-CO"/>
        </w:rPr>
      </w:pPr>
      <w:r w:rsidRPr="007528E0">
        <w:rPr>
          <w:rFonts w:eastAsia="Calibri" w:cs="Arial"/>
          <w:sz w:val="16"/>
          <w:szCs w:val="16"/>
          <w:lang w:val="es-CO"/>
        </w:rPr>
        <w:t>Fuente:</w:t>
      </w:r>
      <w:r w:rsidRPr="007528E0">
        <w:rPr>
          <w:rFonts w:eastAsia="Calibri" w:cs="Arial"/>
          <w:sz w:val="16"/>
          <w:szCs w:val="16"/>
          <w:lang w:val="es-CO"/>
        </w:rPr>
        <w:fldChar w:fldCharType="begin" w:fldLock="1"/>
      </w:r>
      <w:r w:rsidRPr="007528E0">
        <w:rPr>
          <w:rFonts w:eastAsia="Calibri" w:cs="Arial"/>
          <w:sz w:val="16"/>
          <w:szCs w:val="16"/>
          <w:lang w:val="es-CO"/>
        </w:rPr>
        <w:instrText>ADDIN CSL_CITATION { "citationItems" : [ { "id" : "ITEM-1", "itemData" : { "ISBN" : "958-9446-16-7", "author" : [ { "dropping-particle" : "", "family" : "C\u00f3rdoba D", "given" : "", "non-dropping-particle" : "", "parse-names" : false, "suffix" : "" } ], "id" : "ITEM-1", "issued" : { "date-parts" : [ [ "2006" ] ] }, "number-of-pages" : "460", "title" : "Toxicolog\u00eda, editorial el Manual Moderno, Quinta edici\u00f3n", "type" : "book" }, "uris" : [ "http://www.mendeley.com/documents/?uuid=6dab011e-ecb3-4fbf-a69a-bb86e91ad241" ] } ], "mendeley" : { "formattedCitation" : "(37)", "plainTextFormattedCitation" : "(37)", "previouslyFormattedCitation" : "(37)" }, "properties" : { "noteIndex" : 0 }, "schema" : "https://github.com/citation-style-language/schema/raw/master/csl-citation.json" }</w:instrText>
      </w:r>
      <w:r w:rsidRPr="007528E0">
        <w:rPr>
          <w:rFonts w:eastAsia="Calibri" w:cs="Arial"/>
          <w:sz w:val="16"/>
          <w:szCs w:val="16"/>
          <w:lang w:val="es-CO"/>
        </w:rPr>
        <w:fldChar w:fldCharType="separate"/>
      </w:r>
      <w:r w:rsidRPr="007528E0">
        <w:rPr>
          <w:rFonts w:eastAsia="Calibri" w:cs="Arial"/>
          <w:noProof/>
          <w:sz w:val="16"/>
          <w:szCs w:val="16"/>
          <w:lang w:val="es-CO"/>
        </w:rPr>
        <w:t>(37)</w:t>
      </w:r>
      <w:r w:rsidRPr="007528E0">
        <w:rPr>
          <w:rFonts w:eastAsia="Calibri" w:cs="Arial"/>
          <w:sz w:val="16"/>
          <w:szCs w:val="16"/>
          <w:lang w:val="es-CO"/>
        </w:rPr>
        <w:fldChar w:fldCharType="end"/>
      </w:r>
    </w:p>
    <w:p w14:paraId="5BCABAF7" w14:textId="77777777" w:rsidR="0037398A" w:rsidRPr="007528E0" w:rsidRDefault="0037398A" w:rsidP="0037398A">
      <w:pPr>
        <w:pStyle w:val="Ttulo2"/>
        <w:numPr>
          <w:ilvl w:val="0"/>
          <w:numId w:val="25"/>
        </w:numPr>
        <w:spacing w:before="100" w:beforeAutospacing="1" w:after="100" w:afterAutospacing="1"/>
        <w:jc w:val="left"/>
        <w:rPr>
          <w:sz w:val="22"/>
          <w:szCs w:val="22"/>
        </w:rPr>
      </w:pPr>
      <w:bookmarkStart w:id="27" w:name="_Toc464122682"/>
      <w:bookmarkStart w:id="28" w:name="_Toc505456659"/>
      <w:r w:rsidRPr="007528E0">
        <w:rPr>
          <w:sz w:val="22"/>
          <w:szCs w:val="22"/>
        </w:rPr>
        <w:t>Intoxicación por solventes</w:t>
      </w:r>
      <w:bookmarkEnd w:id="27"/>
      <w:r w:rsidRPr="007528E0">
        <w:rPr>
          <w:sz w:val="22"/>
          <w:szCs w:val="22"/>
        </w:rPr>
        <w:t xml:space="preserve"> (Grupo sustancia 5)</w:t>
      </w:r>
      <w:bookmarkEnd w:id="28"/>
    </w:p>
    <w:p w14:paraId="0B737531" w14:textId="77777777" w:rsidR="0037398A" w:rsidRPr="007528E0" w:rsidRDefault="0037398A" w:rsidP="0037398A">
      <w:pPr>
        <w:pStyle w:val="Normal1"/>
        <w:spacing w:before="100" w:beforeAutospacing="1" w:after="100" w:afterAutospacing="1"/>
        <w:jc w:val="both"/>
        <w:rPr>
          <w:rFonts w:ascii="Arial" w:hAnsi="Arial" w:cs="Arial"/>
          <w:color w:val="auto"/>
          <w:sz w:val="22"/>
          <w:szCs w:val="22"/>
        </w:rPr>
      </w:pPr>
      <w:r w:rsidRPr="007528E0">
        <w:rPr>
          <w:rFonts w:ascii="Arial" w:eastAsia="Calibri" w:hAnsi="Arial" w:cs="Arial"/>
          <w:color w:val="auto"/>
          <w:sz w:val="22"/>
          <w:szCs w:val="22"/>
        </w:rPr>
        <w:t xml:space="preserve">Los solventes son una clase heterogénea de productos químicos, usados para disolver y para proveer un vehículo para liberar otras sustancias químicas </w:t>
      </w:r>
      <w:r w:rsidRPr="007528E0">
        <w:rPr>
          <w:rFonts w:ascii="Arial" w:eastAsia="Calibri" w:hAnsi="Arial" w:cs="Arial"/>
          <w:color w:val="auto"/>
          <w:sz w:val="22"/>
          <w:szCs w:val="22"/>
        </w:rPr>
        <w:fldChar w:fldCharType="begin" w:fldLock="1"/>
      </w:r>
      <w:r w:rsidRPr="007528E0">
        <w:rPr>
          <w:rFonts w:ascii="Arial" w:eastAsia="Calibri" w:hAnsi="Arial" w:cs="Arial"/>
          <w:color w:val="auto"/>
          <w:sz w:val="22"/>
          <w:szCs w:val="22"/>
        </w:rPr>
        <w:instrText>ADDIN CSL_CITATION { "citationItems" : [ { "id" : "ITEM-1", "itemData" : { "author" : [ { "dropping-particle" : "", "family" : "Hoffman, R.S., et al.", "given" : "", "non-dropping-particle" : "", "parse-names" : false, "suffix" : "" } ], "container-title" : "McGraw-Hill: New York", "id" : "ITEM-1", "issued" : { "date-parts" : [ [ "0" ] ] }, "title" : "Goldfrank\u00b4s. Manual of toxicologic emergencies. 2008", "type" : "article-journal" }, "uris" : [ "http://www.mendeley.com/documents/?uuid=6101ab90-992b-4bdb-b668-1473ce76ffb9" ] } ], "mendeley" : { "formattedCitation" : "(26)", "plainTextFormattedCitation" : "(26)", "previouslyFormattedCitation" : "(26)" }, "properties" : { "noteIndex" : 0 }, "schema" : "https://github.com/citation-style-language/schema/raw/master/csl-citation.json" }</w:instrText>
      </w:r>
      <w:r w:rsidRPr="007528E0">
        <w:rPr>
          <w:rFonts w:ascii="Arial" w:eastAsia="Calibri" w:hAnsi="Arial" w:cs="Arial"/>
          <w:color w:val="auto"/>
          <w:sz w:val="22"/>
          <w:szCs w:val="22"/>
        </w:rPr>
        <w:fldChar w:fldCharType="separate"/>
      </w:r>
      <w:r w:rsidRPr="007528E0">
        <w:rPr>
          <w:rFonts w:ascii="Arial" w:eastAsia="Calibri" w:hAnsi="Arial" w:cs="Arial"/>
          <w:noProof/>
          <w:color w:val="auto"/>
          <w:sz w:val="22"/>
          <w:szCs w:val="22"/>
        </w:rPr>
        <w:t>(26)</w:t>
      </w:r>
      <w:r w:rsidRPr="007528E0">
        <w:rPr>
          <w:rFonts w:ascii="Arial" w:eastAsia="Calibri" w:hAnsi="Arial" w:cs="Arial"/>
          <w:color w:val="auto"/>
          <w:sz w:val="22"/>
          <w:szCs w:val="22"/>
        </w:rPr>
        <w:fldChar w:fldCharType="end"/>
      </w:r>
      <w:r w:rsidRPr="007528E0">
        <w:rPr>
          <w:rFonts w:ascii="Arial" w:eastAsia="Calibri" w:hAnsi="Arial" w:cs="Arial"/>
          <w:color w:val="auto"/>
          <w:sz w:val="22"/>
          <w:szCs w:val="22"/>
        </w:rPr>
        <w:t xml:space="preserve">. Son productos de bajo costo y amplia disponibilidad, se utilizan ampliamente en el ámbito industrial y doméstico ya que hacen parte solos o en combinación de muchos productos como: desengrasantes, lacas, esmaltes, combustibles, pinturas, alcoholes (isopropílico y butanol), tintas, pegantes, limpiadores; sus efectos se producen por ingestión (tracto gastrointestinal), en piel o por la inhalación de sus vapores ya sea de manera accidental u ocupacional y se pueden usar fácilmente con fines de abuso. </w:t>
      </w:r>
    </w:p>
    <w:p w14:paraId="67639C02" w14:textId="77777777" w:rsidR="0037398A" w:rsidRPr="007528E0" w:rsidRDefault="0037398A" w:rsidP="0037398A">
      <w:pPr>
        <w:pStyle w:val="Normal1"/>
        <w:spacing w:before="100" w:beforeAutospacing="1" w:after="100" w:afterAutospacing="1"/>
        <w:jc w:val="both"/>
        <w:rPr>
          <w:rFonts w:ascii="Arial" w:eastAsia="Calibri" w:hAnsi="Arial" w:cs="Arial"/>
          <w:color w:val="auto"/>
          <w:sz w:val="22"/>
          <w:szCs w:val="22"/>
        </w:rPr>
      </w:pPr>
      <w:r w:rsidRPr="007528E0">
        <w:rPr>
          <w:rFonts w:ascii="Arial" w:eastAsia="Calibri" w:hAnsi="Arial" w:cs="Arial"/>
          <w:color w:val="auto"/>
          <w:sz w:val="22"/>
          <w:szCs w:val="22"/>
        </w:rPr>
        <w:t xml:space="preserve">La gran mayoría son compuestos orgánicos derivados del petróleo (ver tabla 13), son líquidos a temperatura ambiente, mínimamente reactivos, capaces de disolver una gran cantidad de compuestos orgánicos y en general altamente volátiles </w:t>
      </w:r>
      <w:r w:rsidRPr="007528E0">
        <w:rPr>
          <w:rFonts w:ascii="Arial" w:eastAsia="Calibri" w:hAnsi="Arial" w:cs="Arial"/>
          <w:color w:val="auto"/>
          <w:sz w:val="22"/>
          <w:szCs w:val="22"/>
        </w:rPr>
        <w:fldChar w:fldCharType="begin" w:fldLock="1"/>
      </w:r>
      <w:r w:rsidRPr="007528E0">
        <w:rPr>
          <w:rFonts w:ascii="Arial" w:eastAsia="Calibri" w:hAnsi="Arial" w:cs="Arial"/>
          <w:color w:val="auto"/>
          <w:sz w:val="22"/>
          <w:szCs w:val="22"/>
        </w:rPr>
        <w:instrText>ADDIN CSL_CITATION { "citationItems" : [ { "id" : "ITEM-1", "itemData" : { "author" : [ { "dropping-particle" : "", "family" : "Henao Robledo", "given" : "F.", "non-dropping-particle" : "", "parse-names" : false, "suffix" : "" } ], "container-title" : "EcoeEdiciones", "id" : "ITEM-1", "issued" : { "date-parts" : [ [ "2008" ] ] }, "title" : "Riesgos qu\u00edmicos", "type" : "report" }, "uris" : [ "http://www.mendeley.com/documents/?uuid=0d106043-e28b-420d-80a5-91bf495bb18d" ] } ], "mendeley" : { "formattedCitation" : "(61)", "plainTextFormattedCitation" : "(61)", "previouslyFormattedCitation" : "(61)" }, "properties" : { "noteIndex" : 0 }, "schema" : "https://github.com/citation-style-language/schema/raw/master/csl-citation.json" }</w:instrText>
      </w:r>
      <w:r w:rsidRPr="007528E0">
        <w:rPr>
          <w:rFonts w:ascii="Arial" w:eastAsia="Calibri" w:hAnsi="Arial" w:cs="Arial"/>
          <w:color w:val="auto"/>
          <w:sz w:val="22"/>
          <w:szCs w:val="22"/>
        </w:rPr>
        <w:fldChar w:fldCharType="separate"/>
      </w:r>
      <w:r w:rsidRPr="007528E0">
        <w:rPr>
          <w:rFonts w:ascii="Arial" w:eastAsia="Calibri" w:hAnsi="Arial" w:cs="Arial"/>
          <w:noProof/>
          <w:color w:val="auto"/>
          <w:sz w:val="22"/>
          <w:szCs w:val="22"/>
        </w:rPr>
        <w:t>(61)</w:t>
      </w:r>
      <w:r w:rsidRPr="007528E0">
        <w:rPr>
          <w:rFonts w:ascii="Arial" w:eastAsia="Calibri" w:hAnsi="Arial" w:cs="Arial"/>
          <w:color w:val="auto"/>
          <w:sz w:val="22"/>
          <w:szCs w:val="22"/>
        </w:rPr>
        <w:fldChar w:fldCharType="end"/>
      </w:r>
      <w:r w:rsidRPr="007528E0">
        <w:rPr>
          <w:rFonts w:ascii="Arial" w:eastAsia="Calibri" w:hAnsi="Arial" w:cs="Arial"/>
          <w:color w:val="auto"/>
          <w:sz w:val="22"/>
          <w:szCs w:val="22"/>
        </w:rPr>
        <w:t xml:space="preserve">. </w:t>
      </w:r>
    </w:p>
    <w:p w14:paraId="7364F64E" w14:textId="77777777" w:rsidR="0037398A" w:rsidRPr="007528E0" w:rsidRDefault="0037398A" w:rsidP="0037398A">
      <w:pPr>
        <w:pStyle w:val="Descripcin"/>
        <w:spacing w:before="100" w:beforeAutospacing="1" w:after="100" w:afterAutospacing="1"/>
        <w:jc w:val="center"/>
        <w:rPr>
          <w:rFonts w:cs="Arial"/>
          <w:i w:val="0"/>
          <w:color w:val="auto"/>
          <w:sz w:val="22"/>
          <w:szCs w:val="22"/>
        </w:rPr>
      </w:pPr>
      <w:bookmarkStart w:id="29" w:name="_Toc505456259"/>
      <w:r w:rsidRPr="007528E0">
        <w:rPr>
          <w:rFonts w:cs="Arial"/>
          <w:b/>
          <w:color w:val="auto"/>
          <w:sz w:val="22"/>
          <w:szCs w:val="22"/>
        </w:rPr>
        <w:t xml:space="preserve">Tabla </w:t>
      </w:r>
      <w:r w:rsidRPr="007528E0">
        <w:rPr>
          <w:rFonts w:cs="Arial"/>
          <w:b/>
          <w:color w:val="auto"/>
          <w:sz w:val="22"/>
          <w:szCs w:val="22"/>
        </w:rPr>
        <w:fldChar w:fldCharType="begin"/>
      </w:r>
      <w:r w:rsidRPr="007528E0">
        <w:rPr>
          <w:rFonts w:cs="Arial"/>
          <w:b/>
          <w:color w:val="auto"/>
          <w:sz w:val="22"/>
          <w:szCs w:val="22"/>
        </w:rPr>
        <w:instrText xml:space="preserve"> SEQ Tabla \* ARABIC </w:instrText>
      </w:r>
      <w:r w:rsidRPr="007528E0">
        <w:rPr>
          <w:rFonts w:cs="Arial"/>
          <w:b/>
          <w:color w:val="auto"/>
          <w:sz w:val="22"/>
          <w:szCs w:val="22"/>
        </w:rPr>
        <w:fldChar w:fldCharType="separate"/>
      </w:r>
      <w:r w:rsidRPr="007528E0">
        <w:rPr>
          <w:rFonts w:cs="Arial"/>
          <w:b/>
          <w:noProof/>
          <w:color w:val="auto"/>
          <w:sz w:val="22"/>
          <w:szCs w:val="22"/>
        </w:rPr>
        <w:t>13</w:t>
      </w:r>
      <w:r w:rsidRPr="007528E0">
        <w:rPr>
          <w:rFonts w:cs="Arial"/>
          <w:b/>
          <w:color w:val="auto"/>
          <w:sz w:val="22"/>
          <w:szCs w:val="22"/>
        </w:rPr>
        <w:fldChar w:fldCharType="end"/>
      </w:r>
      <w:r w:rsidRPr="007528E0">
        <w:rPr>
          <w:rFonts w:cs="Arial"/>
          <w:color w:val="auto"/>
          <w:sz w:val="22"/>
          <w:szCs w:val="22"/>
        </w:rPr>
        <w:t>. Principales grupos de solventes orgánicos.</w:t>
      </w:r>
      <w:bookmarkEnd w:id="29"/>
    </w:p>
    <w:tbl>
      <w:tblPr>
        <w:tblStyle w:val="Tablaconcuadrcula"/>
        <w:tblW w:w="5000" w:type="pct"/>
        <w:tblLayout w:type="fixed"/>
        <w:tblLook w:val="04A0" w:firstRow="1" w:lastRow="0" w:firstColumn="1" w:lastColumn="0" w:noHBand="0" w:noVBand="1"/>
      </w:tblPr>
      <w:tblGrid>
        <w:gridCol w:w="1042"/>
        <w:gridCol w:w="1194"/>
        <w:gridCol w:w="1079"/>
        <w:gridCol w:w="1182"/>
        <w:gridCol w:w="1182"/>
        <w:gridCol w:w="1125"/>
        <w:gridCol w:w="1125"/>
        <w:gridCol w:w="1125"/>
      </w:tblGrid>
      <w:tr w:rsidR="007528E0" w:rsidRPr="007528E0" w14:paraId="3AD6E583" w14:textId="77777777" w:rsidTr="007528E0">
        <w:tc>
          <w:tcPr>
            <w:tcW w:w="575" w:type="pct"/>
            <w:vAlign w:val="center"/>
          </w:tcPr>
          <w:p w14:paraId="0349F8AA" w14:textId="77777777" w:rsidR="0037398A" w:rsidRPr="007528E0" w:rsidRDefault="0037398A" w:rsidP="007528E0">
            <w:pPr>
              <w:spacing w:before="100" w:beforeAutospacing="1" w:after="100" w:afterAutospacing="1"/>
              <w:jc w:val="center"/>
              <w:rPr>
                <w:rFonts w:cs="Arial"/>
                <w:b/>
                <w:sz w:val="16"/>
                <w:szCs w:val="16"/>
              </w:rPr>
            </w:pPr>
            <w:r w:rsidRPr="007528E0">
              <w:rPr>
                <w:rFonts w:cs="Arial"/>
                <w:b/>
                <w:sz w:val="16"/>
                <w:szCs w:val="16"/>
              </w:rPr>
              <w:t>Grupo químico</w:t>
            </w:r>
          </w:p>
        </w:tc>
        <w:tc>
          <w:tcPr>
            <w:tcW w:w="659" w:type="pct"/>
            <w:vAlign w:val="center"/>
          </w:tcPr>
          <w:p w14:paraId="47D53BA5" w14:textId="77777777" w:rsidR="0037398A" w:rsidRPr="007528E0" w:rsidRDefault="0037398A" w:rsidP="007528E0">
            <w:pPr>
              <w:spacing w:before="100" w:beforeAutospacing="1" w:after="100" w:afterAutospacing="1"/>
              <w:jc w:val="center"/>
              <w:rPr>
                <w:rFonts w:cs="Arial"/>
                <w:b/>
                <w:sz w:val="16"/>
                <w:szCs w:val="16"/>
              </w:rPr>
            </w:pPr>
            <w:r w:rsidRPr="007528E0">
              <w:rPr>
                <w:rFonts w:cs="Arial"/>
                <w:b/>
                <w:sz w:val="16"/>
                <w:szCs w:val="16"/>
              </w:rPr>
              <w:t>Producto</w:t>
            </w:r>
          </w:p>
        </w:tc>
        <w:tc>
          <w:tcPr>
            <w:tcW w:w="596" w:type="pct"/>
            <w:vAlign w:val="center"/>
          </w:tcPr>
          <w:p w14:paraId="5A5DF106" w14:textId="77777777" w:rsidR="0037398A" w:rsidRPr="007528E0" w:rsidRDefault="0037398A" w:rsidP="007528E0">
            <w:pPr>
              <w:spacing w:before="100" w:beforeAutospacing="1" w:after="100" w:afterAutospacing="1"/>
              <w:jc w:val="center"/>
              <w:rPr>
                <w:rFonts w:cs="Arial"/>
                <w:b/>
                <w:sz w:val="16"/>
                <w:szCs w:val="16"/>
              </w:rPr>
            </w:pPr>
            <w:r w:rsidRPr="007528E0">
              <w:rPr>
                <w:rFonts w:cs="Arial"/>
                <w:b/>
                <w:sz w:val="16"/>
                <w:szCs w:val="16"/>
              </w:rPr>
              <w:t>Manifestaciones exposición inhalatoria</w:t>
            </w:r>
          </w:p>
        </w:tc>
        <w:tc>
          <w:tcPr>
            <w:tcW w:w="653" w:type="pct"/>
            <w:vAlign w:val="center"/>
          </w:tcPr>
          <w:p w14:paraId="60F459FB" w14:textId="77777777" w:rsidR="0037398A" w:rsidRPr="007528E0" w:rsidRDefault="0037398A" w:rsidP="007528E0">
            <w:pPr>
              <w:spacing w:before="100" w:beforeAutospacing="1" w:after="100" w:afterAutospacing="1"/>
              <w:jc w:val="center"/>
              <w:rPr>
                <w:rFonts w:cs="Arial"/>
                <w:b/>
                <w:sz w:val="16"/>
                <w:szCs w:val="16"/>
              </w:rPr>
            </w:pPr>
            <w:r w:rsidRPr="007528E0">
              <w:rPr>
                <w:rFonts w:cs="Arial"/>
                <w:b/>
                <w:sz w:val="16"/>
                <w:szCs w:val="16"/>
              </w:rPr>
              <w:t>Manifestaciones exposición oral</w:t>
            </w:r>
          </w:p>
        </w:tc>
        <w:tc>
          <w:tcPr>
            <w:tcW w:w="653" w:type="pct"/>
            <w:vAlign w:val="center"/>
          </w:tcPr>
          <w:p w14:paraId="192CD41E" w14:textId="77777777" w:rsidR="0037398A" w:rsidRPr="007528E0" w:rsidRDefault="0037398A" w:rsidP="007528E0">
            <w:pPr>
              <w:spacing w:before="100" w:beforeAutospacing="1" w:after="100" w:afterAutospacing="1"/>
              <w:jc w:val="center"/>
              <w:rPr>
                <w:rFonts w:cs="Arial"/>
                <w:b/>
                <w:sz w:val="16"/>
                <w:szCs w:val="16"/>
              </w:rPr>
            </w:pPr>
            <w:r w:rsidRPr="007528E0">
              <w:rPr>
                <w:rFonts w:cs="Arial"/>
                <w:b/>
                <w:sz w:val="16"/>
                <w:szCs w:val="16"/>
              </w:rPr>
              <w:t>Manifestaciones toxicidad sistémica</w:t>
            </w:r>
          </w:p>
        </w:tc>
        <w:tc>
          <w:tcPr>
            <w:tcW w:w="621" w:type="pct"/>
            <w:vAlign w:val="center"/>
          </w:tcPr>
          <w:p w14:paraId="67D245E2" w14:textId="77777777" w:rsidR="0037398A" w:rsidRPr="007528E0" w:rsidRDefault="0037398A" w:rsidP="007528E0">
            <w:pPr>
              <w:spacing w:before="100" w:beforeAutospacing="1" w:after="100" w:afterAutospacing="1"/>
              <w:jc w:val="center"/>
              <w:rPr>
                <w:rFonts w:cs="Arial"/>
                <w:b/>
                <w:sz w:val="16"/>
                <w:szCs w:val="16"/>
              </w:rPr>
            </w:pPr>
            <w:r w:rsidRPr="007528E0">
              <w:rPr>
                <w:rFonts w:cs="Arial"/>
                <w:b/>
                <w:sz w:val="16"/>
                <w:szCs w:val="16"/>
              </w:rPr>
              <w:t xml:space="preserve">Exposición </w:t>
            </w:r>
          </w:p>
          <w:p w14:paraId="08CFD7C8" w14:textId="77777777" w:rsidR="0037398A" w:rsidRPr="007528E0" w:rsidRDefault="0037398A" w:rsidP="007528E0">
            <w:pPr>
              <w:spacing w:before="100" w:beforeAutospacing="1" w:after="100" w:afterAutospacing="1"/>
              <w:jc w:val="center"/>
              <w:rPr>
                <w:rFonts w:cs="Arial"/>
                <w:b/>
                <w:sz w:val="16"/>
                <w:szCs w:val="16"/>
              </w:rPr>
            </w:pPr>
            <w:r w:rsidRPr="007528E0">
              <w:rPr>
                <w:rFonts w:cs="Arial"/>
                <w:b/>
                <w:sz w:val="16"/>
                <w:szCs w:val="16"/>
              </w:rPr>
              <w:t>aguda</w:t>
            </w:r>
          </w:p>
        </w:tc>
        <w:tc>
          <w:tcPr>
            <w:tcW w:w="621" w:type="pct"/>
            <w:vAlign w:val="center"/>
          </w:tcPr>
          <w:p w14:paraId="2895BD9E" w14:textId="77777777" w:rsidR="0037398A" w:rsidRPr="007528E0" w:rsidRDefault="0037398A" w:rsidP="007528E0">
            <w:pPr>
              <w:spacing w:before="100" w:beforeAutospacing="1" w:after="100" w:afterAutospacing="1"/>
              <w:jc w:val="center"/>
              <w:rPr>
                <w:rFonts w:cs="Arial"/>
                <w:b/>
                <w:sz w:val="16"/>
                <w:szCs w:val="16"/>
              </w:rPr>
            </w:pPr>
            <w:r w:rsidRPr="007528E0">
              <w:rPr>
                <w:rFonts w:cs="Arial"/>
                <w:b/>
                <w:sz w:val="16"/>
                <w:szCs w:val="16"/>
              </w:rPr>
              <w:t xml:space="preserve">Exposición </w:t>
            </w:r>
          </w:p>
          <w:p w14:paraId="13982573" w14:textId="77777777" w:rsidR="0037398A" w:rsidRPr="007528E0" w:rsidRDefault="0037398A" w:rsidP="007528E0">
            <w:pPr>
              <w:spacing w:before="100" w:beforeAutospacing="1" w:after="100" w:afterAutospacing="1"/>
              <w:jc w:val="center"/>
              <w:rPr>
                <w:rFonts w:cs="Arial"/>
                <w:b/>
                <w:sz w:val="16"/>
                <w:szCs w:val="16"/>
              </w:rPr>
            </w:pPr>
            <w:r w:rsidRPr="007528E0">
              <w:rPr>
                <w:rFonts w:cs="Arial"/>
                <w:b/>
                <w:sz w:val="16"/>
                <w:szCs w:val="16"/>
              </w:rPr>
              <w:t>crónica</w:t>
            </w:r>
          </w:p>
        </w:tc>
        <w:tc>
          <w:tcPr>
            <w:tcW w:w="621" w:type="pct"/>
            <w:vAlign w:val="center"/>
          </w:tcPr>
          <w:p w14:paraId="4EE17874" w14:textId="77777777" w:rsidR="0037398A" w:rsidRPr="007528E0" w:rsidRDefault="0037398A" w:rsidP="007528E0">
            <w:pPr>
              <w:spacing w:before="100" w:beforeAutospacing="1" w:after="100" w:afterAutospacing="1"/>
              <w:jc w:val="center"/>
              <w:rPr>
                <w:rFonts w:cs="Arial"/>
                <w:b/>
                <w:sz w:val="16"/>
                <w:szCs w:val="16"/>
              </w:rPr>
            </w:pPr>
            <w:r w:rsidRPr="007528E0">
              <w:rPr>
                <w:rFonts w:cs="Arial"/>
                <w:b/>
                <w:sz w:val="16"/>
                <w:szCs w:val="16"/>
              </w:rPr>
              <w:t>Laboratorio de toxicología</w:t>
            </w:r>
          </w:p>
        </w:tc>
      </w:tr>
      <w:tr w:rsidR="007528E0" w:rsidRPr="007528E0" w14:paraId="648660D5" w14:textId="77777777" w:rsidTr="007528E0">
        <w:tc>
          <w:tcPr>
            <w:tcW w:w="575" w:type="pct"/>
            <w:vAlign w:val="center"/>
          </w:tcPr>
          <w:p w14:paraId="612FB797" w14:textId="77777777" w:rsidR="0037398A" w:rsidRPr="007528E0" w:rsidRDefault="0037398A" w:rsidP="007528E0">
            <w:pPr>
              <w:spacing w:before="100" w:beforeAutospacing="1" w:after="100" w:afterAutospacing="1"/>
              <w:jc w:val="center"/>
              <w:rPr>
                <w:rFonts w:cs="Arial"/>
                <w:bCs/>
                <w:sz w:val="16"/>
                <w:szCs w:val="16"/>
              </w:rPr>
            </w:pPr>
            <w:r w:rsidRPr="007528E0">
              <w:rPr>
                <w:rFonts w:cs="Arial"/>
                <w:bCs/>
                <w:sz w:val="16"/>
                <w:szCs w:val="16"/>
              </w:rPr>
              <w:t>Hidrocarburos Alifáticos</w:t>
            </w:r>
          </w:p>
        </w:tc>
        <w:tc>
          <w:tcPr>
            <w:tcW w:w="659" w:type="pct"/>
            <w:vAlign w:val="center"/>
          </w:tcPr>
          <w:p w14:paraId="7EA3165C" w14:textId="77777777" w:rsidR="0037398A" w:rsidRPr="007528E0" w:rsidRDefault="0037398A" w:rsidP="007528E0">
            <w:pPr>
              <w:spacing w:before="100" w:beforeAutospacing="1" w:after="100" w:afterAutospacing="1"/>
              <w:rPr>
                <w:rFonts w:cs="Arial"/>
                <w:bCs/>
                <w:sz w:val="16"/>
                <w:szCs w:val="16"/>
                <w:lang w:val="en-US"/>
              </w:rPr>
            </w:pPr>
            <w:proofErr w:type="spellStart"/>
            <w:r w:rsidRPr="007528E0">
              <w:rPr>
                <w:rFonts w:cs="Arial"/>
                <w:bCs/>
                <w:sz w:val="16"/>
                <w:szCs w:val="16"/>
                <w:lang w:val="en-US"/>
              </w:rPr>
              <w:t>Gasolina</w:t>
            </w:r>
            <w:proofErr w:type="spellEnd"/>
            <w:r w:rsidRPr="007528E0">
              <w:rPr>
                <w:rFonts w:cs="Arial"/>
                <w:bCs/>
                <w:sz w:val="16"/>
                <w:szCs w:val="16"/>
                <w:lang w:val="en-US"/>
              </w:rPr>
              <w:t>, kerosene, thinner, n-</w:t>
            </w:r>
            <w:proofErr w:type="spellStart"/>
            <w:r w:rsidRPr="007528E0">
              <w:rPr>
                <w:rFonts w:cs="Arial"/>
                <w:bCs/>
                <w:sz w:val="16"/>
                <w:szCs w:val="16"/>
                <w:lang w:val="en-US"/>
              </w:rPr>
              <w:lastRenderedPageBreak/>
              <w:t>Hexano</w:t>
            </w:r>
            <w:proofErr w:type="spellEnd"/>
            <w:r w:rsidRPr="007528E0">
              <w:rPr>
                <w:rFonts w:cs="Arial"/>
                <w:bCs/>
                <w:sz w:val="16"/>
                <w:szCs w:val="16"/>
                <w:lang w:val="en-US"/>
              </w:rPr>
              <w:t>.</w:t>
            </w:r>
          </w:p>
          <w:p w14:paraId="519DC6F3" w14:textId="77777777" w:rsidR="0037398A" w:rsidRPr="007528E0" w:rsidRDefault="0037398A" w:rsidP="007528E0">
            <w:pPr>
              <w:spacing w:before="100" w:beforeAutospacing="1" w:after="100" w:afterAutospacing="1"/>
              <w:rPr>
                <w:rFonts w:cs="Arial"/>
                <w:bCs/>
                <w:sz w:val="16"/>
                <w:szCs w:val="16"/>
                <w:lang w:val="en-US"/>
              </w:rPr>
            </w:pPr>
            <w:proofErr w:type="spellStart"/>
            <w:r w:rsidRPr="007528E0">
              <w:rPr>
                <w:rFonts w:cs="Arial"/>
                <w:bCs/>
                <w:sz w:val="16"/>
                <w:szCs w:val="16"/>
                <w:lang w:val="en-US"/>
              </w:rPr>
              <w:t>Alkanos</w:t>
            </w:r>
            <w:proofErr w:type="spellEnd"/>
          </w:p>
          <w:p w14:paraId="2CE6381D" w14:textId="77777777" w:rsidR="0037398A" w:rsidRPr="007528E0" w:rsidRDefault="0037398A" w:rsidP="007528E0">
            <w:pPr>
              <w:spacing w:before="100" w:beforeAutospacing="1" w:after="100" w:afterAutospacing="1"/>
              <w:rPr>
                <w:rFonts w:cs="Arial"/>
                <w:bCs/>
                <w:sz w:val="16"/>
                <w:szCs w:val="16"/>
                <w:lang w:val="en-US"/>
              </w:rPr>
            </w:pPr>
            <w:proofErr w:type="spellStart"/>
            <w:r w:rsidRPr="007528E0">
              <w:rPr>
                <w:rFonts w:cs="Arial"/>
                <w:bCs/>
                <w:sz w:val="16"/>
                <w:szCs w:val="16"/>
                <w:lang w:val="en-US"/>
              </w:rPr>
              <w:t>Alkenos</w:t>
            </w:r>
            <w:proofErr w:type="spellEnd"/>
          </w:p>
        </w:tc>
        <w:tc>
          <w:tcPr>
            <w:tcW w:w="596" w:type="pct"/>
            <w:vMerge w:val="restart"/>
            <w:vAlign w:val="center"/>
          </w:tcPr>
          <w:p w14:paraId="1703703A" w14:textId="77777777" w:rsidR="0037398A" w:rsidRPr="007528E0" w:rsidRDefault="0037398A" w:rsidP="007528E0">
            <w:pPr>
              <w:spacing w:before="100" w:beforeAutospacing="1" w:after="100" w:afterAutospacing="1"/>
              <w:rPr>
                <w:rFonts w:cs="Arial"/>
                <w:sz w:val="16"/>
                <w:szCs w:val="16"/>
                <w:lang w:val="es-CO"/>
              </w:rPr>
            </w:pPr>
            <w:r w:rsidRPr="007528E0">
              <w:rPr>
                <w:rFonts w:cs="Arial"/>
                <w:bCs/>
                <w:sz w:val="16"/>
                <w:szCs w:val="16"/>
              </w:rPr>
              <w:lastRenderedPageBreak/>
              <w:t xml:space="preserve">Tos, náuseas, disnea, </w:t>
            </w:r>
            <w:r w:rsidRPr="007528E0">
              <w:rPr>
                <w:rFonts w:cs="Arial"/>
                <w:bCs/>
                <w:sz w:val="16"/>
                <w:szCs w:val="16"/>
              </w:rPr>
              <w:lastRenderedPageBreak/>
              <w:t xml:space="preserve">puede progresar rápidamente a sibilancias, </w:t>
            </w:r>
            <w:proofErr w:type="spellStart"/>
            <w:r w:rsidRPr="007528E0">
              <w:rPr>
                <w:rFonts w:cs="Arial"/>
                <w:bCs/>
                <w:sz w:val="16"/>
                <w:szCs w:val="16"/>
              </w:rPr>
              <w:t>pneumonitis</w:t>
            </w:r>
            <w:proofErr w:type="spellEnd"/>
            <w:r w:rsidRPr="007528E0">
              <w:rPr>
                <w:rFonts w:cs="Arial"/>
                <w:bCs/>
                <w:sz w:val="16"/>
                <w:szCs w:val="16"/>
              </w:rPr>
              <w:t xml:space="preserve"> química severa.</w:t>
            </w:r>
          </w:p>
        </w:tc>
        <w:tc>
          <w:tcPr>
            <w:tcW w:w="653" w:type="pct"/>
            <w:vMerge w:val="restart"/>
            <w:vAlign w:val="center"/>
          </w:tcPr>
          <w:p w14:paraId="79F523AE" w14:textId="77777777" w:rsidR="0037398A" w:rsidRPr="007528E0" w:rsidRDefault="0037398A" w:rsidP="007528E0">
            <w:pPr>
              <w:spacing w:before="100" w:beforeAutospacing="1" w:after="100" w:afterAutospacing="1"/>
              <w:rPr>
                <w:rFonts w:cs="Arial"/>
                <w:sz w:val="16"/>
                <w:szCs w:val="16"/>
                <w:lang w:val="es-CO"/>
              </w:rPr>
            </w:pPr>
            <w:r w:rsidRPr="007528E0">
              <w:rPr>
                <w:rFonts w:cs="Arial"/>
                <w:bCs/>
                <w:sz w:val="16"/>
                <w:szCs w:val="16"/>
              </w:rPr>
              <w:lastRenderedPageBreak/>
              <w:t>Náuseas, vómito, gastroenteriti</w:t>
            </w:r>
            <w:r w:rsidRPr="007528E0">
              <w:rPr>
                <w:rFonts w:cs="Arial"/>
                <w:bCs/>
                <w:sz w:val="16"/>
                <w:szCs w:val="16"/>
              </w:rPr>
              <w:lastRenderedPageBreak/>
              <w:t>s hemorrágica. Se pueden presentar manifestaciones respiratorias por aspiración. Algunos compuestos pueden ser absorbidos y producir toxicidad sistémica.</w:t>
            </w:r>
          </w:p>
        </w:tc>
        <w:tc>
          <w:tcPr>
            <w:tcW w:w="653" w:type="pct"/>
            <w:vMerge w:val="restart"/>
            <w:vAlign w:val="center"/>
          </w:tcPr>
          <w:p w14:paraId="4C66B668" w14:textId="77777777" w:rsidR="0037398A" w:rsidRPr="007528E0" w:rsidRDefault="0037398A" w:rsidP="007528E0">
            <w:pPr>
              <w:spacing w:before="100" w:beforeAutospacing="1" w:after="100" w:afterAutospacing="1"/>
              <w:rPr>
                <w:rFonts w:cs="Arial"/>
                <w:sz w:val="16"/>
                <w:szCs w:val="16"/>
                <w:lang w:val="es-CO"/>
              </w:rPr>
            </w:pPr>
            <w:r w:rsidRPr="007528E0">
              <w:rPr>
                <w:rFonts w:cs="Arial"/>
                <w:bCs/>
                <w:sz w:val="16"/>
                <w:szCs w:val="16"/>
              </w:rPr>
              <w:lastRenderedPageBreak/>
              <w:t xml:space="preserve">Toxicidad sistémica: cefalea, </w:t>
            </w:r>
            <w:r w:rsidRPr="007528E0">
              <w:rPr>
                <w:rFonts w:cs="Arial"/>
                <w:bCs/>
                <w:sz w:val="16"/>
                <w:szCs w:val="16"/>
              </w:rPr>
              <w:lastRenderedPageBreak/>
              <w:t>confusión, ataxia, letargia, síncope, coma, arritmias cardiacas por sensibilización miocárdica, paro respiratorio, muerte.  El benceno produce toxicidad a nivel de la médula ósea. Algunos hidrocarburos halogenados producen nefrotoxicidad, hepatotoxicidad.</w:t>
            </w:r>
          </w:p>
        </w:tc>
        <w:tc>
          <w:tcPr>
            <w:tcW w:w="621" w:type="pct"/>
            <w:vMerge w:val="restart"/>
            <w:vAlign w:val="center"/>
          </w:tcPr>
          <w:p w14:paraId="1B7098B6" w14:textId="77777777" w:rsidR="0037398A" w:rsidRPr="007528E0" w:rsidRDefault="0037398A" w:rsidP="007528E0">
            <w:pPr>
              <w:spacing w:before="100" w:beforeAutospacing="1" w:after="100" w:afterAutospacing="1"/>
              <w:rPr>
                <w:rFonts w:cs="Arial"/>
                <w:noProof/>
                <w:sz w:val="16"/>
                <w:szCs w:val="16"/>
              </w:rPr>
            </w:pPr>
            <w:r w:rsidRPr="007528E0">
              <w:rPr>
                <w:rFonts w:cs="Arial"/>
                <w:noProof/>
                <w:sz w:val="16"/>
                <w:szCs w:val="16"/>
              </w:rPr>
              <w:lastRenderedPageBreak/>
              <w:t>Depresión</w:t>
            </w:r>
          </w:p>
          <w:p w14:paraId="499F4B4B" w14:textId="77777777" w:rsidR="0037398A" w:rsidRPr="007528E0" w:rsidRDefault="0037398A" w:rsidP="007528E0">
            <w:pPr>
              <w:spacing w:before="100" w:beforeAutospacing="1" w:after="100" w:afterAutospacing="1"/>
              <w:rPr>
                <w:rFonts w:cs="Arial"/>
                <w:noProof/>
                <w:sz w:val="16"/>
                <w:szCs w:val="16"/>
              </w:rPr>
            </w:pPr>
          </w:p>
          <w:p w14:paraId="7F185987" w14:textId="77777777" w:rsidR="0037398A" w:rsidRPr="007528E0" w:rsidRDefault="0037398A" w:rsidP="007528E0">
            <w:pPr>
              <w:spacing w:before="100" w:beforeAutospacing="1" w:after="100" w:afterAutospacing="1"/>
              <w:rPr>
                <w:rFonts w:cs="Arial"/>
                <w:noProof/>
                <w:sz w:val="16"/>
                <w:szCs w:val="16"/>
              </w:rPr>
            </w:pPr>
            <w:r w:rsidRPr="007528E0">
              <w:rPr>
                <w:rFonts w:cs="Arial"/>
                <w:noProof/>
                <w:sz w:val="16"/>
                <w:szCs w:val="16"/>
              </w:rPr>
              <w:t>Alteración en el tiempo de reacción a estimulos sonoros</w:t>
            </w:r>
          </w:p>
          <w:p w14:paraId="642F95B7" w14:textId="77777777" w:rsidR="0037398A" w:rsidRPr="007528E0" w:rsidRDefault="0037398A" w:rsidP="007528E0">
            <w:pPr>
              <w:spacing w:before="100" w:beforeAutospacing="1" w:after="100" w:afterAutospacing="1"/>
              <w:rPr>
                <w:rFonts w:cs="Arial"/>
                <w:noProof/>
                <w:sz w:val="16"/>
                <w:szCs w:val="16"/>
              </w:rPr>
            </w:pPr>
          </w:p>
          <w:p w14:paraId="108F691F" w14:textId="77777777" w:rsidR="0037398A" w:rsidRPr="007528E0" w:rsidRDefault="0037398A" w:rsidP="007528E0">
            <w:pPr>
              <w:spacing w:before="100" w:beforeAutospacing="1" w:after="100" w:afterAutospacing="1"/>
              <w:rPr>
                <w:rFonts w:cs="Arial"/>
                <w:noProof/>
                <w:sz w:val="16"/>
                <w:szCs w:val="16"/>
              </w:rPr>
            </w:pPr>
            <w:r w:rsidRPr="007528E0">
              <w:rPr>
                <w:rFonts w:cs="Arial"/>
                <w:noProof/>
                <w:sz w:val="16"/>
                <w:szCs w:val="16"/>
              </w:rPr>
              <w:t>Afección renal (Necrosis tubular )</w:t>
            </w:r>
          </w:p>
          <w:p w14:paraId="68C0835B" w14:textId="77777777" w:rsidR="0037398A" w:rsidRPr="007528E0" w:rsidRDefault="0037398A" w:rsidP="007528E0">
            <w:pPr>
              <w:spacing w:before="100" w:beforeAutospacing="1" w:after="100" w:afterAutospacing="1"/>
              <w:rPr>
                <w:rFonts w:cs="Arial"/>
                <w:noProof/>
                <w:sz w:val="16"/>
                <w:szCs w:val="16"/>
              </w:rPr>
            </w:pPr>
          </w:p>
          <w:p w14:paraId="3C7C23A2" w14:textId="77777777" w:rsidR="0037398A" w:rsidRPr="007528E0" w:rsidRDefault="0037398A" w:rsidP="007528E0">
            <w:pPr>
              <w:spacing w:before="100" w:beforeAutospacing="1" w:after="100" w:afterAutospacing="1"/>
              <w:rPr>
                <w:rFonts w:cs="Arial"/>
                <w:noProof/>
                <w:sz w:val="16"/>
                <w:szCs w:val="16"/>
              </w:rPr>
            </w:pPr>
            <w:r w:rsidRPr="007528E0">
              <w:rPr>
                <w:rFonts w:cs="Arial"/>
                <w:noProof/>
                <w:sz w:val="16"/>
                <w:szCs w:val="16"/>
              </w:rPr>
              <w:t>Irritantes de piel y mucosas</w:t>
            </w:r>
          </w:p>
        </w:tc>
        <w:tc>
          <w:tcPr>
            <w:tcW w:w="621" w:type="pct"/>
            <w:vMerge w:val="restart"/>
            <w:vAlign w:val="center"/>
          </w:tcPr>
          <w:p w14:paraId="016FD512" w14:textId="77777777" w:rsidR="0037398A" w:rsidRPr="007528E0" w:rsidRDefault="0037398A" w:rsidP="007528E0">
            <w:pPr>
              <w:spacing w:before="100" w:beforeAutospacing="1" w:after="100" w:afterAutospacing="1"/>
              <w:rPr>
                <w:rFonts w:cs="Arial"/>
                <w:noProof/>
                <w:sz w:val="16"/>
                <w:szCs w:val="16"/>
              </w:rPr>
            </w:pPr>
            <w:r w:rsidRPr="007528E0">
              <w:rPr>
                <w:rFonts w:cs="Arial"/>
                <w:noProof/>
                <w:sz w:val="16"/>
                <w:szCs w:val="16"/>
              </w:rPr>
              <w:lastRenderedPageBreak/>
              <w:t xml:space="preserve">SNC: Modificaciones en el </w:t>
            </w:r>
            <w:r w:rsidRPr="007528E0">
              <w:rPr>
                <w:rFonts w:cs="Arial"/>
                <w:noProof/>
                <w:sz w:val="16"/>
                <w:szCs w:val="16"/>
              </w:rPr>
              <w:lastRenderedPageBreak/>
              <w:t>EEG y pruebas neuropsíquicas</w:t>
            </w:r>
          </w:p>
          <w:p w14:paraId="3A4DD780" w14:textId="77777777" w:rsidR="0037398A" w:rsidRPr="007528E0" w:rsidRDefault="0037398A" w:rsidP="007528E0">
            <w:pPr>
              <w:spacing w:before="100" w:beforeAutospacing="1" w:after="100" w:afterAutospacing="1"/>
              <w:rPr>
                <w:rFonts w:cs="Arial"/>
                <w:noProof/>
                <w:sz w:val="16"/>
                <w:szCs w:val="16"/>
              </w:rPr>
            </w:pPr>
          </w:p>
          <w:p w14:paraId="575119AC" w14:textId="77777777" w:rsidR="0037398A" w:rsidRPr="007528E0" w:rsidRDefault="0037398A" w:rsidP="007528E0">
            <w:pPr>
              <w:spacing w:before="100" w:beforeAutospacing="1" w:after="100" w:afterAutospacing="1"/>
              <w:rPr>
                <w:rFonts w:cs="Arial"/>
                <w:noProof/>
                <w:sz w:val="16"/>
                <w:szCs w:val="16"/>
              </w:rPr>
            </w:pPr>
            <w:r w:rsidRPr="007528E0">
              <w:rPr>
                <w:rFonts w:cs="Arial"/>
                <w:noProof/>
                <w:sz w:val="16"/>
                <w:szCs w:val="16"/>
              </w:rPr>
              <w:t>Fatiga, vértigo, irritabilidad, trastornos de memoria, atención, concentración y capacidad de abstracción.</w:t>
            </w:r>
          </w:p>
          <w:p w14:paraId="5D52CE6C" w14:textId="77777777" w:rsidR="0037398A" w:rsidRPr="007528E0" w:rsidRDefault="0037398A" w:rsidP="007528E0">
            <w:pPr>
              <w:spacing w:before="100" w:beforeAutospacing="1" w:after="100" w:afterAutospacing="1"/>
              <w:rPr>
                <w:rFonts w:cs="Arial"/>
                <w:noProof/>
                <w:sz w:val="16"/>
                <w:szCs w:val="16"/>
              </w:rPr>
            </w:pPr>
          </w:p>
          <w:p w14:paraId="4CC5F780" w14:textId="77777777" w:rsidR="0037398A" w:rsidRPr="007528E0" w:rsidRDefault="0037398A" w:rsidP="007528E0">
            <w:pPr>
              <w:spacing w:before="100" w:beforeAutospacing="1" w:after="100" w:afterAutospacing="1"/>
              <w:rPr>
                <w:rFonts w:cs="Arial"/>
                <w:noProof/>
                <w:sz w:val="16"/>
                <w:szCs w:val="16"/>
              </w:rPr>
            </w:pPr>
            <w:r w:rsidRPr="007528E0">
              <w:rPr>
                <w:rFonts w:cs="Arial"/>
                <w:noProof/>
                <w:sz w:val="16"/>
                <w:szCs w:val="16"/>
              </w:rPr>
              <w:t xml:space="preserve">Tendencia depresiva, ansiedad y perdida de memoria </w:t>
            </w:r>
          </w:p>
          <w:p w14:paraId="61B4C36A" w14:textId="77777777" w:rsidR="0037398A" w:rsidRPr="007528E0" w:rsidRDefault="0037398A" w:rsidP="007528E0">
            <w:pPr>
              <w:spacing w:before="100" w:beforeAutospacing="1" w:after="100" w:afterAutospacing="1"/>
              <w:rPr>
                <w:rFonts w:cs="Arial"/>
                <w:noProof/>
                <w:sz w:val="16"/>
                <w:szCs w:val="16"/>
              </w:rPr>
            </w:pPr>
          </w:p>
          <w:p w14:paraId="6EB99225" w14:textId="77777777" w:rsidR="0037398A" w:rsidRPr="007528E0" w:rsidRDefault="0037398A" w:rsidP="007528E0">
            <w:pPr>
              <w:spacing w:before="100" w:beforeAutospacing="1" w:after="100" w:afterAutospacing="1"/>
              <w:rPr>
                <w:rFonts w:cs="Arial"/>
                <w:noProof/>
                <w:sz w:val="16"/>
                <w:szCs w:val="16"/>
              </w:rPr>
            </w:pPr>
            <w:r w:rsidRPr="007528E0">
              <w:rPr>
                <w:rFonts w:cs="Arial"/>
                <w:noProof/>
                <w:sz w:val="16"/>
                <w:szCs w:val="16"/>
              </w:rPr>
              <w:t>Neuropatías periféricas</w:t>
            </w:r>
          </w:p>
          <w:p w14:paraId="60289112" w14:textId="77777777" w:rsidR="0037398A" w:rsidRPr="007528E0" w:rsidRDefault="0037398A" w:rsidP="007528E0">
            <w:pPr>
              <w:spacing w:before="100" w:beforeAutospacing="1" w:after="100" w:afterAutospacing="1"/>
              <w:rPr>
                <w:rFonts w:cs="Arial"/>
                <w:noProof/>
                <w:sz w:val="16"/>
                <w:szCs w:val="16"/>
              </w:rPr>
            </w:pPr>
            <w:r w:rsidRPr="007528E0">
              <w:rPr>
                <w:rFonts w:cs="Arial"/>
                <w:noProof/>
                <w:sz w:val="16"/>
                <w:szCs w:val="16"/>
              </w:rPr>
              <w:t>Hepatotoxicidad</w:t>
            </w:r>
          </w:p>
        </w:tc>
        <w:tc>
          <w:tcPr>
            <w:tcW w:w="621" w:type="pct"/>
            <w:vMerge w:val="restart"/>
            <w:vAlign w:val="center"/>
          </w:tcPr>
          <w:p w14:paraId="0F5254A8" w14:textId="77777777" w:rsidR="0037398A" w:rsidRPr="007528E0" w:rsidRDefault="0037398A" w:rsidP="007528E0">
            <w:pPr>
              <w:spacing w:before="100" w:beforeAutospacing="1" w:after="100" w:afterAutospacing="1"/>
              <w:rPr>
                <w:rFonts w:cs="Arial"/>
                <w:sz w:val="16"/>
                <w:szCs w:val="16"/>
                <w:lang w:val="es-CO"/>
              </w:rPr>
            </w:pPr>
            <w:r w:rsidRPr="007528E0">
              <w:rPr>
                <w:rFonts w:cs="Arial"/>
                <w:noProof/>
                <w:sz w:val="16"/>
                <w:szCs w:val="16"/>
              </w:rPr>
              <w:lastRenderedPageBreak/>
              <w:t xml:space="preserve">Las determinaciones séricas </w:t>
            </w:r>
            <w:r w:rsidRPr="007528E0">
              <w:rPr>
                <w:rFonts w:cs="Arial"/>
                <w:noProof/>
                <w:sz w:val="16"/>
                <w:szCs w:val="16"/>
              </w:rPr>
              <w:lastRenderedPageBreak/>
              <w:t>no están usualmente disponibles y no contribuyen al tratamiento.</w:t>
            </w:r>
          </w:p>
        </w:tc>
      </w:tr>
      <w:tr w:rsidR="007528E0" w:rsidRPr="007528E0" w14:paraId="233196D2" w14:textId="77777777" w:rsidTr="007528E0">
        <w:tc>
          <w:tcPr>
            <w:tcW w:w="575" w:type="pct"/>
            <w:vAlign w:val="center"/>
          </w:tcPr>
          <w:p w14:paraId="123DC73D" w14:textId="77777777" w:rsidR="0037398A" w:rsidRPr="007528E0" w:rsidRDefault="0037398A" w:rsidP="007528E0">
            <w:pPr>
              <w:spacing w:before="100" w:beforeAutospacing="1" w:after="100" w:afterAutospacing="1"/>
              <w:jc w:val="center"/>
              <w:rPr>
                <w:rFonts w:cs="Arial"/>
                <w:sz w:val="16"/>
                <w:szCs w:val="16"/>
                <w:lang w:val="es-CO"/>
              </w:rPr>
            </w:pPr>
            <w:r w:rsidRPr="007528E0">
              <w:rPr>
                <w:rFonts w:cs="Arial"/>
                <w:bCs/>
                <w:sz w:val="16"/>
                <w:szCs w:val="16"/>
              </w:rPr>
              <w:lastRenderedPageBreak/>
              <w:t>Hidrocarburos Aromáticos</w:t>
            </w:r>
          </w:p>
        </w:tc>
        <w:tc>
          <w:tcPr>
            <w:tcW w:w="659" w:type="pct"/>
            <w:vAlign w:val="center"/>
          </w:tcPr>
          <w:p w14:paraId="67112C4D" w14:textId="77777777" w:rsidR="0037398A" w:rsidRPr="007528E0" w:rsidRDefault="0037398A" w:rsidP="007528E0">
            <w:pPr>
              <w:spacing w:before="100" w:beforeAutospacing="1" w:after="100" w:afterAutospacing="1"/>
              <w:rPr>
                <w:rFonts w:cs="Arial"/>
                <w:bCs/>
                <w:sz w:val="16"/>
                <w:szCs w:val="16"/>
              </w:rPr>
            </w:pPr>
            <w:r w:rsidRPr="007528E0">
              <w:rPr>
                <w:rFonts w:cs="Arial"/>
                <w:bCs/>
                <w:sz w:val="16"/>
                <w:szCs w:val="16"/>
              </w:rPr>
              <w:t>Benceno, Tolueno, Xileno, Etilbenceno</w:t>
            </w:r>
          </w:p>
          <w:p w14:paraId="18DD6835" w14:textId="77777777" w:rsidR="0037398A" w:rsidRPr="007528E0" w:rsidRDefault="0037398A" w:rsidP="007528E0">
            <w:pPr>
              <w:spacing w:before="100" w:beforeAutospacing="1" w:after="100" w:afterAutospacing="1"/>
              <w:rPr>
                <w:rFonts w:cs="Arial"/>
                <w:bCs/>
                <w:sz w:val="16"/>
                <w:szCs w:val="16"/>
              </w:rPr>
            </w:pPr>
            <w:r w:rsidRPr="007528E0">
              <w:rPr>
                <w:rFonts w:cs="Arial"/>
                <w:bCs/>
                <w:sz w:val="16"/>
                <w:szCs w:val="16"/>
              </w:rPr>
              <w:t xml:space="preserve">Monómero </w:t>
            </w:r>
            <w:proofErr w:type="spellStart"/>
            <w:r w:rsidRPr="007528E0">
              <w:rPr>
                <w:rFonts w:cs="Arial"/>
                <w:bCs/>
                <w:sz w:val="16"/>
                <w:szCs w:val="16"/>
              </w:rPr>
              <w:t>styreno</w:t>
            </w:r>
            <w:proofErr w:type="spellEnd"/>
          </w:p>
        </w:tc>
        <w:tc>
          <w:tcPr>
            <w:tcW w:w="596" w:type="pct"/>
            <w:vMerge/>
            <w:vAlign w:val="center"/>
          </w:tcPr>
          <w:p w14:paraId="00F371C1" w14:textId="77777777" w:rsidR="0037398A" w:rsidRPr="007528E0" w:rsidRDefault="0037398A" w:rsidP="007528E0">
            <w:pPr>
              <w:spacing w:before="100" w:beforeAutospacing="1" w:after="100" w:afterAutospacing="1"/>
              <w:jc w:val="center"/>
              <w:rPr>
                <w:rFonts w:cs="Arial"/>
                <w:sz w:val="16"/>
                <w:szCs w:val="16"/>
                <w:lang w:val="es-CO"/>
              </w:rPr>
            </w:pPr>
          </w:p>
        </w:tc>
        <w:tc>
          <w:tcPr>
            <w:tcW w:w="653" w:type="pct"/>
            <w:vMerge/>
            <w:vAlign w:val="center"/>
          </w:tcPr>
          <w:p w14:paraId="165FAAF2" w14:textId="77777777" w:rsidR="0037398A" w:rsidRPr="007528E0" w:rsidRDefault="0037398A" w:rsidP="007528E0">
            <w:pPr>
              <w:spacing w:before="100" w:beforeAutospacing="1" w:after="100" w:afterAutospacing="1"/>
              <w:jc w:val="center"/>
              <w:rPr>
                <w:rFonts w:cs="Arial"/>
                <w:sz w:val="16"/>
                <w:szCs w:val="16"/>
                <w:lang w:val="es-CO"/>
              </w:rPr>
            </w:pPr>
          </w:p>
        </w:tc>
        <w:tc>
          <w:tcPr>
            <w:tcW w:w="653" w:type="pct"/>
            <w:vMerge/>
            <w:vAlign w:val="center"/>
          </w:tcPr>
          <w:p w14:paraId="6F2DB15F" w14:textId="77777777" w:rsidR="0037398A" w:rsidRPr="007528E0" w:rsidRDefault="0037398A" w:rsidP="007528E0">
            <w:pPr>
              <w:spacing w:before="100" w:beforeAutospacing="1" w:after="100" w:afterAutospacing="1"/>
              <w:jc w:val="center"/>
              <w:rPr>
                <w:rFonts w:cs="Arial"/>
                <w:sz w:val="16"/>
                <w:szCs w:val="16"/>
                <w:lang w:val="es-CO"/>
              </w:rPr>
            </w:pPr>
          </w:p>
        </w:tc>
        <w:tc>
          <w:tcPr>
            <w:tcW w:w="621" w:type="pct"/>
            <w:vMerge/>
            <w:vAlign w:val="center"/>
          </w:tcPr>
          <w:p w14:paraId="46FA7C57" w14:textId="77777777" w:rsidR="0037398A" w:rsidRPr="007528E0" w:rsidRDefault="0037398A" w:rsidP="007528E0">
            <w:pPr>
              <w:spacing w:before="100" w:beforeAutospacing="1" w:after="100" w:afterAutospacing="1"/>
              <w:jc w:val="center"/>
              <w:rPr>
                <w:rFonts w:cs="Arial"/>
                <w:sz w:val="16"/>
                <w:szCs w:val="16"/>
                <w:lang w:val="es-CO"/>
              </w:rPr>
            </w:pPr>
          </w:p>
        </w:tc>
        <w:tc>
          <w:tcPr>
            <w:tcW w:w="621" w:type="pct"/>
            <w:vMerge/>
            <w:vAlign w:val="center"/>
          </w:tcPr>
          <w:p w14:paraId="1280EA5A" w14:textId="77777777" w:rsidR="0037398A" w:rsidRPr="007528E0" w:rsidRDefault="0037398A" w:rsidP="007528E0">
            <w:pPr>
              <w:spacing w:before="100" w:beforeAutospacing="1" w:after="100" w:afterAutospacing="1"/>
              <w:jc w:val="center"/>
              <w:rPr>
                <w:rFonts w:cs="Arial"/>
                <w:sz w:val="16"/>
                <w:szCs w:val="16"/>
                <w:lang w:val="es-CO"/>
              </w:rPr>
            </w:pPr>
          </w:p>
        </w:tc>
        <w:tc>
          <w:tcPr>
            <w:tcW w:w="621" w:type="pct"/>
            <w:vMerge/>
            <w:vAlign w:val="center"/>
          </w:tcPr>
          <w:p w14:paraId="76AB42E1" w14:textId="77777777" w:rsidR="0037398A" w:rsidRPr="007528E0" w:rsidRDefault="0037398A" w:rsidP="007528E0">
            <w:pPr>
              <w:spacing w:before="100" w:beforeAutospacing="1" w:after="100" w:afterAutospacing="1"/>
              <w:jc w:val="center"/>
              <w:rPr>
                <w:rFonts w:cs="Arial"/>
                <w:sz w:val="16"/>
                <w:szCs w:val="16"/>
                <w:lang w:val="es-CO"/>
              </w:rPr>
            </w:pPr>
          </w:p>
        </w:tc>
      </w:tr>
      <w:tr w:rsidR="007528E0" w:rsidRPr="007528E0" w14:paraId="4FFDB7EB" w14:textId="77777777" w:rsidTr="007528E0">
        <w:tc>
          <w:tcPr>
            <w:tcW w:w="575" w:type="pct"/>
            <w:vAlign w:val="center"/>
          </w:tcPr>
          <w:p w14:paraId="4073AB1D" w14:textId="77777777" w:rsidR="0037398A" w:rsidRPr="007528E0" w:rsidRDefault="0037398A" w:rsidP="007528E0">
            <w:pPr>
              <w:spacing w:before="100" w:beforeAutospacing="1" w:after="100" w:afterAutospacing="1"/>
              <w:jc w:val="center"/>
              <w:rPr>
                <w:rFonts w:cs="Arial"/>
                <w:bCs/>
                <w:sz w:val="16"/>
                <w:szCs w:val="16"/>
              </w:rPr>
            </w:pPr>
            <w:r w:rsidRPr="007528E0">
              <w:rPr>
                <w:rFonts w:cs="Arial"/>
                <w:bCs/>
                <w:sz w:val="16"/>
                <w:szCs w:val="16"/>
              </w:rPr>
              <w:t>Hidrocarburos Halogenados</w:t>
            </w:r>
          </w:p>
        </w:tc>
        <w:tc>
          <w:tcPr>
            <w:tcW w:w="659" w:type="pct"/>
            <w:vAlign w:val="center"/>
          </w:tcPr>
          <w:p w14:paraId="3078538C" w14:textId="77777777" w:rsidR="0037398A" w:rsidRPr="007528E0" w:rsidRDefault="0037398A" w:rsidP="007528E0">
            <w:pPr>
              <w:spacing w:before="100" w:beforeAutospacing="1" w:after="100" w:afterAutospacing="1"/>
              <w:rPr>
                <w:rFonts w:cs="Arial"/>
                <w:bCs/>
                <w:sz w:val="16"/>
                <w:szCs w:val="16"/>
              </w:rPr>
            </w:pPr>
            <w:r w:rsidRPr="007528E0">
              <w:rPr>
                <w:rFonts w:cs="Arial"/>
                <w:bCs/>
                <w:sz w:val="16"/>
                <w:szCs w:val="16"/>
              </w:rPr>
              <w:t xml:space="preserve">Cloroformo, Diclorometano, </w:t>
            </w:r>
            <w:proofErr w:type="spellStart"/>
            <w:r w:rsidRPr="007528E0">
              <w:rPr>
                <w:rFonts w:cs="Arial"/>
                <w:bCs/>
                <w:sz w:val="16"/>
                <w:szCs w:val="16"/>
              </w:rPr>
              <w:t>Tricloroetano</w:t>
            </w:r>
            <w:proofErr w:type="spellEnd"/>
            <w:r w:rsidRPr="007528E0">
              <w:rPr>
                <w:rFonts w:cs="Arial"/>
                <w:bCs/>
                <w:sz w:val="16"/>
                <w:szCs w:val="16"/>
              </w:rPr>
              <w:t xml:space="preserve">,  Cloruro de vinilo, Tricloroetileno, </w:t>
            </w:r>
            <w:proofErr w:type="spellStart"/>
            <w:r w:rsidRPr="007528E0">
              <w:rPr>
                <w:rFonts w:cs="Arial"/>
                <w:bCs/>
                <w:sz w:val="16"/>
                <w:szCs w:val="16"/>
              </w:rPr>
              <w:t>Tetracloroetileno</w:t>
            </w:r>
            <w:proofErr w:type="spellEnd"/>
          </w:p>
          <w:p w14:paraId="1329FDCD" w14:textId="77777777" w:rsidR="0037398A" w:rsidRPr="007528E0" w:rsidRDefault="0037398A" w:rsidP="007528E0">
            <w:pPr>
              <w:spacing w:before="100" w:beforeAutospacing="1" w:after="100" w:afterAutospacing="1"/>
              <w:rPr>
                <w:rFonts w:cs="Arial"/>
                <w:bCs/>
                <w:sz w:val="16"/>
                <w:szCs w:val="16"/>
              </w:rPr>
            </w:pPr>
            <w:r w:rsidRPr="007528E0">
              <w:rPr>
                <w:rFonts w:cs="Arial"/>
                <w:bCs/>
                <w:sz w:val="16"/>
                <w:szCs w:val="16"/>
              </w:rPr>
              <w:t xml:space="preserve">1,3. </w:t>
            </w:r>
            <w:proofErr w:type="spellStart"/>
            <w:r w:rsidRPr="007528E0">
              <w:rPr>
                <w:rFonts w:cs="Arial"/>
                <w:bCs/>
                <w:sz w:val="16"/>
                <w:szCs w:val="16"/>
              </w:rPr>
              <w:t>Dicloropropano</w:t>
            </w:r>
            <w:proofErr w:type="spellEnd"/>
          </w:p>
          <w:p w14:paraId="4CFA5014" w14:textId="77777777" w:rsidR="0037398A" w:rsidRPr="007528E0" w:rsidRDefault="0037398A" w:rsidP="007528E0">
            <w:pPr>
              <w:spacing w:before="100" w:beforeAutospacing="1" w:after="100" w:afterAutospacing="1"/>
              <w:rPr>
                <w:rFonts w:cs="Arial"/>
                <w:bCs/>
                <w:sz w:val="16"/>
                <w:szCs w:val="16"/>
              </w:rPr>
            </w:pPr>
            <w:r w:rsidRPr="007528E0">
              <w:rPr>
                <w:rFonts w:cs="Arial"/>
                <w:bCs/>
                <w:sz w:val="16"/>
                <w:szCs w:val="16"/>
              </w:rPr>
              <w:t xml:space="preserve">1,2. Dibromo-3- </w:t>
            </w:r>
            <w:proofErr w:type="spellStart"/>
            <w:r w:rsidRPr="007528E0">
              <w:rPr>
                <w:rFonts w:cs="Arial"/>
                <w:bCs/>
                <w:sz w:val="16"/>
                <w:szCs w:val="16"/>
              </w:rPr>
              <w:t>dicloropropano</w:t>
            </w:r>
            <w:proofErr w:type="spellEnd"/>
          </w:p>
          <w:p w14:paraId="39DEE85B" w14:textId="77777777" w:rsidR="0037398A" w:rsidRPr="007528E0" w:rsidRDefault="0037398A" w:rsidP="007528E0">
            <w:pPr>
              <w:spacing w:before="100" w:beforeAutospacing="1" w:after="100" w:afterAutospacing="1"/>
              <w:rPr>
                <w:rFonts w:cs="Arial"/>
                <w:bCs/>
                <w:sz w:val="16"/>
                <w:szCs w:val="16"/>
              </w:rPr>
            </w:pPr>
            <w:r w:rsidRPr="007528E0">
              <w:rPr>
                <w:rFonts w:cs="Arial"/>
                <w:bCs/>
                <w:sz w:val="16"/>
                <w:szCs w:val="16"/>
              </w:rPr>
              <w:t xml:space="preserve">Etileno </w:t>
            </w:r>
            <w:proofErr w:type="spellStart"/>
            <w:r w:rsidRPr="007528E0">
              <w:rPr>
                <w:rFonts w:cs="Arial"/>
                <w:bCs/>
                <w:sz w:val="16"/>
                <w:szCs w:val="16"/>
              </w:rPr>
              <w:t>dibromido</w:t>
            </w:r>
            <w:proofErr w:type="spellEnd"/>
          </w:p>
          <w:p w14:paraId="3784C3C6" w14:textId="77777777" w:rsidR="0037398A" w:rsidRPr="007528E0" w:rsidRDefault="0037398A" w:rsidP="007528E0">
            <w:pPr>
              <w:spacing w:before="100" w:beforeAutospacing="1" w:after="100" w:afterAutospacing="1"/>
              <w:rPr>
                <w:rFonts w:cs="Arial"/>
                <w:bCs/>
                <w:sz w:val="16"/>
                <w:szCs w:val="16"/>
              </w:rPr>
            </w:pPr>
            <w:proofErr w:type="spellStart"/>
            <w:r w:rsidRPr="007528E0">
              <w:rPr>
                <w:rFonts w:cs="Arial"/>
                <w:bCs/>
                <w:sz w:val="16"/>
                <w:szCs w:val="16"/>
              </w:rPr>
              <w:t>Clorometileno</w:t>
            </w:r>
            <w:proofErr w:type="spellEnd"/>
          </w:p>
          <w:p w14:paraId="7B575F2A" w14:textId="77777777" w:rsidR="0037398A" w:rsidRPr="007528E0" w:rsidRDefault="0037398A" w:rsidP="007528E0">
            <w:pPr>
              <w:spacing w:before="100" w:beforeAutospacing="1" w:after="100" w:afterAutospacing="1"/>
              <w:rPr>
                <w:rFonts w:cs="Arial"/>
                <w:sz w:val="16"/>
                <w:szCs w:val="16"/>
                <w:lang w:val="es-CO"/>
              </w:rPr>
            </w:pPr>
            <w:proofErr w:type="spellStart"/>
            <w:r w:rsidRPr="007528E0">
              <w:rPr>
                <w:rFonts w:cs="Arial"/>
                <w:bCs/>
                <w:sz w:val="16"/>
                <w:szCs w:val="16"/>
              </w:rPr>
              <w:t>Metil</w:t>
            </w:r>
            <w:proofErr w:type="spellEnd"/>
            <w:r w:rsidRPr="007528E0">
              <w:rPr>
                <w:rFonts w:cs="Arial"/>
                <w:bCs/>
                <w:sz w:val="16"/>
                <w:szCs w:val="16"/>
              </w:rPr>
              <w:t>-cloroformo</w:t>
            </w:r>
          </w:p>
        </w:tc>
        <w:tc>
          <w:tcPr>
            <w:tcW w:w="596" w:type="pct"/>
            <w:vMerge/>
            <w:vAlign w:val="center"/>
          </w:tcPr>
          <w:p w14:paraId="61EABF19" w14:textId="77777777" w:rsidR="0037398A" w:rsidRPr="007528E0" w:rsidRDefault="0037398A" w:rsidP="007528E0">
            <w:pPr>
              <w:spacing w:before="100" w:beforeAutospacing="1" w:after="100" w:afterAutospacing="1"/>
              <w:jc w:val="center"/>
              <w:rPr>
                <w:rFonts w:cs="Arial"/>
                <w:sz w:val="16"/>
                <w:szCs w:val="16"/>
                <w:lang w:val="es-CO"/>
              </w:rPr>
            </w:pPr>
          </w:p>
        </w:tc>
        <w:tc>
          <w:tcPr>
            <w:tcW w:w="653" w:type="pct"/>
            <w:vMerge/>
            <w:vAlign w:val="center"/>
          </w:tcPr>
          <w:p w14:paraId="05B21134" w14:textId="77777777" w:rsidR="0037398A" w:rsidRPr="007528E0" w:rsidRDefault="0037398A" w:rsidP="007528E0">
            <w:pPr>
              <w:spacing w:before="100" w:beforeAutospacing="1" w:after="100" w:afterAutospacing="1"/>
              <w:jc w:val="center"/>
              <w:rPr>
                <w:rFonts w:cs="Arial"/>
                <w:sz w:val="16"/>
                <w:szCs w:val="16"/>
                <w:lang w:val="es-CO"/>
              </w:rPr>
            </w:pPr>
          </w:p>
        </w:tc>
        <w:tc>
          <w:tcPr>
            <w:tcW w:w="653" w:type="pct"/>
            <w:vMerge/>
            <w:vAlign w:val="center"/>
          </w:tcPr>
          <w:p w14:paraId="1B4AB9AE" w14:textId="77777777" w:rsidR="0037398A" w:rsidRPr="007528E0" w:rsidRDefault="0037398A" w:rsidP="007528E0">
            <w:pPr>
              <w:spacing w:before="100" w:beforeAutospacing="1" w:after="100" w:afterAutospacing="1"/>
              <w:jc w:val="center"/>
              <w:rPr>
                <w:rFonts w:cs="Arial"/>
                <w:sz w:val="16"/>
                <w:szCs w:val="16"/>
                <w:lang w:val="es-CO"/>
              </w:rPr>
            </w:pPr>
          </w:p>
        </w:tc>
        <w:tc>
          <w:tcPr>
            <w:tcW w:w="621" w:type="pct"/>
            <w:vMerge/>
            <w:vAlign w:val="center"/>
          </w:tcPr>
          <w:p w14:paraId="1CC20E1F" w14:textId="77777777" w:rsidR="0037398A" w:rsidRPr="007528E0" w:rsidRDefault="0037398A" w:rsidP="007528E0">
            <w:pPr>
              <w:spacing w:before="100" w:beforeAutospacing="1" w:after="100" w:afterAutospacing="1"/>
              <w:jc w:val="center"/>
              <w:rPr>
                <w:rFonts w:cs="Arial"/>
                <w:sz w:val="16"/>
                <w:szCs w:val="16"/>
                <w:lang w:val="es-CO"/>
              </w:rPr>
            </w:pPr>
          </w:p>
        </w:tc>
        <w:tc>
          <w:tcPr>
            <w:tcW w:w="621" w:type="pct"/>
            <w:vMerge/>
            <w:vAlign w:val="center"/>
          </w:tcPr>
          <w:p w14:paraId="5BA480CB" w14:textId="77777777" w:rsidR="0037398A" w:rsidRPr="007528E0" w:rsidRDefault="0037398A" w:rsidP="007528E0">
            <w:pPr>
              <w:spacing w:before="100" w:beforeAutospacing="1" w:after="100" w:afterAutospacing="1"/>
              <w:jc w:val="center"/>
              <w:rPr>
                <w:rFonts w:cs="Arial"/>
                <w:sz w:val="16"/>
                <w:szCs w:val="16"/>
                <w:lang w:val="es-CO"/>
              </w:rPr>
            </w:pPr>
          </w:p>
        </w:tc>
        <w:tc>
          <w:tcPr>
            <w:tcW w:w="621" w:type="pct"/>
            <w:vMerge/>
            <w:vAlign w:val="center"/>
          </w:tcPr>
          <w:p w14:paraId="50EDDB2A" w14:textId="77777777" w:rsidR="0037398A" w:rsidRPr="007528E0" w:rsidRDefault="0037398A" w:rsidP="007528E0">
            <w:pPr>
              <w:spacing w:before="100" w:beforeAutospacing="1" w:after="100" w:afterAutospacing="1"/>
              <w:jc w:val="center"/>
              <w:rPr>
                <w:rFonts w:cs="Arial"/>
                <w:sz w:val="16"/>
                <w:szCs w:val="16"/>
                <w:lang w:val="es-CO"/>
              </w:rPr>
            </w:pPr>
          </w:p>
        </w:tc>
      </w:tr>
      <w:tr w:rsidR="007528E0" w:rsidRPr="007528E0" w14:paraId="658AD920" w14:textId="77777777" w:rsidTr="007528E0">
        <w:tc>
          <w:tcPr>
            <w:tcW w:w="575" w:type="pct"/>
            <w:vAlign w:val="center"/>
          </w:tcPr>
          <w:p w14:paraId="53858E28" w14:textId="77777777" w:rsidR="0037398A" w:rsidRPr="007528E0" w:rsidRDefault="0037398A" w:rsidP="007528E0">
            <w:pPr>
              <w:spacing w:before="100" w:beforeAutospacing="1" w:after="100" w:afterAutospacing="1"/>
              <w:jc w:val="center"/>
              <w:rPr>
                <w:rFonts w:cs="Arial"/>
                <w:sz w:val="16"/>
                <w:szCs w:val="16"/>
                <w:lang w:val="es-CO"/>
              </w:rPr>
            </w:pPr>
            <w:r w:rsidRPr="007528E0">
              <w:rPr>
                <w:rFonts w:cs="Arial"/>
                <w:bCs/>
                <w:sz w:val="16"/>
                <w:szCs w:val="16"/>
              </w:rPr>
              <w:t>Alcoholes</w:t>
            </w:r>
          </w:p>
        </w:tc>
        <w:tc>
          <w:tcPr>
            <w:tcW w:w="659" w:type="pct"/>
            <w:vAlign w:val="center"/>
          </w:tcPr>
          <w:p w14:paraId="45AB81ED" w14:textId="77777777" w:rsidR="0037398A" w:rsidRPr="007528E0" w:rsidRDefault="0037398A" w:rsidP="007528E0">
            <w:pPr>
              <w:spacing w:before="100" w:beforeAutospacing="1" w:after="100" w:afterAutospacing="1"/>
              <w:rPr>
                <w:rFonts w:cs="Arial"/>
                <w:sz w:val="16"/>
                <w:szCs w:val="16"/>
                <w:lang w:val="es-CO"/>
              </w:rPr>
            </w:pPr>
            <w:r w:rsidRPr="007528E0">
              <w:rPr>
                <w:rFonts w:cs="Arial"/>
                <w:bCs/>
                <w:sz w:val="16"/>
                <w:szCs w:val="16"/>
              </w:rPr>
              <w:t>Isopropanol, Butanol</w:t>
            </w:r>
          </w:p>
        </w:tc>
        <w:tc>
          <w:tcPr>
            <w:tcW w:w="596" w:type="pct"/>
            <w:vMerge/>
            <w:vAlign w:val="center"/>
          </w:tcPr>
          <w:p w14:paraId="5FA4426E" w14:textId="77777777" w:rsidR="0037398A" w:rsidRPr="007528E0" w:rsidRDefault="0037398A" w:rsidP="007528E0">
            <w:pPr>
              <w:spacing w:before="100" w:beforeAutospacing="1" w:after="100" w:afterAutospacing="1"/>
              <w:jc w:val="center"/>
              <w:rPr>
                <w:rFonts w:cs="Arial"/>
                <w:sz w:val="16"/>
                <w:szCs w:val="16"/>
                <w:lang w:val="es-CO"/>
              </w:rPr>
            </w:pPr>
          </w:p>
        </w:tc>
        <w:tc>
          <w:tcPr>
            <w:tcW w:w="653" w:type="pct"/>
            <w:vMerge/>
            <w:vAlign w:val="center"/>
          </w:tcPr>
          <w:p w14:paraId="3B954DED" w14:textId="77777777" w:rsidR="0037398A" w:rsidRPr="007528E0" w:rsidRDefault="0037398A" w:rsidP="007528E0">
            <w:pPr>
              <w:spacing w:before="100" w:beforeAutospacing="1" w:after="100" w:afterAutospacing="1"/>
              <w:jc w:val="center"/>
              <w:rPr>
                <w:rFonts w:cs="Arial"/>
                <w:sz w:val="16"/>
                <w:szCs w:val="16"/>
                <w:lang w:val="es-CO"/>
              </w:rPr>
            </w:pPr>
          </w:p>
        </w:tc>
        <w:tc>
          <w:tcPr>
            <w:tcW w:w="653" w:type="pct"/>
            <w:vMerge/>
            <w:vAlign w:val="center"/>
          </w:tcPr>
          <w:p w14:paraId="69DB6060" w14:textId="77777777" w:rsidR="0037398A" w:rsidRPr="007528E0" w:rsidRDefault="0037398A" w:rsidP="007528E0">
            <w:pPr>
              <w:spacing w:before="100" w:beforeAutospacing="1" w:after="100" w:afterAutospacing="1"/>
              <w:jc w:val="center"/>
              <w:rPr>
                <w:rFonts w:cs="Arial"/>
                <w:sz w:val="16"/>
                <w:szCs w:val="16"/>
                <w:lang w:val="es-CO"/>
              </w:rPr>
            </w:pPr>
          </w:p>
        </w:tc>
        <w:tc>
          <w:tcPr>
            <w:tcW w:w="621" w:type="pct"/>
            <w:vMerge/>
            <w:vAlign w:val="center"/>
          </w:tcPr>
          <w:p w14:paraId="200D3691" w14:textId="77777777" w:rsidR="0037398A" w:rsidRPr="007528E0" w:rsidRDefault="0037398A" w:rsidP="007528E0">
            <w:pPr>
              <w:spacing w:before="100" w:beforeAutospacing="1" w:after="100" w:afterAutospacing="1"/>
              <w:jc w:val="center"/>
              <w:rPr>
                <w:rFonts w:cs="Arial"/>
                <w:sz w:val="16"/>
                <w:szCs w:val="16"/>
                <w:lang w:val="es-CO"/>
              </w:rPr>
            </w:pPr>
          </w:p>
        </w:tc>
        <w:tc>
          <w:tcPr>
            <w:tcW w:w="621" w:type="pct"/>
            <w:vMerge/>
            <w:vAlign w:val="center"/>
          </w:tcPr>
          <w:p w14:paraId="35F31D89" w14:textId="77777777" w:rsidR="0037398A" w:rsidRPr="007528E0" w:rsidRDefault="0037398A" w:rsidP="007528E0">
            <w:pPr>
              <w:spacing w:before="100" w:beforeAutospacing="1" w:after="100" w:afterAutospacing="1"/>
              <w:jc w:val="center"/>
              <w:rPr>
                <w:rFonts w:cs="Arial"/>
                <w:sz w:val="16"/>
                <w:szCs w:val="16"/>
                <w:lang w:val="es-CO"/>
              </w:rPr>
            </w:pPr>
          </w:p>
        </w:tc>
        <w:tc>
          <w:tcPr>
            <w:tcW w:w="621" w:type="pct"/>
            <w:vMerge/>
            <w:vAlign w:val="center"/>
          </w:tcPr>
          <w:p w14:paraId="4AC0E7D6" w14:textId="77777777" w:rsidR="0037398A" w:rsidRPr="007528E0" w:rsidRDefault="0037398A" w:rsidP="007528E0">
            <w:pPr>
              <w:spacing w:before="100" w:beforeAutospacing="1" w:after="100" w:afterAutospacing="1"/>
              <w:jc w:val="center"/>
              <w:rPr>
                <w:rFonts w:cs="Arial"/>
                <w:sz w:val="16"/>
                <w:szCs w:val="16"/>
                <w:lang w:val="es-CO"/>
              </w:rPr>
            </w:pPr>
          </w:p>
        </w:tc>
      </w:tr>
      <w:tr w:rsidR="007528E0" w:rsidRPr="007528E0" w14:paraId="491B62F1" w14:textId="77777777" w:rsidTr="007528E0">
        <w:tc>
          <w:tcPr>
            <w:tcW w:w="575" w:type="pct"/>
            <w:vAlign w:val="center"/>
          </w:tcPr>
          <w:p w14:paraId="1AB89F68" w14:textId="77777777" w:rsidR="0037398A" w:rsidRPr="007528E0" w:rsidRDefault="0037398A" w:rsidP="007528E0">
            <w:pPr>
              <w:spacing w:before="100" w:beforeAutospacing="1" w:after="100" w:afterAutospacing="1"/>
              <w:jc w:val="center"/>
              <w:rPr>
                <w:rFonts w:cs="Arial"/>
                <w:bCs/>
                <w:sz w:val="16"/>
                <w:szCs w:val="16"/>
              </w:rPr>
            </w:pPr>
            <w:proofErr w:type="spellStart"/>
            <w:r w:rsidRPr="007528E0">
              <w:rPr>
                <w:rFonts w:cs="Arial"/>
                <w:bCs/>
                <w:sz w:val="16"/>
                <w:szCs w:val="16"/>
              </w:rPr>
              <w:t>Aldehidos</w:t>
            </w:r>
            <w:proofErr w:type="spellEnd"/>
          </w:p>
        </w:tc>
        <w:tc>
          <w:tcPr>
            <w:tcW w:w="659" w:type="pct"/>
            <w:vAlign w:val="center"/>
          </w:tcPr>
          <w:p w14:paraId="37C81925" w14:textId="77777777" w:rsidR="0037398A" w:rsidRPr="007528E0" w:rsidRDefault="0037398A" w:rsidP="007528E0">
            <w:pPr>
              <w:spacing w:before="100" w:beforeAutospacing="1" w:after="100" w:afterAutospacing="1"/>
              <w:rPr>
                <w:rFonts w:cs="Arial"/>
                <w:bCs/>
                <w:sz w:val="16"/>
                <w:szCs w:val="16"/>
              </w:rPr>
            </w:pPr>
            <w:r w:rsidRPr="007528E0">
              <w:rPr>
                <w:rFonts w:cs="Arial"/>
                <w:bCs/>
                <w:sz w:val="16"/>
                <w:szCs w:val="16"/>
              </w:rPr>
              <w:t>Formaldehido</w:t>
            </w:r>
          </w:p>
          <w:p w14:paraId="12797B68" w14:textId="77777777" w:rsidR="0037398A" w:rsidRPr="007528E0" w:rsidRDefault="0037398A" w:rsidP="007528E0">
            <w:pPr>
              <w:spacing w:before="100" w:beforeAutospacing="1" w:after="100" w:afterAutospacing="1"/>
              <w:rPr>
                <w:rFonts w:cs="Arial"/>
                <w:bCs/>
                <w:sz w:val="16"/>
                <w:szCs w:val="16"/>
              </w:rPr>
            </w:pPr>
            <w:proofErr w:type="spellStart"/>
            <w:r w:rsidRPr="007528E0">
              <w:rPr>
                <w:rFonts w:cs="Arial"/>
                <w:bCs/>
                <w:sz w:val="16"/>
                <w:szCs w:val="16"/>
              </w:rPr>
              <w:t>Acroleina</w:t>
            </w:r>
            <w:proofErr w:type="spellEnd"/>
          </w:p>
        </w:tc>
        <w:tc>
          <w:tcPr>
            <w:tcW w:w="596" w:type="pct"/>
            <w:vMerge/>
            <w:vAlign w:val="center"/>
          </w:tcPr>
          <w:p w14:paraId="59800BE3" w14:textId="77777777" w:rsidR="0037398A" w:rsidRPr="007528E0" w:rsidRDefault="0037398A" w:rsidP="007528E0">
            <w:pPr>
              <w:spacing w:before="100" w:beforeAutospacing="1" w:after="100" w:afterAutospacing="1"/>
              <w:jc w:val="center"/>
              <w:rPr>
                <w:rFonts w:cs="Arial"/>
                <w:sz w:val="16"/>
                <w:szCs w:val="16"/>
                <w:lang w:val="es-CO"/>
              </w:rPr>
            </w:pPr>
          </w:p>
        </w:tc>
        <w:tc>
          <w:tcPr>
            <w:tcW w:w="653" w:type="pct"/>
            <w:vMerge/>
            <w:vAlign w:val="center"/>
          </w:tcPr>
          <w:p w14:paraId="2054EBC4" w14:textId="77777777" w:rsidR="0037398A" w:rsidRPr="007528E0" w:rsidRDefault="0037398A" w:rsidP="007528E0">
            <w:pPr>
              <w:spacing w:before="100" w:beforeAutospacing="1" w:after="100" w:afterAutospacing="1"/>
              <w:jc w:val="center"/>
              <w:rPr>
                <w:rFonts w:cs="Arial"/>
                <w:sz w:val="16"/>
                <w:szCs w:val="16"/>
                <w:lang w:val="es-CO"/>
              </w:rPr>
            </w:pPr>
          </w:p>
        </w:tc>
        <w:tc>
          <w:tcPr>
            <w:tcW w:w="653" w:type="pct"/>
            <w:vMerge/>
            <w:vAlign w:val="center"/>
          </w:tcPr>
          <w:p w14:paraId="74E5920C" w14:textId="77777777" w:rsidR="0037398A" w:rsidRPr="007528E0" w:rsidRDefault="0037398A" w:rsidP="007528E0">
            <w:pPr>
              <w:spacing w:before="100" w:beforeAutospacing="1" w:after="100" w:afterAutospacing="1"/>
              <w:jc w:val="center"/>
              <w:rPr>
                <w:rFonts w:cs="Arial"/>
                <w:sz w:val="16"/>
                <w:szCs w:val="16"/>
                <w:lang w:val="es-CO"/>
              </w:rPr>
            </w:pPr>
          </w:p>
        </w:tc>
        <w:tc>
          <w:tcPr>
            <w:tcW w:w="621" w:type="pct"/>
            <w:vMerge/>
            <w:vAlign w:val="center"/>
          </w:tcPr>
          <w:p w14:paraId="2620BA04" w14:textId="77777777" w:rsidR="0037398A" w:rsidRPr="007528E0" w:rsidRDefault="0037398A" w:rsidP="007528E0">
            <w:pPr>
              <w:spacing w:before="100" w:beforeAutospacing="1" w:after="100" w:afterAutospacing="1"/>
              <w:jc w:val="center"/>
              <w:rPr>
                <w:rFonts w:cs="Arial"/>
                <w:sz w:val="16"/>
                <w:szCs w:val="16"/>
                <w:lang w:val="es-CO"/>
              </w:rPr>
            </w:pPr>
          </w:p>
        </w:tc>
        <w:tc>
          <w:tcPr>
            <w:tcW w:w="621" w:type="pct"/>
            <w:vMerge/>
            <w:vAlign w:val="center"/>
          </w:tcPr>
          <w:p w14:paraId="508CF568" w14:textId="77777777" w:rsidR="0037398A" w:rsidRPr="007528E0" w:rsidRDefault="0037398A" w:rsidP="007528E0">
            <w:pPr>
              <w:spacing w:before="100" w:beforeAutospacing="1" w:after="100" w:afterAutospacing="1"/>
              <w:jc w:val="center"/>
              <w:rPr>
                <w:rFonts w:cs="Arial"/>
                <w:sz w:val="16"/>
                <w:szCs w:val="16"/>
                <w:lang w:val="es-CO"/>
              </w:rPr>
            </w:pPr>
          </w:p>
        </w:tc>
        <w:tc>
          <w:tcPr>
            <w:tcW w:w="621" w:type="pct"/>
            <w:vMerge/>
            <w:vAlign w:val="center"/>
          </w:tcPr>
          <w:p w14:paraId="4AAF7B56" w14:textId="77777777" w:rsidR="0037398A" w:rsidRPr="007528E0" w:rsidRDefault="0037398A" w:rsidP="007528E0">
            <w:pPr>
              <w:spacing w:before="100" w:beforeAutospacing="1" w:after="100" w:afterAutospacing="1"/>
              <w:jc w:val="center"/>
              <w:rPr>
                <w:rFonts w:cs="Arial"/>
                <w:sz w:val="16"/>
                <w:szCs w:val="16"/>
                <w:lang w:val="es-CO"/>
              </w:rPr>
            </w:pPr>
          </w:p>
        </w:tc>
      </w:tr>
      <w:tr w:rsidR="007528E0" w:rsidRPr="007528E0" w14:paraId="5AEFF436" w14:textId="77777777" w:rsidTr="007528E0">
        <w:tc>
          <w:tcPr>
            <w:tcW w:w="575" w:type="pct"/>
            <w:vAlign w:val="center"/>
          </w:tcPr>
          <w:p w14:paraId="3AAF8314" w14:textId="77777777" w:rsidR="0037398A" w:rsidRPr="007528E0" w:rsidRDefault="0037398A" w:rsidP="007528E0">
            <w:pPr>
              <w:spacing w:before="100" w:beforeAutospacing="1" w:after="100" w:afterAutospacing="1"/>
              <w:jc w:val="center"/>
              <w:rPr>
                <w:rFonts w:cs="Arial"/>
                <w:bCs/>
                <w:sz w:val="16"/>
                <w:szCs w:val="16"/>
              </w:rPr>
            </w:pPr>
            <w:r w:rsidRPr="007528E0">
              <w:rPr>
                <w:rFonts w:cs="Arial"/>
                <w:bCs/>
                <w:sz w:val="16"/>
                <w:szCs w:val="16"/>
              </w:rPr>
              <w:t>clorofluorocarbonados</w:t>
            </w:r>
          </w:p>
        </w:tc>
        <w:tc>
          <w:tcPr>
            <w:tcW w:w="659" w:type="pct"/>
            <w:vAlign w:val="center"/>
          </w:tcPr>
          <w:p w14:paraId="7A4473B3" w14:textId="77777777" w:rsidR="0037398A" w:rsidRPr="007528E0" w:rsidRDefault="0037398A" w:rsidP="007528E0">
            <w:pPr>
              <w:spacing w:before="100" w:beforeAutospacing="1" w:after="100" w:afterAutospacing="1"/>
              <w:rPr>
                <w:rFonts w:cs="Arial"/>
                <w:bCs/>
                <w:sz w:val="16"/>
                <w:szCs w:val="16"/>
              </w:rPr>
            </w:pPr>
            <w:proofErr w:type="spellStart"/>
            <w:r w:rsidRPr="007528E0">
              <w:rPr>
                <w:rFonts w:cs="Arial"/>
                <w:bCs/>
                <w:sz w:val="16"/>
                <w:szCs w:val="16"/>
              </w:rPr>
              <w:t>Fluorotriclorometano</w:t>
            </w:r>
            <w:proofErr w:type="spellEnd"/>
          </w:p>
          <w:p w14:paraId="2F178746" w14:textId="77777777" w:rsidR="0037398A" w:rsidRPr="007528E0" w:rsidRDefault="0037398A" w:rsidP="007528E0">
            <w:pPr>
              <w:spacing w:before="100" w:beforeAutospacing="1" w:after="100" w:afterAutospacing="1"/>
              <w:rPr>
                <w:rFonts w:cs="Arial"/>
                <w:bCs/>
                <w:sz w:val="16"/>
                <w:szCs w:val="16"/>
              </w:rPr>
            </w:pPr>
            <w:r w:rsidRPr="007528E0">
              <w:rPr>
                <w:rFonts w:cs="Arial"/>
                <w:bCs/>
                <w:sz w:val="16"/>
                <w:szCs w:val="16"/>
              </w:rPr>
              <w:t xml:space="preserve">1,1,2. Tricloro-1,2,2. </w:t>
            </w:r>
            <w:proofErr w:type="spellStart"/>
            <w:r w:rsidRPr="007528E0">
              <w:rPr>
                <w:rFonts w:cs="Arial"/>
                <w:bCs/>
                <w:sz w:val="16"/>
                <w:szCs w:val="16"/>
              </w:rPr>
              <w:t>Trifluoroetano</w:t>
            </w:r>
            <w:proofErr w:type="spellEnd"/>
          </w:p>
        </w:tc>
        <w:tc>
          <w:tcPr>
            <w:tcW w:w="596" w:type="pct"/>
            <w:vMerge/>
            <w:vAlign w:val="center"/>
          </w:tcPr>
          <w:p w14:paraId="34AD5BFA" w14:textId="77777777" w:rsidR="0037398A" w:rsidRPr="007528E0" w:rsidRDefault="0037398A" w:rsidP="007528E0">
            <w:pPr>
              <w:spacing w:before="100" w:beforeAutospacing="1" w:after="100" w:afterAutospacing="1"/>
              <w:jc w:val="center"/>
              <w:rPr>
                <w:rFonts w:cs="Arial"/>
                <w:sz w:val="16"/>
                <w:szCs w:val="16"/>
                <w:lang w:val="es-CO"/>
              </w:rPr>
            </w:pPr>
          </w:p>
        </w:tc>
        <w:tc>
          <w:tcPr>
            <w:tcW w:w="653" w:type="pct"/>
            <w:vMerge/>
            <w:vAlign w:val="center"/>
          </w:tcPr>
          <w:p w14:paraId="79AE4D99" w14:textId="77777777" w:rsidR="0037398A" w:rsidRPr="007528E0" w:rsidRDefault="0037398A" w:rsidP="007528E0">
            <w:pPr>
              <w:spacing w:before="100" w:beforeAutospacing="1" w:after="100" w:afterAutospacing="1"/>
              <w:jc w:val="center"/>
              <w:rPr>
                <w:rFonts w:cs="Arial"/>
                <w:sz w:val="16"/>
                <w:szCs w:val="16"/>
                <w:lang w:val="es-CO"/>
              </w:rPr>
            </w:pPr>
          </w:p>
        </w:tc>
        <w:tc>
          <w:tcPr>
            <w:tcW w:w="653" w:type="pct"/>
            <w:vMerge/>
            <w:vAlign w:val="center"/>
          </w:tcPr>
          <w:p w14:paraId="2EE3E73C" w14:textId="77777777" w:rsidR="0037398A" w:rsidRPr="007528E0" w:rsidRDefault="0037398A" w:rsidP="007528E0">
            <w:pPr>
              <w:spacing w:before="100" w:beforeAutospacing="1" w:after="100" w:afterAutospacing="1"/>
              <w:jc w:val="center"/>
              <w:rPr>
                <w:rFonts w:cs="Arial"/>
                <w:sz w:val="16"/>
                <w:szCs w:val="16"/>
                <w:lang w:val="es-CO"/>
              </w:rPr>
            </w:pPr>
          </w:p>
        </w:tc>
        <w:tc>
          <w:tcPr>
            <w:tcW w:w="621" w:type="pct"/>
            <w:vMerge/>
            <w:vAlign w:val="center"/>
          </w:tcPr>
          <w:p w14:paraId="782ABDFD" w14:textId="77777777" w:rsidR="0037398A" w:rsidRPr="007528E0" w:rsidRDefault="0037398A" w:rsidP="007528E0">
            <w:pPr>
              <w:spacing w:before="100" w:beforeAutospacing="1" w:after="100" w:afterAutospacing="1"/>
              <w:jc w:val="center"/>
              <w:rPr>
                <w:rFonts w:cs="Arial"/>
                <w:sz w:val="16"/>
                <w:szCs w:val="16"/>
                <w:lang w:val="es-CO"/>
              </w:rPr>
            </w:pPr>
          </w:p>
        </w:tc>
        <w:tc>
          <w:tcPr>
            <w:tcW w:w="621" w:type="pct"/>
            <w:vMerge/>
            <w:vAlign w:val="center"/>
          </w:tcPr>
          <w:p w14:paraId="1AC780E8" w14:textId="77777777" w:rsidR="0037398A" w:rsidRPr="007528E0" w:rsidRDefault="0037398A" w:rsidP="007528E0">
            <w:pPr>
              <w:spacing w:before="100" w:beforeAutospacing="1" w:after="100" w:afterAutospacing="1"/>
              <w:jc w:val="center"/>
              <w:rPr>
                <w:rFonts w:cs="Arial"/>
                <w:sz w:val="16"/>
                <w:szCs w:val="16"/>
                <w:lang w:val="es-CO"/>
              </w:rPr>
            </w:pPr>
          </w:p>
        </w:tc>
        <w:tc>
          <w:tcPr>
            <w:tcW w:w="621" w:type="pct"/>
            <w:vMerge/>
            <w:vAlign w:val="center"/>
          </w:tcPr>
          <w:p w14:paraId="72A910A1" w14:textId="77777777" w:rsidR="0037398A" w:rsidRPr="007528E0" w:rsidRDefault="0037398A" w:rsidP="007528E0">
            <w:pPr>
              <w:spacing w:before="100" w:beforeAutospacing="1" w:after="100" w:afterAutospacing="1"/>
              <w:jc w:val="center"/>
              <w:rPr>
                <w:rFonts w:cs="Arial"/>
                <w:sz w:val="16"/>
                <w:szCs w:val="16"/>
                <w:lang w:val="es-CO"/>
              </w:rPr>
            </w:pPr>
          </w:p>
        </w:tc>
      </w:tr>
      <w:tr w:rsidR="007528E0" w:rsidRPr="007528E0" w14:paraId="54C1F6AC" w14:textId="77777777" w:rsidTr="007528E0">
        <w:tc>
          <w:tcPr>
            <w:tcW w:w="575" w:type="pct"/>
            <w:vAlign w:val="center"/>
          </w:tcPr>
          <w:p w14:paraId="4278A20B" w14:textId="77777777" w:rsidR="0037398A" w:rsidRPr="007528E0" w:rsidRDefault="0037398A" w:rsidP="007528E0">
            <w:pPr>
              <w:spacing w:before="100" w:beforeAutospacing="1" w:after="100" w:afterAutospacing="1"/>
              <w:jc w:val="center"/>
              <w:rPr>
                <w:rFonts w:cs="Arial"/>
                <w:bCs/>
                <w:sz w:val="16"/>
                <w:szCs w:val="16"/>
              </w:rPr>
            </w:pPr>
            <w:r w:rsidRPr="007528E0">
              <w:rPr>
                <w:rFonts w:cs="Arial"/>
                <w:bCs/>
                <w:sz w:val="16"/>
                <w:szCs w:val="16"/>
              </w:rPr>
              <w:lastRenderedPageBreak/>
              <w:t>Cetonas</w:t>
            </w:r>
          </w:p>
        </w:tc>
        <w:tc>
          <w:tcPr>
            <w:tcW w:w="659" w:type="pct"/>
            <w:vAlign w:val="center"/>
          </w:tcPr>
          <w:p w14:paraId="28ED6573" w14:textId="77777777" w:rsidR="0037398A" w:rsidRPr="007528E0" w:rsidRDefault="0037398A" w:rsidP="007528E0">
            <w:pPr>
              <w:spacing w:before="100" w:beforeAutospacing="1" w:after="100" w:afterAutospacing="1"/>
              <w:rPr>
                <w:rFonts w:cs="Arial"/>
                <w:bCs/>
                <w:sz w:val="16"/>
                <w:szCs w:val="16"/>
              </w:rPr>
            </w:pPr>
            <w:r w:rsidRPr="007528E0">
              <w:rPr>
                <w:rFonts w:cs="Arial"/>
                <w:bCs/>
                <w:sz w:val="16"/>
                <w:szCs w:val="16"/>
              </w:rPr>
              <w:t xml:space="preserve">Acetona, </w:t>
            </w:r>
            <w:proofErr w:type="spellStart"/>
            <w:r w:rsidRPr="007528E0">
              <w:rPr>
                <w:rFonts w:cs="Arial"/>
                <w:bCs/>
                <w:sz w:val="16"/>
                <w:szCs w:val="16"/>
              </w:rPr>
              <w:t>Metiletil</w:t>
            </w:r>
            <w:proofErr w:type="spellEnd"/>
            <w:r w:rsidRPr="007528E0">
              <w:rPr>
                <w:rFonts w:cs="Arial"/>
                <w:bCs/>
                <w:sz w:val="16"/>
                <w:szCs w:val="16"/>
              </w:rPr>
              <w:t xml:space="preserve"> cetona</w:t>
            </w:r>
          </w:p>
          <w:p w14:paraId="3659C45F" w14:textId="77777777" w:rsidR="0037398A" w:rsidRPr="007528E0" w:rsidRDefault="0037398A" w:rsidP="007528E0">
            <w:pPr>
              <w:spacing w:before="100" w:beforeAutospacing="1" w:after="100" w:afterAutospacing="1"/>
              <w:rPr>
                <w:rFonts w:cs="Arial"/>
                <w:sz w:val="16"/>
                <w:szCs w:val="16"/>
                <w:lang w:val="es-CO"/>
              </w:rPr>
            </w:pPr>
            <w:proofErr w:type="spellStart"/>
            <w:r w:rsidRPr="007528E0">
              <w:rPr>
                <w:rFonts w:cs="Arial"/>
                <w:bCs/>
                <w:sz w:val="16"/>
                <w:szCs w:val="16"/>
              </w:rPr>
              <w:t>Metil</w:t>
            </w:r>
            <w:proofErr w:type="spellEnd"/>
            <w:r w:rsidRPr="007528E0">
              <w:rPr>
                <w:rFonts w:cs="Arial"/>
                <w:bCs/>
                <w:sz w:val="16"/>
                <w:szCs w:val="16"/>
              </w:rPr>
              <w:t xml:space="preserve"> </w:t>
            </w:r>
            <w:proofErr w:type="spellStart"/>
            <w:r w:rsidRPr="007528E0">
              <w:rPr>
                <w:rFonts w:cs="Arial"/>
                <w:bCs/>
                <w:sz w:val="16"/>
                <w:szCs w:val="16"/>
              </w:rPr>
              <w:t>isobutil</w:t>
            </w:r>
            <w:proofErr w:type="spellEnd"/>
            <w:r w:rsidRPr="007528E0">
              <w:rPr>
                <w:rFonts w:cs="Arial"/>
                <w:bCs/>
                <w:sz w:val="16"/>
                <w:szCs w:val="16"/>
              </w:rPr>
              <w:t xml:space="preserve"> cetona</w:t>
            </w:r>
          </w:p>
        </w:tc>
        <w:tc>
          <w:tcPr>
            <w:tcW w:w="596" w:type="pct"/>
            <w:vMerge/>
            <w:vAlign w:val="center"/>
          </w:tcPr>
          <w:p w14:paraId="2CCF30F4" w14:textId="77777777" w:rsidR="0037398A" w:rsidRPr="007528E0" w:rsidRDefault="0037398A" w:rsidP="007528E0">
            <w:pPr>
              <w:spacing w:before="100" w:beforeAutospacing="1" w:after="100" w:afterAutospacing="1"/>
              <w:jc w:val="center"/>
              <w:rPr>
                <w:rFonts w:cs="Arial"/>
                <w:sz w:val="16"/>
                <w:szCs w:val="16"/>
                <w:lang w:val="es-CO"/>
              </w:rPr>
            </w:pPr>
          </w:p>
        </w:tc>
        <w:tc>
          <w:tcPr>
            <w:tcW w:w="653" w:type="pct"/>
            <w:vMerge/>
            <w:vAlign w:val="center"/>
          </w:tcPr>
          <w:p w14:paraId="2395BC36" w14:textId="77777777" w:rsidR="0037398A" w:rsidRPr="007528E0" w:rsidRDefault="0037398A" w:rsidP="007528E0">
            <w:pPr>
              <w:spacing w:before="100" w:beforeAutospacing="1" w:after="100" w:afterAutospacing="1"/>
              <w:jc w:val="center"/>
              <w:rPr>
                <w:rFonts w:cs="Arial"/>
                <w:sz w:val="16"/>
                <w:szCs w:val="16"/>
                <w:lang w:val="es-CO"/>
              </w:rPr>
            </w:pPr>
          </w:p>
        </w:tc>
        <w:tc>
          <w:tcPr>
            <w:tcW w:w="653" w:type="pct"/>
            <w:vMerge/>
            <w:vAlign w:val="center"/>
          </w:tcPr>
          <w:p w14:paraId="4262269A" w14:textId="77777777" w:rsidR="0037398A" w:rsidRPr="007528E0" w:rsidRDefault="0037398A" w:rsidP="007528E0">
            <w:pPr>
              <w:spacing w:before="100" w:beforeAutospacing="1" w:after="100" w:afterAutospacing="1"/>
              <w:jc w:val="center"/>
              <w:rPr>
                <w:rFonts w:cs="Arial"/>
                <w:sz w:val="16"/>
                <w:szCs w:val="16"/>
                <w:lang w:val="es-CO"/>
              </w:rPr>
            </w:pPr>
          </w:p>
        </w:tc>
        <w:tc>
          <w:tcPr>
            <w:tcW w:w="621" w:type="pct"/>
            <w:vMerge/>
            <w:vAlign w:val="center"/>
          </w:tcPr>
          <w:p w14:paraId="4A6FCA9F" w14:textId="77777777" w:rsidR="0037398A" w:rsidRPr="007528E0" w:rsidRDefault="0037398A" w:rsidP="007528E0">
            <w:pPr>
              <w:spacing w:before="100" w:beforeAutospacing="1" w:after="100" w:afterAutospacing="1"/>
              <w:jc w:val="center"/>
              <w:rPr>
                <w:rFonts w:cs="Arial"/>
                <w:sz w:val="16"/>
                <w:szCs w:val="16"/>
                <w:lang w:val="es-CO"/>
              </w:rPr>
            </w:pPr>
          </w:p>
        </w:tc>
        <w:tc>
          <w:tcPr>
            <w:tcW w:w="621" w:type="pct"/>
            <w:vMerge/>
            <w:vAlign w:val="center"/>
          </w:tcPr>
          <w:p w14:paraId="3DBD0616" w14:textId="77777777" w:rsidR="0037398A" w:rsidRPr="007528E0" w:rsidRDefault="0037398A" w:rsidP="007528E0">
            <w:pPr>
              <w:spacing w:before="100" w:beforeAutospacing="1" w:after="100" w:afterAutospacing="1"/>
              <w:jc w:val="center"/>
              <w:rPr>
                <w:rFonts w:cs="Arial"/>
                <w:sz w:val="16"/>
                <w:szCs w:val="16"/>
                <w:lang w:val="es-CO"/>
              </w:rPr>
            </w:pPr>
          </w:p>
        </w:tc>
        <w:tc>
          <w:tcPr>
            <w:tcW w:w="621" w:type="pct"/>
            <w:vMerge/>
            <w:vAlign w:val="center"/>
          </w:tcPr>
          <w:p w14:paraId="179F490B" w14:textId="77777777" w:rsidR="0037398A" w:rsidRPr="007528E0" w:rsidRDefault="0037398A" w:rsidP="007528E0">
            <w:pPr>
              <w:spacing w:before="100" w:beforeAutospacing="1" w:after="100" w:afterAutospacing="1"/>
              <w:jc w:val="center"/>
              <w:rPr>
                <w:rFonts w:cs="Arial"/>
                <w:sz w:val="16"/>
                <w:szCs w:val="16"/>
                <w:lang w:val="es-CO"/>
              </w:rPr>
            </w:pPr>
          </w:p>
        </w:tc>
      </w:tr>
      <w:tr w:rsidR="007528E0" w:rsidRPr="007528E0" w14:paraId="7CD2781C" w14:textId="77777777" w:rsidTr="007528E0">
        <w:tc>
          <w:tcPr>
            <w:tcW w:w="575" w:type="pct"/>
            <w:vAlign w:val="center"/>
          </w:tcPr>
          <w:p w14:paraId="30210FDC" w14:textId="77777777" w:rsidR="0037398A" w:rsidRPr="007528E0" w:rsidRDefault="0037398A" w:rsidP="007528E0">
            <w:pPr>
              <w:spacing w:before="100" w:beforeAutospacing="1" w:after="100" w:afterAutospacing="1"/>
              <w:jc w:val="center"/>
              <w:rPr>
                <w:rFonts w:cs="Arial"/>
                <w:bCs/>
                <w:sz w:val="16"/>
                <w:szCs w:val="16"/>
              </w:rPr>
            </w:pPr>
            <w:r w:rsidRPr="007528E0">
              <w:rPr>
                <w:rFonts w:cs="Arial"/>
                <w:bCs/>
                <w:sz w:val="16"/>
                <w:szCs w:val="16"/>
              </w:rPr>
              <w:t>Éteres</w:t>
            </w:r>
          </w:p>
        </w:tc>
        <w:tc>
          <w:tcPr>
            <w:tcW w:w="659" w:type="pct"/>
            <w:vAlign w:val="center"/>
          </w:tcPr>
          <w:p w14:paraId="7F6A298F" w14:textId="77777777" w:rsidR="0037398A" w:rsidRPr="007528E0" w:rsidRDefault="0037398A" w:rsidP="007528E0">
            <w:pPr>
              <w:spacing w:before="100" w:beforeAutospacing="1" w:after="100" w:afterAutospacing="1"/>
              <w:rPr>
                <w:rFonts w:cs="Arial"/>
                <w:sz w:val="16"/>
                <w:szCs w:val="16"/>
                <w:lang w:val="es-CO"/>
              </w:rPr>
            </w:pPr>
            <w:r w:rsidRPr="007528E0">
              <w:rPr>
                <w:rFonts w:cs="Arial"/>
                <w:bCs/>
                <w:sz w:val="16"/>
                <w:szCs w:val="16"/>
              </w:rPr>
              <w:t>Éter etílico, Éter isopropílico, Dioxano</w:t>
            </w:r>
          </w:p>
        </w:tc>
        <w:tc>
          <w:tcPr>
            <w:tcW w:w="596" w:type="pct"/>
            <w:vMerge/>
            <w:vAlign w:val="center"/>
          </w:tcPr>
          <w:p w14:paraId="26C94D75" w14:textId="77777777" w:rsidR="0037398A" w:rsidRPr="007528E0" w:rsidRDefault="0037398A" w:rsidP="007528E0">
            <w:pPr>
              <w:spacing w:before="100" w:beforeAutospacing="1" w:after="100" w:afterAutospacing="1"/>
              <w:jc w:val="center"/>
              <w:rPr>
                <w:rFonts w:cs="Arial"/>
                <w:sz w:val="16"/>
                <w:szCs w:val="16"/>
                <w:lang w:val="es-CO"/>
              </w:rPr>
            </w:pPr>
          </w:p>
        </w:tc>
        <w:tc>
          <w:tcPr>
            <w:tcW w:w="653" w:type="pct"/>
            <w:vMerge/>
            <w:vAlign w:val="center"/>
          </w:tcPr>
          <w:p w14:paraId="13AD5ABF" w14:textId="77777777" w:rsidR="0037398A" w:rsidRPr="007528E0" w:rsidRDefault="0037398A" w:rsidP="007528E0">
            <w:pPr>
              <w:spacing w:before="100" w:beforeAutospacing="1" w:after="100" w:afterAutospacing="1"/>
              <w:jc w:val="center"/>
              <w:rPr>
                <w:rFonts w:cs="Arial"/>
                <w:sz w:val="16"/>
                <w:szCs w:val="16"/>
                <w:lang w:val="es-CO"/>
              </w:rPr>
            </w:pPr>
          </w:p>
        </w:tc>
        <w:tc>
          <w:tcPr>
            <w:tcW w:w="653" w:type="pct"/>
            <w:vMerge/>
            <w:vAlign w:val="center"/>
          </w:tcPr>
          <w:p w14:paraId="7C7F11AC" w14:textId="77777777" w:rsidR="0037398A" w:rsidRPr="007528E0" w:rsidRDefault="0037398A" w:rsidP="007528E0">
            <w:pPr>
              <w:spacing w:before="100" w:beforeAutospacing="1" w:after="100" w:afterAutospacing="1"/>
              <w:jc w:val="center"/>
              <w:rPr>
                <w:rFonts w:cs="Arial"/>
                <w:sz w:val="16"/>
                <w:szCs w:val="16"/>
                <w:lang w:val="es-CO"/>
              </w:rPr>
            </w:pPr>
          </w:p>
        </w:tc>
        <w:tc>
          <w:tcPr>
            <w:tcW w:w="621" w:type="pct"/>
            <w:vMerge/>
            <w:vAlign w:val="center"/>
          </w:tcPr>
          <w:p w14:paraId="31D5EDD8" w14:textId="77777777" w:rsidR="0037398A" w:rsidRPr="007528E0" w:rsidRDefault="0037398A" w:rsidP="007528E0">
            <w:pPr>
              <w:spacing w:before="100" w:beforeAutospacing="1" w:after="100" w:afterAutospacing="1"/>
              <w:jc w:val="center"/>
              <w:rPr>
                <w:rFonts w:cs="Arial"/>
                <w:sz w:val="16"/>
                <w:szCs w:val="16"/>
                <w:lang w:val="es-CO"/>
              </w:rPr>
            </w:pPr>
          </w:p>
        </w:tc>
        <w:tc>
          <w:tcPr>
            <w:tcW w:w="621" w:type="pct"/>
            <w:vMerge/>
            <w:vAlign w:val="center"/>
          </w:tcPr>
          <w:p w14:paraId="771242C5" w14:textId="77777777" w:rsidR="0037398A" w:rsidRPr="007528E0" w:rsidRDefault="0037398A" w:rsidP="007528E0">
            <w:pPr>
              <w:spacing w:before="100" w:beforeAutospacing="1" w:after="100" w:afterAutospacing="1"/>
              <w:jc w:val="center"/>
              <w:rPr>
                <w:rFonts w:cs="Arial"/>
                <w:sz w:val="16"/>
                <w:szCs w:val="16"/>
                <w:lang w:val="es-CO"/>
              </w:rPr>
            </w:pPr>
          </w:p>
        </w:tc>
        <w:tc>
          <w:tcPr>
            <w:tcW w:w="621" w:type="pct"/>
            <w:vMerge/>
            <w:vAlign w:val="center"/>
          </w:tcPr>
          <w:p w14:paraId="12986E77" w14:textId="77777777" w:rsidR="0037398A" w:rsidRPr="007528E0" w:rsidRDefault="0037398A" w:rsidP="007528E0">
            <w:pPr>
              <w:spacing w:before="100" w:beforeAutospacing="1" w:after="100" w:afterAutospacing="1"/>
              <w:jc w:val="center"/>
              <w:rPr>
                <w:rFonts w:cs="Arial"/>
                <w:sz w:val="16"/>
                <w:szCs w:val="16"/>
                <w:lang w:val="es-CO"/>
              </w:rPr>
            </w:pPr>
          </w:p>
        </w:tc>
      </w:tr>
      <w:tr w:rsidR="007528E0" w:rsidRPr="007528E0" w14:paraId="1D0A3985" w14:textId="77777777" w:rsidTr="007528E0">
        <w:tc>
          <w:tcPr>
            <w:tcW w:w="575" w:type="pct"/>
            <w:vAlign w:val="center"/>
          </w:tcPr>
          <w:p w14:paraId="3156C2CF" w14:textId="77777777" w:rsidR="0037398A" w:rsidRPr="007528E0" w:rsidRDefault="0037398A" w:rsidP="007528E0">
            <w:pPr>
              <w:spacing w:before="100" w:beforeAutospacing="1" w:after="100" w:afterAutospacing="1"/>
              <w:jc w:val="center"/>
              <w:rPr>
                <w:rFonts w:cs="Arial"/>
                <w:bCs/>
                <w:sz w:val="16"/>
                <w:szCs w:val="16"/>
              </w:rPr>
            </w:pPr>
            <w:r w:rsidRPr="007528E0">
              <w:rPr>
                <w:rFonts w:cs="Arial"/>
                <w:bCs/>
                <w:sz w:val="16"/>
                <w:szCs w:val="16"/>
              </w:rPr>
              <w:t>Destilados del petróleo</w:t>
            </w:r>
          </w:p>
        </w:tc>
        <w:tc>
          <w:tcPr>
            <w:tcW w:w="659" w:type="pct"/>
            <w:vAlign w:val="center"/>
          </w:tcPr>
          <w:p w14:paraId="687C43C2" w14:textId="77777777" w:rsidR="0037398A" w:rsidRPr="007528E0" w:rsidRDefault="0037398A" w:rsidP="007528E0">
            <w:pPr>
              <w:spacing w:before="100" w:beforeAutospacing="1" w:after="100" w:afterAutospacing="1"/>
              <w:rPr>
                <w:rFonts w:cs="Arial"/>
                <w:bCs/>
                <w:sz w:val="16"/>
                <w:szCs w:val="16"/>
              </w:rPr>
            </w:pPr>
            <w:r w:rsidRPr="007528E0">
              <w:rPr>
                <w:rFonts w:cs="Arial"/>
                <w:bCs/>
                <w:sz w:val="16"/>
                <w:szCs w:val="16"/>
              </w:rPr>
              <w:t xml:space="preserve">Naftas, White </w:t>
            </w:r>
            <w:proofErr w:type="spellStart"/>
            <w:r w:rsidRPr="007528E0">
              <w:rPr>
                <w:rFonts w:cs="Arial"/>
                <w:bCs/>
                <w:sz w:val="16"/>
                <w:szCs w:val="16"/>
              </w:rPr>
              <w:t>spirit</w:t>
            </w:r>
            <w:proofErr w:type="spellEnd"/>
          </w:p>
        </w:tc>
        <w:tc>
          <w:tcPr>
            <w:tcW w:w="596" w:type="pct"/>
            <w:vMerge/>
            <w:vAlign w:val="center"/>
          </w:tcPr>
          <w:p w14:paraId="02404B0A" w14:textId="77777777" w:rsidR="0037398A" w:rsidRPr="007528E0" w:rsidRDefault="0037398A" w:rsidP="007528E0">
            <w:pPr>
              <w:spacing w:before="100" w:beforeAutospacing="1" w:after="100" w:afterAutospacing="1"/>
              <w:jc w:val="center"/>
              <w:rPr>
                <w:rFonts w:cs="Arial"/>
                <w:sz w:val="16"/>
                <w:szCs w:val="16"/>
                <w:lang w:val="es-CO"/>
              </w:rPr>
            </w:pPr>
          </w:p>
        </w:tc>
        <w:tc>
          <w:tcPr>
            <w:tcW w:w="653" w:type="pct"/>
            <w:vMerge/>
            <w:vAlign w:val="center"/>
          </w:tcPr>
          <w:p w14:paraId="778B5EC6" w14:textId="77777777" w:rsidR="0037398A" w:rsidRPr="007528E0" w:rsidRDefault="0037398A" w:rsidP="007528E0">
            <w:pPr>
              <w:spacing w:before="100" w:beforeAutospacing="1" w:after="100" w:afterAutospacing="1"/>
              <w:jc w:val="center"/>
              <w:rPr>
                <w:rFonts w:cs="Arial"/>
                <w:sz w:val="16"/>
                <w:szCs w:val="16"/>
                <w:lang w:val="es-CO"/>
              </w:rPr>
            </w:pPr>
          </w:p>
        </w:tc>
        <w:tc>
          <w:tcPr>
            <w:tcW w:w="653" w:type="pct"/>
            <w:vMerge/>
            <w:vAlign w:val="center"/>
          </w:tcPr>
          <w:p w14:paraId="38BFCF37" w14:textId="77777777" w:rsidR="0037398A" w:rsidRPr="007528E0" w:rsidRDefault="0037398A" w:rsidP="007528E0">
            <w:pPr>
              <w:spacing w:before="100" w:beforeAutospacing="1" w:after="100" w:afterAutospacing="1"/>
              <w:jc w:val="center"/>
              <w:rPr>
                <w:rFonts w:cs="Arial"/>
                <w:sz w:val="16"/>
                <w:szCs w:val="16"/>
                <w:lang w:val="es-CO"/>
              </w:rPr>
            </w:pPr>
          </w:p>
        </w:tc>
        <w:tc>
          <w:tcPr>
            <w:tcW w:w="621" w:type="pct"/>
            <w:vMerge/>
            <w:vAlign w:val="center"/>
          </w:tcPr>
          <w:p w14:paraId="317D3025" w14:textId="77777777" w:rsidR="0037398A" w:rsidRPr="007528E0" w:rsidRDefault="0037398A" w:rsidP="007528E0">
            <w:pPr>
              <w:spacing w:before="100" w:beforeAutospacing="1" w:after="100" w:afterAutospacing="1"/>
              <w:jc w:val="center"/>
              <w:rPr>
                <w:rFonts w:cs="Arial"/>
                <w:sz w:val="16"/>
                <w:szCs w:val="16"/>
                <w:lang w:val="es-CO"/>
              </w:rPr>
            </w:pPr>
          </w:p>
        </w:tc>
        <w:tc>
          <w:tcPr>
            <w:tcW w:w="621" w:type="pct"/>
            <w:vMerge/>
            <w:vAlign w:val="center"/>
          </w:tcPr>
          <w:p w14:paraId="2AACDA01" w14:textId="77777777" w:rsidR="0037398A" w:rsidRPr="007528E0" w:rsidRDefault="0037398A" w:rsidP="007528E0">
            <w:pPr>
              <w:spacing w:before="100" w:beforeAutospacing="1" w:after="100" w:afterAutospacing="1"/>
              <w:jc w:val="center"/>
              <w:rPr>
                <w:rFonts w:cs="Arial"/>
                <w:sz w:val="16"/>
                <w:szCs w:val="16"/>
                <w:lang w:val="es-CO"/>
              </w:rPr>
            </w:pPr>
          </w:p>
        </w:tc>
        <w:tc>
          <w:tcPr>
            <w:tcW w:w="621" w:type="pct"/>
            <w:vMerge/>
            <w:vAlign w:val="center"/>
          </w:tcPr>
          <w:p w14:paraId="443414AE" w14:textId="77777777" w:rsidR="0037398A" w:rsidRPr="007528E0" w:rsidRDefault="0037398A" w:rsidP="007528E0">
            <w:pPr>
              <w:spacing w:before="100" w:beforeAutospacing="1" w:after="100" w:afterAutospacing="1"/>
              <w:jc w:val="center"/>
              <w:rPr>
                <w:rFonts w:cs="Arial"/>
                <w:sz w:val="16"/>
                <w:szCs w:val="16"/>
                <w:lang w:val="es-CO"/>
              </w:rPr>
            </w:pPr>
          </w:p>
        </w:tc>
      </w:tr>
      <w:tr w:rsidR="007528E0" w:rsidRPr="007528E0" w14:paraId="078F219F" w14:textId="77777777" w:rsidTr="007528E0">
        <w:tc>
          <w:tcPr>
            <w:tcW w:w="575" w:type="pct"/>
            <w:vAlign w:val="center"/>
          </w:tcPr>
          <w:p w14:paraId="2C4D62C8" w14:textId="77777777" w:rsidR="0037398A" w:rsidRPr="007528E0" w:rsidRDefault="0037398A" w:rsidP="007528E0">
            <w:pPr>
              <w:spacing w:before="100" w:beforeAutospacing="1" w:after="100" w:afterAutospacing="1"/>
              <w:jc w:val="center"/>
              <w:rPr>
                <w:rFonts w:cs="Arial"/>
                <w:sz w:val="16"/>
                <w:szCs w:val="16"/>
                <w:lang w:val="es-CO"/>
              </w:rPr>
            </w:pPr>
            <w:r w:rsidRPr="007528E0">
              <w:rPr>
                <w:rFonts w:cs="Arial"/>
                <w:bCs/>
                <w:sz w:val="16"/>
                <w:szCs w:val="16"/>
              </w:rPr>
              <w:t>Esteres</w:t>
            </w:r>
          </w:p>
        </w:tc>
        <w:tc>
          <w:tcPr>
            <w:tcW w:w="659" w:type="pct"/>
            <w:vAlign w:val="center"/>
          </w:tcPr>
          <w:p w14:paraId="2FD366BA" w14:textId="77777777" w:rsidR="0037398A" w:rsidRPr="007528E0" w:rsidRDefault="0037398A" w:rsidP="007528E0">
            <w:pPr>
              <w:spacing w:before="100" w:beforeAutospacing="1" w:after="100" w:afterAutospacing="1"/>
              <w:rPr>
                <w:rFonts w:cs="Arial"/>
                <w:sz w:val="16"/>
                <w:szCs w:val="16"/>
                <w:lang w:val="es-CO"/>
              </w:rPr>
            </w:pPr>
            <w:r w:rsidRPr="007528E0">
              <w:rPr>
                <w:rFonts w:cs="Arial"/>
                <w:bCs/>
                <w:sz w:val="16"/>
                <w:szCs w:val="16"/>
              </w:rPr>
              <w:t>Acetato de metilo,  Acetato de etilo,  Acetato de vinilo Acetato de vinilo, Cloruro de etilo</w:t>
            </w:r>
          </w:p>
        </w:tc>
        <w:tc>
          <w:tcPr>
            <w:tcW w:w="596" w:type="pct"/>
            <w:vMerge/>
            <w:vAlign w:val="center"/>
          </w:tcPr>
          <w:p w14:paraId="5C18BFC4" w14:textId="77777777" w:rsidR="0037398A" w:rsidRPr="007528E0" w:rsidRDefault="0037398A" w:rsidP="007528E0">
            <w:pPr>
              <w:spacing w:before="100" w:beforeAutospacing="1" w:after="100" w:afterAutospacing="1"/>
              <w:jc w:val="center"/>
              <w:rPr>
                <w:rFonts w:cs="Arial"/>
                <w:sz w:val="16"/>
                <w:szCs w:val="16"/>
                <w:lang w:val="es-CO"/>
              </w:rPr>
            </w:pPr>
          </w:p>
        </w:tc>
        <w:tc>
          <w:tcPr>
            <w:tcW w:w="653" w:type="pct"/>
            <w:vMerge/>
            <w:vAlign w:val="center"/>
          </w:tcPr>
          <w:p w14:paraId="3C81A602" w14:textId="77777777" w:rsidR="0037398A" w:rsidRPr="007528E0" w:rsidRDefault="0037398A" w:rsidP="007528E0">
            <w:pPr>
              <w:spacing w:before="100" w:beforeAutospacing="1" w:after="100" w:afterAutospacing="1"/>
              <w:jc w:val="center"/>
              <w:rPr>
                <w:rFonts w:cs="Arial"/>
                <w:sz w:val="16"/>
                <w:szCs w:val="16"/>
                <w:lang w:val="es-CO"/>
              </w:rPr>
            </w:pPr>
          </w:p>
        </w:tc>
        <w:tc>
          <w:tcPr>
            <w:tcW w:w="653" w:type="pct"/>
            <w:vMerge/>
            <w:vAlign w:val="center"/>
          </w:tcPr>
          <w:p w14:paraId="54CA7277" w14:textId="77777777" w:rsidR="0037398A" w:rsidRPr="007528E0" w:rsidRDefault="0037398A" w:rsidP="007528E0">
            <w:pPr>
              <w:spacing w:before="100" w:beforeAutospacing="1" w:after="100" w:afterAutospacing="1"/>
              <w:jc w:val="center"/>
              <w:rPr>
                <w:rFonts w:cs="Arial"/>
                <w:sz w:val="16"/>
                <w:szCs w:val="16"/>
                <w:lang w:val="es-CO"/>
              </w:rPr>
            </w:pPr>
          </w:p>
        </w:tc>
        <w:tc>
          <w:tcPr>
            <w:tcW w:w="621" w:type="pct"/>
            <w:vMerge/>
            <w:vAlign w:val="center"/>
          </w:tcPr>
          <w:p w14:paraId="759633F7" w14:textId="77777777" w:rsidR="0037398A" w:rsidRPr="007528E0" w:rsidRDefault="0037398A" w:rsidP="007528E0">
            <w:pPr>
              <w:spacing w:before="100" w:beforeAutospacing="1" w:after="100" w:afterAutospacing="1"/>
              <w:jc w:val="center"/>
              <w:rPr>
                <w:rFonts w:cs="Arial"/>
                <w:sz w:val="16"/>
                <w:szCs w:val="16"/>
                <w:lang w:val="es-CO"/>
              </w:rPr>
            </w:pPr>
          </w:p>
        </w:tc>
        <w:tc>
          <w:tcPr>
            <w:tcW w:w="621" w:type="pct"/>
            <w:vMerge/>
            <w:vAlign w:val="center"/>
          </w:tcPr>
          <w:p w14:paraId="1E548AC9" w14:textId="77777777" w:rsidR="0037398A" w:rsidRPr="007528E0" w:rsidRDefault="0037398A" w:rsidP="007528E0">
            <w:pPr>
              <w:spacing w:before="100" w:beforeAutospacing="1" w:after="100" w:afterAutospacing="1"/>
              <w:jc w:val="center"/>
              <w:rPr>
                <w:rFonts w:cs="Arial"/>
                <w:sz w:val="16"/>
                <w:szCs w:val="16"/>
                <w:lang w:val="es-CO"/>
              </w:rPr>
            </w:pPr>
          </w:p>
        </w:tc>
        <w:tc>
          <w:tcPr>
            <w:tcW w:w="621" w:type="pct"/>
            <w:vMerge/>
            <w:vAlign w:val="center"/>
          </w:tcPr>
          <w:p w14:paraId="2C5D04D5" w14:textId="77777777" w:rsidR="0037398A" w:rsidRPr="007528E0" w:rsidRDefault="0037398A" w:rsidP="007528E0">
            <w:pPr>
              <w:spacing w:before="100" w:beforeAutospacing="1" w:after="100" w:afterAutospacing="1"/>
              <w:jc w:val="center"/>
              <w:rPr>
                <w:rFonts w:cs="Arial"/>
                <w:sz w:val="16"/>
                <w:szCs w:val="16"/>
                <w:lang w:val="es-CO"/>
              </w:rPr>
            </w:pPr>
          </w:p>
        </w:tc>
      </w:tr>
      <w:tr w:rsidR="007528E0" w:rsidRPr="007528E0" w14:paraId="2C68C55F" w14:textId="77777777" w:rsidTr="007528E0">
        <w:tc>
          <w:tcPr>
            <w:tcW w:w="575" w:type="pct"/>
            <w:vAlign w:val="center"/>
          </w:tcPr>
          <w:p w14:paraId="190973C2" w14:textId="77777777" w:rsidR="0037398A" w:rsidRPr="007528E0" w:rsidRDefault="0037398A" w:rsidP="007528E0">
            <w:pPr>
              <w:spacing w:before="100" w:beforeAutospacing="1" w:after="100" w:afterAutospacing="1"/>
              <w:jc w:val="center"/>
              <w:rPr>
                <w:rFonts w:cs="Arial"/>
                <w:bCs/>
                <w:sz w:val="16"/>
                <w:szCs w:val="16"/>
              </w:rPr>
            </w:pPr>
            <w:r w:rsidRPr="007528E0">
              <w:rPr>
                <w:rFonts w:cs="Arial"/>
                <w:bCs/>
                <w:sz w:val="16"/>
                <w:szCs w:val="16"/>
              </w:rPr>
              <w:t>Derivados del</w:t>
            </w:r>
          </w:p>
          <w:p w14:paraId="1AAA8649" w14:textId="77777777" w:rsidR="0037398A" w:rsidRPr="007528E0" w:rsidRDefault="0037398A" w:rsidP="007528E0">
            <w:pPr>
              <w:spacing w:before="100" w:beforeAutospacing="1" w:after="100" w:afterAutospacing="1"/>
              <w:jc w:val="center"/>
              <w:rPr>
                <w:rFonts w:cs="Arial"/>
                <w:sz w:val="16"/>
                <w:szCs w:val="16"/>
                <w:lang w:val="es-CO"/>
              </w:rPr>
            </w:pPr>
            <w:r w:rsidRPr="007528E0">
              <w:rPr>
                <w:rFonts w:cs="Arial"/>
                <w:bCs/>
                <w:sz w:val="16"/>
                <w:szCs w:val="16"/>
              </w:rPr>
              <w:t>Glicol</w:t>
            </w:r>
          </w:p>
        </w:tc>
        <w:tc>
          <w:tcPr>
            <w:tcW w:w="659" w:type="pct"/>
            <w:vAlign w:val="center"/>
          </w:tcPr>
          <w:p w14:paraId="1AEE69D3" w14:textId="77777777" w:rsidR="0037398A" w:rsidRPr="007528E0" w:rsidRDefault="0037398A" w:rsidP="007528E0">
            <w:pPr>
              <w:spacing w:before="100" w:beforeAutospacing="1" w:after="100" w:afterAutospacing="1"/>
              <w:rPr>
                <w:rFonts w:cs="Arial"/>
                <w:bCs/>
                <w:sz w:val="16"/>
                <w:szCs w:val="16"/>
              </w:rPr>
            </w:pPr>
            <w:proofErr w:type="spellStart"/>
            <w:r w:rsidRPr="007528E0">
              <w:rPr>
                <w:rFonts w:cs="Arial"/>
                <w:bCs/>
                <w:sz w:val="16"/>
                <w:szCs w:val="16"/>
              </w:rPr>
              <w:t>Eter</w:t>
            </w:r>
            <w:proofErr w:type="spellEnd"/>
            <w:r w:rsidRPr="007528E0">
              <w:rPr>
                <w:rFonts w:cs="Arial"/>
                <w:bCs/>
                <w:sz w:val="16"/>
                <w:szCs w:val="16"/>
              </w:rPr>
              <w:t xml:space="preserve"> </w:t>
            </w:r>
            <w:proofErr w:type="spellStart"/>
            <w:r w:rsidRPr="007528E0">
              <w:rPr>
                <w:rFonts w:cs="Arial"/>
                <w:bCs/>
                <w:sz w:val="16"/>
                <w:szCs w:val="16"/>
              </w:rPr>
              <w:t>monoetil</w:t>
            </w:r>
            <w:proofErr w:type="spellEnd"/>
            <w:r w:rsidRPr="007528E0">
              <w:rPr>
                <w:rFonts w:cs="Arial"/>
                <w:bCs/>
                <w:sz w:val="16"/>
                <w:szCs w:val="16"/>
              </w:rPr>
              <w:t xml:space="preserve"> y </w:t>
            </w:r>
            <w:proofErr w:type="spellStart"/>
            <w:r w:rsidRPr="007528E0">
              <w:rPr>
                <w:rFonts w:cs="Arial"/>
                <w:bCs/>
                <w:sz w:val="16"/>
                <w:szCs w:val="16"/>
              </w:rPr>
              <w:t>Eter</w:t>
            </w:r>
            <w:proofErr w:type="spellEnd"/>
            <w:r w:rsidRPr="007528E0">
              <w:rPr>
                <w:rFonts w:cs="Arial"/>
                <w:bCs/>
                <w:sz w:val="16"/>
                <w:szCs w:val="16"/>
              </w:rPr>
              <w:t xml:space="preserve"> </w:t>
            </w:r>
            <w:proofErr w:type="spellStart"/>
            <w:r w:rsidRPr="007528E0">
              <w:rPr>
                <w:rFonts w:cs="Arial"/>
                <w:bCs/>
                <w:sz w:val="16"/>
                <w:szCs w:val="16"/>
              </w:rPr>
              <w:t>monometil</w:t>
            </w:r>
            <w:proofErr w:type="spellEnd"/>
            <w:r w:rsidRPr="007528E0">
              <w:rPr>
                <w:rFonts w:cs="Arial"/>
                <w:bCs/>
                <w:sz w:val="16"/>
                <w:szCs w:val="16"/>
              </w:rPr>
              <w:t xml:space="preserve"> de Etilenglicol</w:t>
            </w:r>
          </w:p>
          <w:p w14:paraId="475E8C2F" w14:textId="77777777" w:rsidR="0037398A" w:rsidRPr="007528E0" w:rsidRDefault="0037398A" w:rsidP="007528E0">
            <w:pPr>
              <w:spacing w:before="100" w:beforeAutospacing="1" w:after="100" w:afterAutospacing="1"/>
              <w:rPr>
                <w:rFonts w:cs="Arial"/>
                <w:bCs/>
                <w:sz w:val="16"/>
                <w:szCs w:val="16"/>
              </w:rPr>
            </w:pPr>
            <w:r w:rsidRPr="007528E0">
              <w:rPr>
                <w:rFonts w:cs="Arial"/>
                <w:bCs/>
                <w:sz w:val="16"/>
                <w:szCs w:val="16"/>
              </w:rPr>
              <w:t>Éter acetato</w:t>
            </w:r>
          </w:p>
          <w:p w14:paraId="1134BA53" w14:textId="77777777" w:rsidR="0037398A" w:rsidRPr="007528E0" w:rsidRDefault="0037398A" w:rsidP="007528E0">
            <w:pPr>
              <w:spacing w:before="100" w:beforeAutospacing="1" w:after="100" w:afterAutospacing="1"/>
              <w:rPr>
                <w:rFonts w:cs="Arial"/>
                <w:sz w:val="16"/>
                <w:szCs w:val="16"/>
                <w:lang w:val="es-CO"/>
              </w:rPr>
            </w:pPr>
            <w:proofErr w:type="spellStart"/>
            <w:r w:rsidRPr="007528E0">
              <w:rPr>
                <w:rFonts w:cs="Arial"/>
                <w:bCs/>
                <w:sz w:val="16"/>
                <w:szCs w:val="16"/>
              </w:rPr>
              <w:t>Monobutil-eter</w:t>
            </w:r>
            <w:proofErr w:type="spellEnd"/>
          </w:p>
        </w:tc>
        <w:tc>
          <w:tcPr>
            <w:tcW w:w="596" w:type="pct"/>
            <w:vMerge/>
            <w:vAlign w:val="center"/>
          </w:tcPr>
          <w:p w14:paraId="2EDCAE10" w14:textId="77777777" w:rsidR="0037398A" w:rsidRPr="007528E0" w:rsidRDefault="0037398A" w:rsidP="007528E0">
            <w:pPr>
              <w:spacing w:before="100" w:beforeAutospacing="1" w:after="100" w:afterAutospacing="1"/>
              <w:jc w:val="center"/>
              <w:rPr>
                <w:rFonts w:cs="Arial"/>
                <w:sz w:val="16"/>
                <w:szCs w:val="16"/>
                <w:lang w:val="es-CO"/>
              </w:rPr>
            </w:pPr>
          </w:p>
        </w:tc>
        <w:tc>
          <w:tcPr>
            <w:tcW w:w="653" w:type="pct"/>
            <w:vMerge/>
            <w:vAlign w:val="center"/>
          </w:tcPr>
          <w:p w14:paraId="630E6038" w14:textId="77777777" w:rsidR="0037398A" w:rsidRPr="007528E0" w:rsidRDefault="0037398A" w:rsidP="007528E0">
            <w:pPr>
              <w:spacing w:before="100" w:beforeAutospacing="1" w:after="100" w:afterAutospacing="1"/>
              <w:jc w:val="center"/>
              <w:rPr>
                <w:rFonts w:cs="Arial"/>
                <w:sz w:val="16"/>
                <w:szCs w:val="16"/>
                <w:lang w:val="es-CO"/>
              </w:rPr>
            </w:pPr>
          </w:p>
        </w:tc>
        <w:tc>
          <w:tcPr>
            <w:tcW w:w="653" w:type="pct"/>
            <w:vMerge/>
            <w:vAlign w:val="center"/>
          </w:tcPr>
          <w:p w14:paraId="398E3E54" w14:textId="77777777" w:rsidR="0037398A" w:rsidRPr="007528E0" w:rsidRDefault="0037398A" w:rsidP="007528E0">
            <w:pPr>
              <w:spacing w:before="100" w:beforeAutospacing="1" w:after="100" w:afterAutospacing="1"/>
              <w:jc w:val="center"/>
              <w:rPr>
                <w:rFonts w:cs="Arial"/>
                <w:sz w:val="16"/>
                <w:szCs w:val="16"/>
                <w:lang w:val="es-CO"/>
              </w:rPr>
            </w:pPr>
          </w:p>
        </w:tc>
        <w:tc>
          <w:tcPr>
            <w:tcW w:w="621" w:type="pct"/>
            <w:vMerge/>
            <w:vAlign w:val="center"/>
          </w:tcPr>
          <w:p w14:paraId="20F9EB44" w14:textId="77777777" w:rsidR="0037398A" w:rsidRPr="007528E0" w:rsidRDefault="0037398A" w:rsidP="007528E0">
            <w:pPr>
              <w:spacing w:before="100" w:beforeAutospacing="1" w:after="100" w:afterAutospacing="1"/>
              <w:jc w:val="center"/>
              <w:rPr>
                <w:rFonts w:cs="Arial"/>
                <w:sz w:val="16"/>
                <w:szCs w:val="16"/>
                <w:lang w:val="es-CO"/>
              </w:rPr>
            </w:pPr>
          </w:p>
        </w:tc>
        <w:tc>
          <w:tcPr>
            <w:tcW w:w="621" w:type="pct"/>
            <w:vMerge/>
            <w:vAlign w:val="center"/>
          </w:tcPr>
          <w:p w14:paraId="2EC365DF" w14:textId="77777777" w:rsidR="0037398A" w:rsidRPr="007528E0" w:rsidRDefault="0037398A" w:rsidP="007528E0">
            <w:pPr>
              <w:spacing w:before="100" w:beforeAutospacing="1" w:after="100" w:afterAutospacing="1"/>
              <w:jc w:val="center"/>
              <w:rPr>
                <w:rFonts w:cs="Arial"/>
                <w:sz w:val="16"/>
                <w:szCs w:val="16"/>
                <w:lang w:val="es-CO"/>
              </w:rPr>
            </w:pPr>
          </w:p>
        </w:tc>
        <w:tc>
          <w:tcPr>
            <w:tcW w:w="621" w:type="pct"/>
            <w:vMerge/>
            <w:vAlign w:val="center"/>
          </w:tcPr>
          <w:p w14:paraId="1927F182" w14:textId="77777777" w:rsidR="0037398A" w:rsidRPr="007528E0" w:rsidRDefault="0037398A" w:rsidP="007528E0">
            <w:pPr>
              <w:spacing w:before="100" w:beforeAutospacing="1" w:after="100" w:afterAutospacing="1"/>
              <w:jc w:val="center"/>
              <w:rPr>
                <w:rFonts w:cs="Arial"/>
                <w:sz w:val="16"/>
                <w:szCs w:val="16"/>
                <w:lang w:val="es-CO"/>
              </w:rPr>
            </w:pPr>
          </w:p>
        </w:tc>
      </w:tr>
    </w:tbl>
    <w:p w14:paraId="4A688961" w14:textId="77777777" w:rsidR="0037398A" w:rsidRPr="007528E0" w:rsidRDefault="0037398A" w:rsidP="0037398A">
      <w:pPr>
        <w:spacing w:before="100" w:beforeAutospacing="1" w:after="100" w:afterAutospacing="1"/>
        <w:jc w:val="center"/>
        <w:rPr>
          <w:rFonts w:cs="Arial"/>
          <w:sz w:val="22"/>
          <w:szCs w:val="22"/>
          <w:lang w:val="es-CO"/>
        </w:rPr>
      </w:pPr>
      <w:r w:rsidRPr="007528E0">
        <w:rPr>
          <w:rFonts w:cs="Arial"/>
          <w:sz w:val="16"/>
          <w:szCs w:val="16"/>
          <w:lang w:val="es-CO"/>
        </w:rPr>
        <w:t xml:space="preserve">Fuente: Elaborada a partir de las referencias </w:t>
      </w:r>
      <w:r w:rsidRPr="007528E0">
        <w:rPr>
          <w:rFonts w:cs="Arial"/>
          <w:sz w:val="16"/>
          <w:szCs w:val="16"/>
          <w:lang w:val="es-CO"/>
        </w:rPr>
        <w:fldChar w:fldCharType="begin" w:fldLock="1"/>
      </w:r>
      <w:r w:rsidRPr="007528E0">
        <w:rPr>
          <w:rFonts w:cs="Arial"/>
          <w:sz w:val="16"/>
          <w:szCs w:val="16"/>
          <w:lang w:val="es-CO"/>
        </w:rPr>
        <w:instrText>ADDIN CSL_CITATION { "citationItems" : [ { "id" : "ITEM-1", "itemData" : { "author" : [ { "dropping-particle" : "", "family" : "Hoffman, R.S., et al.", "given" : "", "non-dropping-particle" : "", "parse-names" : false, "suffix" : "" } ], "container-title" : "McGraw-Hill: New York", "id" : "ITEM-1", "issued" : { "date-parts" : [ [ "0" ] ] }, "title" : "Goldfrank\u00b4s. Manual of toxicologic emergencies. 2008", "type" : "article-journal" }, "uris" : [ "http://www.mendeley.com/documents/?uuid=6101ab90-992b-4bdb-b668-1473ce76ffb9" ] } ], "mendeley" : { "formattedCitation" : "(26)", "plainTextFormattedCitation" : "(26)", "previouslyFormattedCitation" : "(26)" }, "properties" : { "noteIndex" : 0 }, "schema" : "https://github.com/citation-style-language/schema/raw/master/csl-citation.json" }</w:instrText>
      </w:r>
      <w:r w:rsidRPr="007528E0">
        <w:rPr>
          <w:rFonts w:cs="Arial"/>
          <w:sz w:val="16"/>
          <w:szCs w:val="16"/>
          <w:lang w:val="es-CO"/>
        </w:rPr>
        <w:fldChar w:fldCharType="separate"/>
      </w:r>
      <w:r w:rsidRPr="007528E0">
        <w:rPr>
          <w:rFonts w:cs="Arial"/>
          <w:noProof/>
          <w:sz w:val="16"/>
          <w:szCs w:val="16"/>
          <w:lang w:val="es-CO"/>
        </w:rPr>
        <w:t>(26)</w:t>
      </w:r>
      <w:r w:rsidRPr="007528E0">
        <w:rPr>
          <w:rFonts w:cs="Arial"/>
          <w:sz w:val="16"/>
          <w:szCs w:val="16"/>
          <w:lang w:val="es-CO"/>
        </w:rPr>
        <w:fldChar w:fldCharType="end"/>
      </w:r>
      <w:r w:rsidRPr="007528E0">
        <w:rPr>
          <w:rFonts w:cs="Arial"/>
          <w:sz w:val="16"/>
          <w:szCs w:val="16"/>
          <w:lang w:val="es-CO"/>
        </w:rPr>
        <w:fldChar w:fldCharType="begin" w:fldLock="1"/>
      </w:r>
      <w:r w:rsidRPr="007528E0">
        <w:rPr>
          <w:rFonts w:cs="Arial"/>
          <w:sz w:val="16"/>
          <w:szCs w:val="16"/>
          <w:lang w:val="es-CO"/>
        </w:rPr>
        <w:instrText>ADDIN CSL_CITATION { "citationItems" : [ { "id" : "ITEM-1", "itemData" : { "author" : [ { "dropping-particle" : "", "family" : "Shannon, M.W., S.W. Borron", "given" : "and M.J. Burns", "non-dropping-particle" : "", "parse-names" : false, "suffix" : "" } ], "container-title" : "Saunders Elsevier", "id" : "ITEM-1", "issue" : "1521", "issued" : { "date-parts" : [ [ "2007" ] ] }, "title" : "Haddad and Winchester's clinical management of poisoning and drug overdose, ed. t.", "type" : "article-journal", "volume" : "1" }, "uris" : [ "http://www.mendeley.com/documents/?uuid=b7fcb41b-436e-46b0-8781-cbe88cae55fd" ] } ], "mendeley" : { "formattedCitation" : "(27)", "plainTextFormattedCitation" : "(27)", "previouslyFormattedCitation" : "(27)" }, "properties" : { "noteIndex" : 0 }, "schema" : "https://github.com/citation-style-language/schema/raw/master/csl-citation.json" }</w:instrText>
      </w:r>
      <w:r w:rsidRPr="007528E0">
        <w:rPr>
          <w:rFonts w:cs="Arial"/>
          <w:sz w:val="16"/>
          <w:szCs w:val="16"/>
          <w:lang w:val="es-CO"/>
        </w:rPr>
        <w:fldChar w:fldCharType="separate"/>
      </w:r>
      <w:r w:rsidRPr="007528E0">
        <w:rPr>
          <w:rFonts w:cs="Arial"/>
          <w:noProof/>
          <w:sz w:val="16"/>
          <w:szCs w:val="16"/>
          <w:lang w:val="es-CO"/>
        </w:rPr>
        <w:t>(27)</w:t>
      </w:r>
      <w:r w:rsidRPr="007528E0">
        <w:rPr>
          <w:rFonts w:cs="Arial"/>
          <w:sz w:val="16"/>
          <w:szCs w:val="16"/>
          <w:lang w:val="es-CO"/>
        </w:rPr>
        <w:fldChar w:fldCharType="end"/>
      </w:r>
      <w:r w:rsidRPr="007528E0">
        <w:rPr>
          <w:rFonts w:cs="Arial"/>
          <w:sz w:val="16"/>
          <w:szCs w:val="16"/>
          <w:lang w:val="es-CO"/>
        </w:rPr>
        <w:fldChar w:fldCharType="begin" w:fldLock="1"/>
      </w:r>
      <w:r w:rsidRPr="007528E0">
        <w:rPr>
          <w:rFonts w:cs="Arial"/>
          <w:sz w:val="16"/>
          <w:szCs w:val="16"/>
          <w:lang w:val="es-CO"/>
        </w:rPr>
        <w:instrText>ADDIN CSL_CITATION { "citationItems" : [ { "id" : "ITEM-1", "itemData" : { "author" : [ { "dropping-particle" : "", "family" : "Mc Graw-Hill. Olson K.", "given" : "", "non-dropping-particle" : "", "parse-names" : false, "suffix" : "" } ], "edition" : "Quinta Edi", "id" : "ITEM-1", "issued" : { "date-parts" : [ [ "2006" ] ] }, "title" : "Poisoning &amp; Drug Overdose", "type" : "book" }, "uris" : [ "http://www.mendeley.com/documents/?uuid=118b95c9-6e46-4361-8d56-df533571c246" ] } ], "mendeley" : { "formattedCitation" : "(25)", "plainTextFormattedCitation" : "(25)", "previouslyFormattedCitation" : "(25)" }, "properties" : { "noteIndex" : 0 }, "schema" : "https://github.com/citation-style-language/schema/raw/master/csl-citation.json" }</w:instrText>
      </w:r>
      <w:r w:rsidRPr="007528E0">
        <w:rPr>
          <w:rFonts w:cs="Arial"/>
          <w:sz w:val="16"/>
          <w:szCs w:val="16"/>
          <w:lang w:val="es-CO"/>
        </w:rPr>
        <w:fldChar w:fldCharType="separate"/>
      </w:r>
      <w:r w:rsidRPr="007528E0">
        <w:rPr>
          <w:rFonts w:cs="Arial"/>
          <w:noProof/>
          <w:sz w:val="16"/>
          <w:szCs w:val="16"/>
          <w:lang w:val="es-CO"/>
        </w:rPr>
        <w:t>(25)</w:t>
      </w:r>
      <w:r w:rsidRPr="007528E0">
        <w:rPr>
          <w:rFonts w:cs="Arial"/>
          <w:sz w:val="16"/>
          <w:szCs w:val="16"/>
          <w:lang w:val="es-CO"/>
        </w:rPr>
        <w:fldChar w:fldCharType="end"/>
      </w:r>
    </w:p>
    <w:p w14:paraId="276B2D19" w14:textId="77777777" w:rsidR="0037398A" w:rsidRPr="007528E0" w:rsidRDefault="0037398A" w:rsidP="0037398A">
      <w:pPr>
        <w:pStyle w:val="Ttulo2"/>
        <w:numPr>
          <w:ilvl w:val="0"/>
          <w:numId w:val="25"/>
        </w:numPr>
        <w:spacing w:before="100" w:beforeAutospacing="1" w:after="100" w:afterAutospacing="1"/>
        <w:jc w:val="left"/>
        <w:rPr>
          <w:sz w:val="22"/>
          <w:szCs w:val="22"/>
        </w:rPr>
      </w:pPr>
      <w:bookmarkStart w:id="30" w:name="_Toc464122685"/>
      <w:bookmarkStart w:id="31" w:name="_Toc505456660"/>
      <w:bookmarkStart w:id="32" w:name="_Toc464122683"/>
      <w:r w:rsidRPr="007528E0">
        <w:rPr>
          <w:sz w:val="22"/>
          <w:szCs w:val="22"/>
        </w:rPr>
        <w:t>Intoxicación por otras sustancias químicas</w:t>
      </w:r>
      <w:bookmarkEnd w:id="30"/>
      <w:r w:rsidRPr="007528E0">
        <w:rPr>
          <w:sz w:val="22"/>
          <w:szCs w:val="22"/>
        </w:rPr>
        <w:t xml:space="preserve"> (Grupo de sustancia 6)</w:t>
      </w:r>
      <w:bookmarkEnd w:id="31"/>
    </w:p>
    <w:p w14:paraId="55ADF046" w14:textId="77777777" w:rsidR="0037398A" w:rsidRPr="007528E0" w:rsidRDefault="0037398A" w:rsidP="0037398A">
      <w:pPr>
        <w:spacing w:before="100" w:beforeAutospacing="1" w:after="100" w:afterAutospacing="1"/>
        <w:rPr>
          <w:rFonts w:eastAsia="Arial" w:cs="Arial"/>
          <w:sz w:val="22"/>
          <w:szCs w:val="22"/>
          <w:lang w:val="es-CO" w:eastAsia="es-CO"/>
        </w:rPr>
      </w:pPr>
      <w:r w:rsidRPr="007528E0">
        <w:rPr>
          <w:rFonts w:eastAsia="Arial" w:cs="Arial"/>
          <w:sz w:val="22"/>
          <w:szCs w:val="22"/>
          <w:lang w:val="es-CO" w:eastAsia="es-CO"/>
        </w:rPr>
        <w:t>La notificación por intoxicaciones con otras sustancias químicas constituye una variedad de sustancias liquidas, sólidas y mezclas que tienen propiedades fisicoquímicas como acidez, alcalinidad, combustión, corrosividad, material particulado, así como las mezclas de sustancias químicas pertenecientes a diferentes grupos químicos, que hacen que al contacto inadecuado con estas se produzcan intoxicaciones agudas que pueden dejar secuelas graves hasta causar la muerte, así mismo los accidentes laborales o las exposiciones a nivel laboral producen intoxicaciones agudas y crónicas que pueden llevar a enfermedades graves. En este grupo se notifica en su mayoría intoxicación de tipo accidental, la población más expuesta a los accidentes domésticos son niños menores de 5 años.</w:t>
      </w:r>
    </w:p>
    <w:p w14:paraId="0CE77F41" w14:textId="77777777" w:rsidR="0037398A" w:rsidRPr="007528E0" w:rsidRDefault="0037398A" w:rsidP="0037398A">
      <w:pPr>
        <w:spacing w:before="100" w:beforeAutospacing="1" w:after="100" w:afterAutospacing="1"/>
        <w:rPr>
          <w:rFonts w:eastAsia="Arial" w:cs="Arial"/>
          <w:b/>
          <w:sz w:val="22"/>
          <w:szCs w:val="22"/>
          <w:lang w:val="es-CO" w:eastAsia="es-CO"/>
        </w:rPr>
      </w:pPr>
      <w:r w:rsidRPr="007528E0">
        <w:rPr>
          <w:rFonts w:eastAsia="Arial" w:cs="Arial"/>
          <w:b/>
          <w:sz w:val="22"/>
          <w:szCs w:val="22"/>
          <w:lang w:val="es-CO" w:eastAsia="es-CO"/>
        </w:rPr>
        <w:t>Clasificación del grupo otras sustancias químicas</w:t>
      </w:r>
    </w:p>
    <w:p w14:paraId="2809A194" w14:textId="77777777" w:rsidR="0037398A" w:rsidRPr="007528E0" w:rsidRDefault="0037398A" w:rsidP="0037398A">
      <w:pPr>
        <w:spacing w:before="100" w:beforeAutospacing="1" w:after="100" w:afterAutospacing="1"/>
        <w:rPr>
          <w:rFonts w:eastAsia="Arial" w:cs="Arial"/>
          <w:sz w:val="22"/>
          <w:szCs w:val="22"/>
          <w:lang w:val="es-CO" w:eastAsia="es-CO"/>
        </w:rPr>
      </w:pPr>
      <w:r w:rsidRPr="007528E0">
        <w:rPr>
          <w:rFonts w:eastAsia="Arial" w:cs="Arial"/>
          <w:sz w:val="22"/>
          <w:szCs w:val="22"/>
          <w:lang w:val="es-CO" w:eastAsia="es-CO"/>
        </w:rPr>
        <w:lastRenderedPageBreak/>
        <w:t>La variedad de las sustancias que conforman este grupo son clasificadas en: cosméticos, agroquímicos, álcalis, ácidos, productos de limpieza, cianuro, fósforo, mezclas que correspondan a diferentes grupos de sustancias químicas, plantas tóxicas, entre otros. De este grupo las sustancias que presentan mayor toxicidad aguda es el fósforo blanco y el cianuro, y las que dejan más secuelas por intoxicación accidental y delictiva son las sustancias corrosivas como ácidos y álcalis.</w:t>
      </w:r>
    </w:p>
    <w:p w14:paraId="148870C0" w14:textId="77777777" w:rsidR="0037398A" w:rsidRPr="007528E0" w:rsidRDefault="0037398A" w:rsidP="0037398A">
      <w:pPr>
        <w:pStyle w:val="Descripcin"/>
        <w:spacing w:before="100" w:beforeAutospacing="1" w:after="100" w:afterAutospacing="1"/>
        <w:jc w:val="center"/>
        <w:rPr>
          <w:rFonts w:eastAsia="Arial" w:cs="Arial"/>
          <w:b/>
          <w:bCs/>
          <w:i w:val="0"/>
          <w:color w:val="auto"/>
          <w:sz w:val="22"/>
          <w:szCs w:val="22"/>
          <w:lang w:val="es-CO" w:eastAsia="es-CO"/>
        </w:rPr>
      </w:pPr>
      <w:bookmarkStart w:id="33" w:name="_Toc505456260"/>
      <w:r w:rsidRPr="007528E0">
        <w:rPr>
          <w:rFonts w:cs="Arial"/>
          <w:b/>
          <w:color w:val="auto"/>
          <w:sz w:val="22"/>
          <w:szCs w:val="22"/>
        </w:rPr>
        <w:t xml:space="preserve">Tabla </w:t>
      </w:r>
      <w:r w:rsidRPr="007528E0">
        <w:rPr>
          <w:rFonts w:cs="Arial"/>
          <w:b/>
          <w:color w:val="auto"/>
          <w:sz w:val="22"/>
          <w:szCs w:val="22"/>
        </w:rPr>
        <w:fldChar w:fldCharType="begin"/>
      </w:r>
      <w:r w:rsidRPr="007528E0">
        <w:rPr>
          <w:rFonts w:cs="Arial"/>
          <w:b/>
          <w:color w:val="auto"/>
          <w:sz w:val="22"/>
          <w:szCs w:val="22"/>
        </w:rPr>
        <w:instrText xml:space="preserve"> SEQ Tabla \* ARABIC </w:instrText>
      </w:r>
      <w:r w:rsidRPr="007528E0">
        <w:rPr>
          <w:rFonts w:cs="Arial"/>
          <w:b/>
          <w:color w:val="auto"/>
          <w:sz w:val="22"/>
          <w:szCs w:val="22"/>
        </w:rPr>
        <w:fldChar w:fldCharType="separate"/>
      </w:r>
      <w:r w:rsidRPr="007528E0">
        <w:rPr>
          <w:rFonts w:cs="Arial"/>
          <w:b/>
          <w:noProof/>
          <w:color w:val="auto"/>
          <w:sz w:val="22"/>
          <w:szCs w:val="22"/>
        </w:rPr>
        <w:t>14</w:t>
      </w:r>
      <w:r w:rsidRPr="007528E0">
        <w:rPr>
          <w:rFonts w:cs="Arial"/>
          <w:b/>
          <w:color w:val="auto"/>
          <w:sz w:val="22"/>
          <w:szCs w:val="22"/>
        </w:rPr>
        <w:fldChar w:fldCharType="end"/>
      </w:r>
      <w:r w:rsidRPr="007528E0">
        <w:rPr>
          <w:rFonts w:cs="Arial"/>
          <w:b/>
          <w:color w:val="auto"/>
          <w:sz w:val="22"/>
          <w:szCs w:val="22"/>
        </w:rPr>
        <w:t>.</w:t>
      </w:r>
      <w:r w:rsidRPr="007528E0">
        <w:rPr>
          <w:rFonts w:cs="Arial"/>
          <w:color w:val="auto"/>
          <w:sz w:val="22"/>
          <w:szCs w:val="22"/>
        </w:rPr>
        <w:t xml:space="preserve"> Productos más comunes notificados como intoxicación por otras sustancias químicas.</w:t>
      </w:r>
      <w:bookmarkEnd w:id="33"/>
    </w:p>
    <w:tbl>
      <w:tblPr>
        <w:tblStyle w:val="Tablaconcuadrcula"/>
        <w:tblW w:w="9400" w:type="dxa"/>
        <w:tblLayout w:type="fixed"/>
        <w:tblLook w:val="0000" w:firstRow="0" w:lastRow="0" w:firstColumn="0" w:lastColumn="0" w:noHBand="0" w:noVBand="0"/>
      </w:tblPr>
      <w:tblGrid>
        <w:gridCol w:w="1512"/>
        <w:gridCol w:w="2629"/>
        <w:gridCol w:w="1559"/>
        <w:gridCol w:w="1985"/>
        <w:gridCol w:w="1715"/>
      </w:tblGrid>
      <w:tr w:rsidR="007528E0" w:rsidRPr="007528E0" w14:paraId="18F20274" w14:textId="77777777" w:rsidTr="007528E0">
        <w:trPr>
          <w:trHeight w:val="606"/>
        </w:trPr>
        <w:tc>
          <w:tcPr>
            <w:tcW w:w="1512" w:type="dxa"/>
          </w:tcPr>
          <w:p w14:paraId="515A4240" w14:textId="77777777" w:rsidR="0037398A" w:rsidRPr="007528E0" w:rsidRDefault="0037398A" w:rsidP="007528E0">
            <w:pPr>
              <w:autoSpaceDE w:val="0"/>
              <w:autoSpaceDN w:val="0"/>
              <w:adjustRightInd w:val="0"/>
              <w:spacing w:before="100" w:beforeAutospacing="1" w:after="100" w:afterAutospacing="1"/>
              <w:jc w:val="center"/>
              <w:rPr>
                <w:rFonts w:cs="Arial"/>
                <w:b/>
                <w:bCs/>
                <w:sz w:val="20"/>
                <w:szCs w:val="20"/>
              </w:rPr>
            </w:pPr>
            <w:r w:rsidRPr="007528E0">
              <w:rPr>
                <w:rFonts w:cs="Arial"/>
                <w:b/>
                <w:bCs/>
                <w:sz w:val="20"/>
                <w:szCs w:val="20"/>
              </w:rPr>
              <w:t>Tipo</w:t>
            </w:r>
          </w:p>
        </w:tc>
        <w:tc>
          <w:tcPr>
            <w:tcW w:w="2629" w:type="dxa"/>
          </w:tcPr>
          <w:p w14:paraId="0EAC7C8D" w14:textId="77777777" w:rsidR="0037398A" w:rsidRPr="007528E0" w:rsidRDefault="0037398A" w:rsidP="007528E0">
            <w:pPr>
              <w:autoSpaceDE w:val="0"/>
              <w:autoSpaceDN w:val="0"/>
              <w:adjustRightInd w:val="0"/>
              <w:spacing w:before="100" w:beforeAutospacing="1" w:after="100" w:afterAutospacing="1"/>
              <w:jc w:val="center"/>
              <w:rPr>
                <w:rFonts w:cs="Arial"/>
                <w:b/>
                <w:bCs/>
                <w:sz w:val="20"/>
                <w:szCs w:val="20"/>
              </w:rPr>
            </w:pPr>
            <w:r w:rsidRPr="007528E0">
              <w:rPr>
                <w:rFonts w:cs="Arial"/>
                <w:b/>
                <w:bCs/>
                <w:sz w:val="20"/>
                <w:szCs w:val="20"/>
              </w:rPr>
              <w:t>Nombre Comercial</w:t>
            </w:r>
          </w:p>
        </w:tc>
        <w:tc>
          <w:tcPr>
            <w:tcW w:w="1559" w:type="dxa"/>
          </w:tcPr>
          <w:p w14:paraId="0A32E4E6" w14:textId="77777777" w:rsidR="0037398A" w:rsidRPr="007528E0" w:rsidRDefault="0037398A" w:rsidP="007528E0">
            <w:pPr>
              <w:autoSpaceDE w:val="0"/>
              <w:autoSpaceDN w:val="0"/>
              <w:adjustRightInd w:val="0"/>
              <w:spacing w:before="100" w:beforeAutospacing="1" w:after="100" w:afterAutospacing="1"/>
              <w:jc w:val="center"/>
              <w:rPr>
                <w:rFonts w:cs="Arial"/>
                <w:b/>
                <w:bCs/>
                <w:sz w:val="20"/>
                <w:szCs w:val="20"/>
              </w:rPr>
            </w:pPr>
            <w:r w:rsidRPr="007528E0">
              <w:rPr>
                <w:rFonts w:cs="Arial"/>
                <w:b/>
                <w:bCs/>
                <w:sz w:val="20"/>
                <w:szCs w:val="20"/>
              </w:rPr>
              <w:t>Componente</w:t>
            </w:r>
          </w:p>
        </w:tc>
        <w:tc>
          <w:tcPr>
            <w:tcW w:w="1985" w:type="dxa"/>
          </w:tcPr>
          <w:p w14:paraId="5D83FD75" w14:textId="77777777" w:rsidR="0037398A" w:rsidRPr="007528E0" w:rsidRDefault="0037398A" w:rsidP="007528E0">
            <w:pPr>
              <w:autoSpaceDE w:val="0"/>
              <w:autoSpaceDN w:val="0"/>
              <w:adjustRightInd w:val="0"/>
              <w:spacing w:before="100" w:beforeAutospacing="1" w:after="100" w:afterAutospacing="1"/>
              <w:jc w:val="center"/>
              <w:rPr>
                <w:rFonts w:cs="Arial"/>
                <w:b/>
                <w:bCs/>
                <w:sz w:val="20"/>
                <w:szCs w:val="20"/>
              </w:rPr>
            </w:pPr>
            <w:r w:rsidRPr="007528E0">
              <w:rPr>
                <w:rFonts w:cs="Arial"/>
                <w:b/>
                <w:bCs/>
                <w:sz w:val="20"/>
                <w:szCs w:val="20"/>
              </w:rPr>
              <w:t>Uso</w:t>
            </w:r>
          </w:p>
        </w:tc>
        <w:tc>
          <w:tcPr>
            <w:tcW w:w="1715" w:type="dxa"/>
          </w:tcPr>
          <w:p w14:paraId="2B9F4A4C" w14:textId="77777777" w:rsidR="0037398A" w:rsidRPr="007528E0" w:rsidRDefault="0037398A" w:rsidP="007528E0">
            <w:pPr>
              <w:autoSpaceDE w:val="0"/>
              <w:autoSpaceDN w:val="0"/>
              <w:adjustRightInd w:val="0"/>
              <w:spacing w:before="100" w:beforeAutospacing="1" w:after="100" w:afterAutospacing="1"/>
              <w:jc w:val="center"/>
              <w:rPr>
                <w:rFonts w:cs="Arial"/>
                <w:b/>
                <w:bCs/>
                <w:sz w:val="20"/>
                <w:szCs w:val="20"/>
              </w:rPr>
            </w:pPr>
            <w:r w:rsidRPr="007528E0">
              <w:rPr>
                <w:rFonts w:cs="Arial"/>
                <w:b/>
                <w:bCs/>
                <w:sz w:val="20"/>
                <w:szCs w:val="20"/>
              </w:rPr>
              <w:t>Característica</w:t>
            </w:r>
          </w:p>
        </w:tc>
      </w:tr>
      <w:tr w:rsidR="007528E0" w:rsidRPr="007528E0" w14:paraId="1C04D0A3" w14:textId="77777777" w:rsidTr="007528E0">
        <w:trPr>
          <w:trHeight w:val="121"/>
        </w:trPr>
        <w:tc>
          <w:tcPr>
            <w:tcW w:w="1512" w:type="dxa"/>
            <w:vMerge w:val="restart"/>
          </w:tcPr>
          <w:p w14:paraId="1754E280" w14:textId="77777777" w:rsidR="0037398A" w:rsidRPr="007528E0" w:rsidRDefault="0037398A" w:rsidP="007528E0">
            <w:pPr>
              <w:autoSpaceDE w:val="0"/>
              <w:autoSpaceDN w:val="0"/>
              <w:adjustRightInd w:val="0"/>
              <w:spacing w:before="100" w:beforeAutospacing="1" w:after="100" w:afterAutospacing="1"/>
              <w:rPr>
                <w:rFonts w:cs="Arial"/>
                <w:sz w:val="20"/>
                <w:szCs w:val="20"/>
              </w:rPr>
            </w:pPr>
          </w:p>
          <w:p w14:paraId="2E82117B" w14:textId="77777777" w:rsidR="0037398A" w:rsidRPr="007528E0" w:rsidRDefault="0037398A" w:rsidP="007528E0">
            <w:pPr>
              <w:autoSpaceDE w:val="0"/>
              <w:autoSpaceDN w:val="0"/>
              <w:adjustRightInd w:val="0"/>
              <w:spacing w:before="100" w:beforeAutospacing="1" w:after="100" w:afterAutospacing="1"/>
              <w:rPr>
                <w:rFonts w:cs="Arial"/>
                <w:sz w:val="20"/>
                <w:szCs w:val="20"/>
              </w:rPr>
            </w:pPr>
          </w:p>
          <w:p w14:paraId="4EE57260" w14:textId="77777777" w:rsidR="0037398A" w:rsidRPr="007528E0" w:rsidRDefault="0037398A" w:rsidP="007528E0">
            <w:pPr>
              <w:autoSpaceDE w:val="0"/>
              <w:autoSpaceDN w:val="0"/>
              <w:adjustRightInd w:val="0"/>
              <w:spacing w:before="100" w:beforeAutospacing="1" w:after="100" w:afterAutospacing="1"/>
              <w:rPr>
                <w:rFonts w:cs="Arial"/>
                <w:sz w:val="20"/>
                <w:szCs w:val="20"/>
              </w:rPr>
            </w:pPr>
          </w:p>
          <w:p w14:paraId="5361ACC8" w14:textId="77777777" w:rsidR="0037398A" w:rsidRPr="007528E0" w:rsidRDefault="0037398A" w:rsidP="007528E0">
            <w:pPr>
              <w:autoSpaceDE w:val="0"/>
              <w:autoSpaceDN w:val="0"/>
              <w:adjustRightInd w:val="0"/>
              <w:spacing w:before="100" w:beforeAutospacing="1" w:after="100" w:afterAutospacing="1"/>
              <w:rPr>
                <w:rFonts w:cs="Arial"/>
                <w:sz w:val="20"/>
                <w:szCs w:val="20"/>
              </w:rPr>
            </w:pPr>
          </w:p>
          <w:p w14:paraId="652E61AD" w14:textId="77777777" w:rsidR="0037398A" w:rsidRPr="007528E0" w:rsidRDefault="0037398A" w:rsidP="007528E0">
            <w:pPr>
              <w:autoSpaceDE w:val="0"/>
              <w:autoSpaceDN w:val="0"/>
              <w:adjustRightInd w:val="0"/>
              <w:spacing w:before="100" w:beforeAutospacing="1" w:after="100" w:afterAutospacing="1"/>
              <w:rPr>
                <w:rFonts w:cs="Arial"/>
                <w:sz w:val="20"/>
                <w:szCs w:val="20"/>
              </w:rPr>
            </w:pPr>
          </w:p>
          <w:p w14:paraId="3F660EB4" w14:textId="77777777" w:rsidR="0037398A" w:rsidRPr="007528E0" w:rsidRDefault="0037398A" w:rsidP="007528E0">
            <w:pPr>
              <w:autoSpaceDE w:val="0"/>
              <w:autoSpaceDN w:val="0"/>
              <w:adjustRightInd w:val="0"/>
              <w:spacing w:before="100" w:beforeAutospacing="1" w:after="100" w:afterAutospacing="1"/>
              <w:rPr>
                <w:rFonts w:cs="Arial"/>
                <w:sz w:val="20"/>
                <w:szCs w:val="20"/>
              </w:rPr>
            </w:pPr>
          </w:p>
          <w:p w14:paraId="494ED599" w14:textId="77777777" w:rsidR="0037398A" w:rsidRPr="007528E0" w:rsidRDefault="0037398A" w:rsidP="007528E0">
            <w:pPr>
              <w:autoSpaceDE w:val="0"/>
              <w:autoSpaceDN w:val="0"/>
              <w:adjustRightInd w:val="0"/>
              <w:spacing w:before="100" w:beforeAutospacing="1" w:after="100" w:afterAutospacing="1"/>
              <w:rPr>
                <w:rFonts w:cs="Arial"/>
                <w:sz w:val="20"/>
                <w:szCs w:val="20"/>
              </w:rPr>
            </w:pPr>
            <w:r w:rsidRPr="007528E0">
              <w:rPr>
                <w:rFonts w:cs="Arial"/>
                <w:sz w:val="20"/>
                <w:szCs w:val="20"/>
              </w:rPr>
              <w:t>Ácidos</w:t>
            </w:r>
          </w:p>
          <w:p w14:paraId="70652FFC" w14:textId="77777777" w:rsidR="0037398A" w:rsidRPr="007528E0" w:rsidRDefault="0037398A" w:rsidP="007528E0">
            <w:pPr>
              <w:autoSpaceDE w:val="0"/>
              <w:autoSpaceDN w:val="0"/>
              <w:adjustRightInd w:val="0"/>
              <w:spacing w:before="100" w:beforeAutospacing="1" w:after="100" w:afterAutospacing="1"/>
              <w:rPr>
                <w:rFonts w:cs="Arial"/>
                <w:sz w:val="20"/>
                <w:szCs w:val="20"/>
              </w:rPr>
            </w:pPr>
          </w:p>
        </w:tc>
        <w:tc>
          <w:tcPr>
            <w:tcW w:w="2629" w:type="dxa"/>
          </w:tcPr>
          <w:p w14:paraId="74EEDBD7" w14:textId="77777777" w:rsidR="0037398A" w:rsidRPr="007528E0" w:rsidRDefault="0037398A" w:rsidP="007528E0">
            <w:pPr>
              <w:autoSpaceDE w:val="0"/>
              <w:autoSpaceDN w:val="0"/>
              <w:adjustRightInd w:val="0"/>
              <w:spacing w:before="100" w:beforeAutospacing="1" w:after="100" w:afterAutospacing="1"/>
              <w:rPr>
                <w:rFonts w:cs="Arial"/>
                <w:sz w:val="20"/>
                <w:szCs w:val="20"/>
              </w:rPr>
            </w:pPr>
            <w:r w:rsidRPr="007528E0">
              <w:rPr>
                <w:rFonts w:cs="Arial"/>
                <w:sz w:val="20"/>
                <w:szCs w:val="20"/>
              </w:rPr>
              <w:t>Ácido muriático</w:t>
            </w:r>
          </w:p>
        </w:tc>
        <w:tc>
          <w:tcPr>
            <w:tcW w:w="1559" w:type="dxa"/>
          </w:tcPr>
          <w:p w14:paraId="0A74CCB5" w14:textId="77777777" w:rsidR="0037398A" w:rsidRPr="007528E0" w:rsidRDefault="0037398A" w:rsidP="007528E0">
            <w:pPr>
              <w:autoSpaceDE w:val="0"/>
              <w:autoSpaceDN w:val="0"/>
              <w:adjustRightInd w:val="0"/>
              <w:spacing w:before="100" w:beforeAutospacing="1" w:after="100" w:afterAutospacing="1"/>
              <w:rPr>
                <w:rFonts w:cs="Arial"/>
                <w:sz w:val="20"/>
                <w:szCs w:val="20"/>
              </w:rPr>
            </w:pPr>
            <w:r w:rsidRPr="007528E0">
              <w:rPr>
                <w:rFonts w:cs="Arial"/>
                <w:sz w:val="20"/>
                <w:szCs w:val="20"/>
              </w:rPr>
              <w:t>Ácido clorhídrico</w:t>
            </w:r>
          </w:p>
        </w:tc>
        <w:tc>
          <w:tcPr>
            <w:tcW w:w="1985" w:type="dxa"/>
          </w:tcPr>
          <w:p w14:paraId="3DDDEA23" w14:textId="77777777" w:rsidR="0037398A" w:rsidRPr="007528E0" w:rsidRDefault="0037398A" w:rsidP="007528E0">
            <w:pPr>
              <w:autoSpaceDE w:val="0"/>
              <w:autoSpaceDN w:val="0"/>
              <w:adjustRightInd w:val="0"/>
              <w:spacing w:before="100" w:beforeAutospacing="1" w:after="100" w:afterAutospacing="1"/>
              <w:rPr>
                <w:rFonts w:cs="Arial"/>
                <w:sz w:val="20"/>
                <w:szCs w:val="20"/>
              </w:rPr>
            </w:pPr>
            <w:r w:rsidRPr="007528E0">
              <w:rPr>
                <w:rFonts w:cs="Arial"/>
                <w:sz w:val="20"/>
                <w:szCs w:val="20"/>
              </w:rPr>
              <w:t>Limpiador de sanitarios y óxido</w:t>
            </w:r>
          </w:p>
        </w:tc>
        <w:tc>
          <w:tcPr>
            <w:tcW w:w="1715" w:type="dxa"/>
          </w:tcPr>
          <w:p w14:paraId="056C04E7" w14:textId="77777777" w:rsidR="0037398A" w:rsidRPr="007528E0" w:rsidRDefault="0037398A" w:rsidP="007528E0">
            <w:pPr>
              <w:autoSpaceDE w:val="0"/>
              <w:autoSpaceDN w:val="0"/>
              <w:adjustRightInd w:val="0"/>
              <w:spacing w:before="100" w:beforeAutospacing="1" w:after="100" w:afterAutospacing="1"/>
              <w:rPr>
                <w:rFonts w:cs="Arial"/>
                <w:sz w:val="20"/>
                <w:szCs w:val="20"/>
              </w:rPr>
            </w:pPr>
            <w:r w:rsidRPr="007528E0">
              <w:rPr>
                <w:rFonts w:cs="Arial"/>
                <w:sz w:val="20"/>
                <w:szCs w:val="20"/>
              </w:rPr>
              <w:t>Corrosivos</w:t>
            </w:r>
          </w:p>
        </w:tc>
      </w:tr>
      <w:tr w:rsidR="007528E0" w:rsidRPr="007528E0" w14:paraId="73A00638" w14:textId="77777777" w:rsidTr="007528E0">
        <w:trPr>
          <w:trHeight w:val="285"/>
        </w:trPr>
        <w:tc>
          <w:tcPr>
            <w:tcW w:w="1512" w:type="dxa"/>
            <w:vMerge/>
          </w:tcPr>
          <w:p w14:paraId="7FC4B1F6" w14:textId="77777777" w:rsidR="0037398A" w:rsidRPr="007528E0" w:rsidRDefault="0037398A" w:rsidP="007528E0">
            <w:pPr>
              <w:autoSpaceDE w:val="0"/>
              <w:autoSpaceDN w:val="0"/>
              <w:adjustRightInd w:val="0"/>
              <w:spacing w:before="100" w:beforeAutospacing="1" w:after="100" w:afterAutospacing="1"/>
              <w:rPr>
                <w:rFonts w:cs="Arial"/>
                <w:sz w:val="20"/>
                <w:szCs w:val="20"/>
              </w:rPr>
            </w:pPr>
          </w:p>
        </w:tc>
        <w:tc>
          <w:tcPr>
            <w:tcW w:w="2629" w:type="dxa"/>
          </w:tcPr>
          <w:p w14:paraId="37EC25C6" w14:textId="77777777" w:rsidR="0037398A" w:rsidRPr="007528E0" w:rsidRDefault="0037398A" w:rsidP="007528E0">
            <w:pPr>
              <w:autoSpaceDE w:val="0"/>
              <w:autoSpaceDN w:val="0"/>
              <w:adjustRightInd w:val="0"/>
              <w:spacing w:before="100" w:beforeAutospacing="1" w:after="100" w:afterAutospacing="1"/>
              <w:rPr>
                <w:rFonts w:cs="Arial"/>
                <w:sz w:val="20"/>
                <w:szCs w:val="20"/>
              </w:rPr>
            </w:pPr>
            <w:r w:rsidRPr="007528E0">
              <w:rPr>
                <w:rFonts w:cs="Arial"/>
                <w:sz w:val="20"/>
                <w:szCs w:val="20"/>
              </w:rPr>
              <w:t>Vinagre</w:t>
            </w:r>
          </w:p>
        </w:tc>
        <w:tc>
          <w:tcPr>
            <w:tcW w:w="1559" w:type="dxa"/>
          </w:tcPr>
          <w:p w14:paraId="7971FD0F" w14:textId="77777777" w:rsidR="0037398A" w:rsidRPr="007528E0" w:rsidRDefault="0037398A" w:rsidP="007528E0">
            <w:pPr>
              <w:autoSpaceDE w:val="0"/>
              <w:autoSpaceDN w:val="0"/>
              <w:adjustRightInd w:val="0"/>
              <w:spacing w:before="100" w:beforeAutospacing="1" w:after="100" w:afterAutospacing="1"/>
              <w:rPr>
                <w:rFonts w:cs="Arial"/>
                <w:sz w:val="20"/>
                <w:szCs w:val="20"/>
              </w:rPr>
            </w:pPr>
            <w:r w:rsidRPr="007528E0">
              <w:rPr>
                <w:rFonts w:cs="Arial"/>
                <w:sz w:val="20"/>
                <w:szCs w:val="20"/>
              </w:rPr>
              <w:t>Ácido acético</w:t>
            </w:r>
          </w:p>
        </w:tc>
        <w:tc>
          <w:tcPr>
            <w:tcW w:w="1985" w:type="dxa"/>
          </w:tcPr>
          <w:p w14:paraId="25062A60" w14:textId="77777777" w:rsidR="0037398A" w:rsidRPr="007528E0" w:rsidRDefault="0037398A" w:rsidP="007528E0">
            <w:pPr>
              <w:autoSpaceDE w:val="0"/>
              <w:autoSpaceDN w:val="0"/>
              <w:adjustRightInd w:val="0"/>
              <w:spacing w:before="100" w:beforeAutospacing="1" w:after="100" w:afterAutospacing="1"/>
              <w:rPr>
                <w:rFonts w:cs="Arial"/>
                <w:sz w:val="20"/>
                <w:szCs w:val="20"/>
              </w:rPr>
            </w:pPr>
            <w:r w:rsidRPr="007528E0">
              <w:rPr>
                <w:rFonts w:cs="Arial"/>
                <w:sz w:val="20"/>
                <w:szCs w:val="20"/>
              </w:rPr>
              <w:t>Alimentos y limpieza</w:t>
            </w:r>
          </w:p>
        </w:tc>
        <w:tc>
          <w:tcPr>
            <w:tcW w:w="1715" w:type="dxa"/>
          </w:tcPr>
          <w:p w14:paraId="78947D83" w14:textId="77777777" w:rsidR="0037398A" w:rsidRPr="007528E0" w:rsidRDefault="0037398A" w:rsidP="007528E0">
            <w:pPr>
              <w:autoSpaceDE w:val="0"/>
              <w:autoSpaceDN w:val="0"/>
              <w:adjustRightInd w:val="0"/>
              <w:spacing w:before="100" w:beforeAutospacing="1" w:after="100" w:afterAutospacing="1"/>
              <w:rPr>
                <w:rFonts w:cs="Arial"/>
                <w:sz w:val="20"/>
                <w:szCs w:val="20"/>
              </w:rPr>
            </w:pPr>
            <w:r w:rsidRPr="007528E0">
              <w:rPr>
                <w:rFonts w:cs="Arial"/>
                <w:sz w:val="20"/>
                <w:szCs w:val="20"/>
              </w:rPr>
              <w:t>Corrosivos</w:t>
            </w:r>
          </w:p>
        </w:tc>
      </w:tr>
      <w:tr w:rsidR="007528E0" w:rsidRPr="007528E0" w14:paraId="222B99D5" w14:textId="77777777" w:rsidTr="007528E0">
        <w:trPr>
          <w:trHeight w:val="300"/>
        </w:trPr>
        <w:tc>
          <w:tcPr>
            <w:tcW w:w="1512" w:type="dxa"/>
            <w:vMerge/>
          </w:tcPr>
          <w:p w14:paraId="5D1B8775" w14:textId="77777777" w:rsidR="0037398A" w:rsidRPr="007528E0" w:rsidRDefault="0037398A" w:rsidP="007528E0">
            <w:pPr>
              <w:autoSpaceDE w:val="0"/>
              <w:autoSpaceDN w:val="0"/>
              <w:adjustRightInd w:val="0"/>
              <w:spacing w:before="100" w:beforeAutospacing="1" w:after="100" w:afterAutospacing="1"/>
              <w:rPr>
                <w:rFonts w:cs="Arial"/>
                <w:sz w:val="20"/>
                <w:szCs w:val="20"/>
              </w:rPr>
            </w:pPr>
          </w:p>
        </w:tc>
        <w:tc>
          <w:tcPr>
            <w:tcW w:w="2629" w:type="dxa"/>
          </w:tcPr>
          <w:p w14:paraId="042869C0" w14:textId="77777777" w:rsidR="0037398A" w:rsidRPr="007528E0" w:rsidRDefault="0037398A" w:rsidP="007528E0">
            <w:pPr>
              <w:autoSpaceDE w:val="0"/>
              <w:autoSpaceDN w:val="0"/>
              <w:adjustRightInd w:val="0"/>
              <w:spacing w:before="100" w:beforeAutospacing="1" w:after="100" w:afterAutospacing="1"/>
              <w:rPr>
                <w:rFonts w:cs="Arial"/>
                <w:sz w:val="20"/>
                <w:szCs w:val="20"/>
              </w:rPr>
            </w:pPr>
            <w:r w:rsidRPr="007528E0">
              <w:rPr>
                <w:rFonts w:cs="Arial"/>
                <w:sz w:val="20"/>
                <w:szCs w:val="20"/>
              </w:rPr>
              <w:t>Ácido bórico</w:t>
            </w:r>
          </w:p>
        </w:tc>
        <w:tc>
          <w:tcPr>
            <w:tcW w:w="1559" w:type="dxa"/>
          </w:tcPr>
          <w:p w14:paraId="1D6DA0DA" w14:textId="77777777" w:rsidR="0037398A" w:rsidRPr="007528E0" w:rsidRDefault="0037398A" w:rsidP="007528E0">
            <w:pPr>
              <w:autoSpaceDE w:val="0"/>
              <w:autoSpaceDN w:val="0"/>
              <w:adjustRightInd w:val="0"/>
              <w:spacing w:before="100" w:beforeAutospacing="1" w:after="100" w:afterAutospacing="1"/>
              <w:rPr>
                <w:rFonts w:cs="Arial"/>
                <w:sz w:val="20"/>
                <w:szCs w:val="20"/>
              </w:rPr>
            </w:pPr>
            <w:r w:rsidRPr="007528E0">
              <w:rPr>
                <w:rFonts w:cs="Arial"/>
                <w:sz w:val="20"/>
                <w:szCs w:val="20"/>
              </w:rPr>
              <w:t>Ácido bórico</w:t>
            </w:r>
          </w:p>
        </w:tc>
        <w:tc>
          <w:tcPr>
            <w:tcW w:w="1985" w:type="dxa"/>
          </w:tcPr>
          <w:p w14:paraId="11C08438" w14:textId="77777777" w:rsidR="0037398A" w:rsidRPr="007528E0" w:rsidRDefault="0037398A" w:rsidP="007528E0">
            <w:pPr>
              <w:autoSpaceDE w:val="0"/>
              <w:autoSpaceDN w:val="0"/>
              <w:adjustRightInd w:val="0"/>
              <w:spacing w:before="100" w:beforeAutospacing="1" w:after="100" w:afterAutospacing="1"/>
              <w:rPr>
                <w:rFonts w:cs="Arial"/>
                <w:sz w:val="20"/>
                <w:szCs w:val="20"/>
              </w:rPr>
            </w:pPr>
            <w:r w:rsidRPr="007528E0">
              <w:rPr>
                <w:rFonts w:cs="Arial"/>
                <w:sz w:val="20"/>
                <w:szCs w:val="20"/>
              </w:rPr>
              <w:t>Antiséptico y astringente, fabricación fibra de vidrio</w:t>
            </w:r>
          </w:p>
        </w:tc>
        <w:tc>
          <w:tcPr>
            <w:tcW w:w="1715" w:type="dxa"/>
          </w:tcPr>
          <w:p w14:paraId="219D1497" w14:textId="77777777" w:rsidR="0037398A" w:rsidRPr="007528E0" w:rsidRDefault="0037398A" w:rsidP="007528E0">
            <w:pPr>
              <w:autoSpaceDE w:val="0"/>
              <w:autoSpaceDN w:val="0"/>
              <w:adjustRightInd w:val="0"/>
              <w:spacing w:before="100" w:beforeAutospacing="1" w:after="100" w:afterAutospacing="1"/>
              <w:rPr>
                <w:rFonts w:cs="Arial"/>
                <w:sz w:val="20"/>
                <w:szCs w:val="20"/>
              </w:rPr>
            </w:pPr>
            <w:r w:rsidRPr="007528E0">
              <w:rPr>
                <w:rFonts w:cs="Arial"/>
                <w:sz w:val="20"/>
                <w:szCs w:val="20"/>
              </w:rPr>
              <w:t>Corrosivos</w:t>
            </w:r>
          </w:p>
        </w:tc>
      </w:tr>
      <w:tr w:rsidR="007528E0" w:rsidRPr="007528E0" w14:paraId="6EEE4BD6" w14:textId="77777777" w:rsidTr="007528E0">
        <w:trPr>
          <w:trHeight w:val="300"/>
        </w:trPr>
        <w:tc>
          <w:tcPr>
            <w:tcW w:w="1512" w:type="dxa"/>
            <w:vMerge/>
          </w:tcPr>
          <w:p w14:paraId="7DB943F6" w14:textId="77777777" w:rsidR="0037398A" w:rsidRPr="007528E0" w:rsidRDefault="0037398A" w:rsidP="007528E0">
            <w:pPr>
              <w:autoSpaceDE w:val="0"/>
              <w:autoSpaceDN w:val="0"/>
              <w:adjustRightInd w:val="0"/>
              <w:spacing w:before="100" w:beforeAutospacing="1" w:after="100" w:afterAutospacing="1"/>
              <w:rPr>
                <w:rFonts w:cs="Arial"/>
                <w:sz w:val="20"/>
                <w:szCs w:val="20"/>
              </w:rPr>
            </w:pPr>
          </w:p>
        </w:tc>
        <w:tc>
          <w:tcPr>
            <w:tcW w:w="2629" w:type="dxa"/>
          </w:tcPr>
          <w:p w14:paraId="47712E6D" w14:textId="77777777" w:rsidR="0037398A" w:rsidRPr="007528E0" w:rsidRDefault="0037398A" w:rsidP="007528E0">
            <w:pPr>
              <w:autoSpaceDE w:val="0"/>
              <w:autoSpaceDN w:val="0"/>
              <w:adjustRightInd w:val="0"/>
              <w:spacing w:before="100" w:beforeAutospacing="1" w:after="100" w:afterAutospacing="1"/>
              <w:rPr>
                <w:rFonts w:cs="Arial"/>
                <w:sz w:val="20"/>
                <w:szCs w:val="20"/>
              </w:rPr>
            </w:pPr>
            <w:r w:rsidRPr="007528E0">
              <w:rPr>
                <w:rFonts w:cs="Arial"/>
                <w:sz w:val="20"/>
                <w:szCs w:val="20"/>
              </w:rPr>
              <w:t>Ácido sulfúrico</w:t>
            </w:r>
          </w:p>
        </w:tc>
        <w:tc>
          <w:tcPr>
            <w:tcW w:w="1559" w:type="dxa"/>
          </w:tcPr>
          <w:p w14:paraId="5C0EE164" w14:textId="77777777" w:rsidR="0037398A" w:rsidRPr="007528E0" w:rsidRDefault="0037398A" w:rsidP="007528E0">
            <w:pPr>
              <w:autoSpaceDE w:val="0"/>
              <w:autoSpaceDN w:val="0"/>
              <w:adjustRightInd w:val="0"/>
              <w:spacing w:before="100" w:beforeAutospacing="1" w:after="100" w:afterAutospacing="1"/>
              <w:rPr>
                <w:rFonts w:cs="Arial"/>
                <w:sz w:val="20"/>
                <w:szCs w:val="20"/>
              </w:rPr>
            </w:pPr>
            <w:r w:rsidRPr="007528E0">
              <w:rPr>
                <w:rFonts w:cs="Arial"/>
                <w:sz w:val="20"/>
                <w:szCs w:val="20"/>
              </w:rPr>
              <w:t>Ácido sulfúrico</w:t>
            </w:r>
          </w:p>
        </w:tc>
        <w:tc>
          <w:tcPr>
            <w:tcW w:w="1985" w:type="dxa"/>
          </w:tcPr>
          <w:p w14:paraId="41E99258" w14:textId="77777777" w:rsidR="0037398A" w:rsidRPr="007528E0" w:rsidRDefault="0037398A" w:rsidP="007528E0">
            <w:pPr>
              <w:autoSpaceDE w:val="0"/>
              <w:autoSpaceDN w:val="0"/>
              <w:adjustRightInd w:val="0"/>
              <w:spacing w:before="100" w:beforeAutospacing="1" w:after="100" w:afterAutospacing="1"/>
              <w:rPr>
                <w:rFonts w:cs="Arial"/>
                <w:sz w:val="20"/>
                <w:szCs w:val="20"/>
              </w:rPr>
            </w:pPr>
            <w:r w:rsidRPr="007528E0">
              <w:rPr>
                <w:rFonts w:cs="Arial"/>
                <w:sz w:val="20"/>
                <w:szCs w:val="20"/>
              </w:rPr>
              <w:t>Líquido de baterías</w:t>
            </w:r>
          </w:p>
        </w:tc>
        <w:tc>
          <w:tcPr>
            <w:tcW w:w="1715" w:type="dxa"/>
          </w:tcPr>
          <w:p w14:paraId="38A00BB7" w14:textId="77777777" w:rsidR="0037398A" w:rsidRPr="007528E0" w:rsidRDefault="0037398A" w:rsidP="007528E0">
            <w:pPr>
              <w:autoSpaceDE w:val="0"/>
              <w:autoSpaceDN w:val="0"/>
              <w:adjustRightInd w:val="0"/>
              <w:spacing w:before="100" w:beforeAutospacing="1" w:after="100" w:afterAutospacing="1"/>
              <w:rPr>
                <w:rFonts w:cs="Arial"/>
                <w:sz w:val="20"/>
                <w:szCs w:val="20"/>
              </w:rPr>
            </w:pPr>
            <w:r w:rsidRPr="007528E0">
              <w:rPr>
                <w:rFonts w:cs="Arial"/>
                <w:sz w:val="20"/>
                <w:szCs w:val="20"/>
              </w:rPr>
              <w:t>Corrosivos</w:t>
            </w:r>
          </w:p>
        </w:tc>
      </w:tr>
      <w:tr w:rsidR="007528E0" w:rsidRPr="007528E0" w14:paraId="4FB2920F" w14:textId="77777777" w:rsidTr="007528E0">
        <w:trPr>
          <w:trHeight w:val="121"/>
        </w:trPr>
        <w:tc>
          <w:tcPr>
            <w:tcW w:w="1512" w:type="dxa"/>
            <w:vMerge/>
          </w:tcPr>
          <w:p w14:paraId="46E04136" w14:textId="77777777" w:rsidR="0037398A" w:rsidRPr="007528E0" w:rsidRDefault="0037398A" w:rsidP="007528E0">
            <w:pPr>
              <w:autoSpaceDE w:val="0"/>
              <w:autoSpaceDN w:val="0"/>
              <w:adjustRightInd w:val="0"/>
              <w:spacing w:before="100" w:beforeAutospacing="1" w:after="100" w:afterAutospacing="1"/>
              <w:rPr>
                <w:rFonts w:cs="Arial"/>
                <w:sz w:val="20"/>
                <w:szCs w:val="20"/>
              </w:rPr>
            </w:pPr>
          </w:p>
        </w:tc>
        <w:tc>
          <w:tcPr>
            <w:tcW w:w="2629" w:type="dxa"/>
          </w:tcPr>
          <w:p w14:paraId="243280D2" w14:textId="77777777" w:rsidR="0037398A" w:rsidRPr="007528E0" w:rsidRDefault="0037398A" w:rsidP="007528E0">
            <w:pPr>
              <w:autoSpaceDE w:val="0"/>
              <w:autoSpaceDN w:val="0"/>
              <w:adjustRightInd w:val="0"/>
              <w:spacing w:before="100" w:beforeAutospacing="1" w:after="100" w:afterAutospacing="1"/>
              <w:rPr>
                <w:rFonts w:cs="Arial"/>
                <w:sz w:val="20"/>
                <w:szCs w:val="20"/>
              </w:rPr>
            </w:pPr>
            <w:r w:rsidRPr="007528E0">
              <w:rPr>
                <w:rFonts w:cs="Arial"/>
                <w:sz w:val="20"/>
                <w:szCs w:val="20"/>
              </w:rPr>
              <w:t xml:space="preserve">Ácido oxálico  </w:t>
            </w:r>
          </w:p>
        </w:tc>
        <w:tc>
          <w:tcPr>
            <w:tcW w:w="1559" w:type="dxa"/>
          </w:tcPr>
          <w:p w14:paraId="4084C7B7" w14:textId="77777777" w:rsidR="0037398A" w:rsidRPr="007528E0" w:rsidRDefault="0037398A" w:rsidP="007528E0">
            <w:pPr>
              <w:autoSpaceDE w:val="0"/>
              <w:autoSpaceDN w:val="0"/>
              <w:adjustRightInd w:val="0"/>
              <w:spacing w:before="100" w:beforeAutospacing="1" w:after="100" w:afterAutospacing="1"/>
              <w:rPr>
                <w:rFonts w:cs="Arial"/>
                <w:sz w:val="20"/>
                <w:szCs w:val="20"/>
              </w:rPr>
            </w:pPr>
            <w:r w:rsidRPr="007528E0">
              <w:rPr>
                <w:rFonts w:cs="Arial"/>
                <w:sz w:val="20"/>
                <w:szCs w:val="20"/>
              </w:rPr>
              <w:t xml:space="preserve">Ácido oxálico  </w:t>
            </w:r>
          </w:p>
        </w:tc>
        <w:tc>
          <w:tcPr>
            <w:tcW w:w="1985" w:type="dxa"/>
          </w:tcPr>
          <w:p w14:paraId="40EE7FA3" w14:textId="77777777" w:rsidR="0037398A" w:rsidRPr="007528E0" w:rsidRDefault="0037398A" w:rsidP="007528E0">
            <w:pPr>
              <w:autoSpaceDE w:val="0"/>
              <w:autoSpaceDN w:val="0"/>
              <w:adjustRightInd w:val="0"/>
              <w:spacing w:before="100" w:beforeAutospacing="1" w:after="100" w:afterAutospacing="1"/>
              <w:rPr>
                <w:rFonts w:cs="Arial"/>
                <w:sz w:val="20"/>
                <w:szCs w:val="20"/>
              </w:rPr>
            </w:pPr>
            <w:r w:rsidRPr="007528E0">
              <w:rPr>
                <w:rFonts w:cs="Arial"/>
                <w:sz w:val="20"/>
                <w:szCs w:val="20"/>
              </w:rPr>
              <w:t>Limpiador de metales y madera</w:t>
            </w:r>
          </w:p>
        </w:tc>
        <w:tc>
          <w:tcPr>
            <w:tcW w:w="1715" w:type="dxa"/>
          </w:tcPr>
          <w:p w14:paraId="18A366FC" w14:textId="77777777" w:rsidR="0037398A" w:rsidRPr="007528E0" w:rsidRDefault="0037398A" w:rsidP="007528E0">
            <w:pPr>
              <w:autoSpaceDE w:val="0"/>
              <w:autoSpaceDN w:val="0"/>
              <w:adjustRightInd w:val="0"/>
              <w:spacing w:before="100" w:beforeAutospacing="1" w:after="100" w:afterAutospacing="1"/>
              <w:rPr>
                <w:rFonts w:cs="Arial"/>
                <w:sz w:val="20"/>
                <w:szCs w:val="20"/>
              </w:rPr>
            </w:pPr>
            <w:r w:rsidRPr="007528E0">
              <w:rPr>
                <w:rFonts w:cs="Arial"/>
                <w:sz w:val="20"/>
                <w:szCs w:val="20"/>
              </w:rPr>
              <w:t>Corrosivos</w:t>
            </w:r>
          </w:p>
        </w:tc>
      </w:tr>
      <w:tr w:rsidR="007528E0" w:rsidRPr="007528E0" w14:paraId="26B4A7A7" w14:textId="77777777" w:rsidTr="007528E0">
        <w:trPr>
          <w:trHeight w:val="121"/>
        </w:trPr>
        <w:tc>
          <w:tcPr>
            <w:tcW w:w="1512" w:type="dxa"/>
            <w:vMerge w:val="restart"/>
          </w:tcPr>
          <w:p w14:paraId="109A325A" w14:textId="77777777" w:rsidR="0037398A" w:rsidRPr="007528E0" w:rsidRDefault="0037398A" w:rsidP="007528E0">
            <w:pPr>
              <w:autoSpaceDE w:val="0"/>
              <w:autoSpaceDN w:val="0"/>
              <w:adjustRightInd w:val="0"/>
              <w:spacing w:before="100" w:beforeAutospacing="1" w:after="100" w:afterAutospacing="1"/>
              <w:rPr>
                <w:rFonts w:cs="Arial"/>
                <w:sz w:val="20"/>
                <w:szCs w:val="20"/>
              </w:rPr>
            </w:pPr>
          </w:p>
          <w:p w14:paraId="068A6590" w14:textId="77777777" w:rsidR="0037398A" w:rsidRPr="007528E0" w:rsidRDefault="0037398A" w:rsidP="007528E0">
            <w:pPr>
              <w:autoSpaceDE w:val="0"/>
              <w:autoSpaceDN w:val="0"/>
              <w:adjustRightInd w:val="0"/>
              <w:spacing w:before="100" w:beforeAutospacing="1" w:after="100" w:afterAutospacing="1"/>
              <w:rPr>
                <w:rFonts w:cs="Arial"/>
                <w:sz w:val="20"/>
                <w:szCs w:val="20"/>
              </w:rPr>
            </w:pPr>
          </w:p>
          <w:p w14:paraId="06670801" w14:textId="77777777" w:rsidR="0037398A" w:rsidRPr="007528E0" w:rsidRDefault="0037398A" w:rsidP="007528E0">
            <w:pPr>
              <w:autoSpaceDE w:val="0"/>
              <w:autoSpaceDN w:val="0"/>
              <w:adjustRightInd w:val="0"/>
              <w:spacing w:before="100" w:beforeAutospacing="1" w:after="100" w:afterAutospacing="1"/>
              <w:rPr>
                <w:rFonts w:cs="Arial"/>
                <w:sz w:val="20"/>
                <w:szCs w:val="20"/>
              </w:rPr>
            </w:pPr>
          </w:p>
          <w:p w14:paraId="39AAB4CD" w14:textId="77777777" w:rsidR="0037398A" w:rsidRPr="007528E0" w:rsidRDefault="0037398A" w:rsidP="007528E0">
            <w:pPr>
              <w:autoSpaceDE w:val="0"/>
              <w:autoSpaceDN w:val="0"/>
              <w:adjustRightInd w:val="0"/>
              <w:spacing w:before="100" w:beforeAutospacing="1" w:after="100" w:afterAutospacing="1"/>
              <w:rPr>
                <w:rFonts w:cs="Arial"/>
                <w:sz w:val="20"/>
                <w:szCs w:val="20"/>
              </w:rPr>
            </w:pPr>
          </w:p>
          <w:p w14:paraId="64E6FD47" w14:textId="77777777" w:rsidR="0037398A" w:rsidRPr="007528E0" w:rsidRDefault="0037398A" w:rsidP="007528E0">
            <w:pPr>
              <w:autoSpaceDE w:val="0"/>
              <w:autoSpaceDN w:val="0"/>
              <w:adjustRightInd w:val="0"/>
              <w:spacing w:before="100" w:beforeAutospacing="1" w:after="100" w:afterAutospacing="1"/>
              <w:rPr>
                <w:rFonts w:cs="Arial"/>
                <w:sz w:val="20"/>
                <w:szCs w:val="20"/>
              </w:rPr>
            </w:pPr>
          </w:p>
          <w:p w14:paraId="0C8F80B6" w14:textId="77777777" w:rsidR="0037398A" w:rsidRPr="007528E0" w:rsidRDefault="0037398A" w:rsidP="007528E0">
            <w:pPr>
              <w:autoSpaceDE w:val="0"/>
              <w:autoSpaceDN w:val="0"/>
              <w:adjustRightInd w:val="0"/>
              <w:spacing w:before="100" w:beforeAutospacing="1" w:after="100" w:afterAutospacing="1"/>
              <w:rPr>
                <w:rFonts w:cs="Arial"/>
                <w:sz w:val="20"/>
                <w:szCs w:val="20"/>
              </w:rPr>
            </w:pPr>
          </w:p>
          <w:p w14:paraId="78497984" w14:textId="77777777" w:rsidR="0037398A" w:rsidRPr="007528E0" w:rsidRDefault="0037398A" w:rsidP="007528E0">
            <w:pPr>
              <w:autoSpaceDE w:val="0"/>
              <w:autoSpaceDN w:val="0"/>
              <w:adjustRightInd w:val="0"/>
              <w:spacing w:before="100" w:beforeAutospacing="1" w:after="100" w:afterAutospacing="1"/>
              <w:rPr>
                <w:rFonts w:cs="Arial"/>
                <w:sz w:val="20"/>
                <w:szCs w:val="20"/>
              </w:rPr>
            </w:pPr>
          </w:p>
          <w:p w14:paraId="35C7AE05" w14:textId="77777777" w:rsidR="0037398A" w:rsidRPr="007528E0" w:rsidRDefault="0037398A" w:rsidP="007528E0">
            <w:pPr>
              <w:autoSpaceDE w:val="0"/>
              <w:autoSpaceDN w:val="0"/>
              <w:adjustRightInd w:val="0"/>
              <w:spacing w:before="100" w:beforeAutospacing="1" w:after="100" w:afterAutospacing="1"/>
              <w:rPr>
                <w:rFonts w:cs="Arial"/>
                <w:sz w:val="20"/>
                <w:szCs w:val="20"/>
              </w:rPr>
            </w:pPr>
          </w:p>
          <w:p w14:paraId="486BD367" w14:textId="77777777" w:rsidR="0037398A" w:rsidRPr="007528E0" w:rsidRDefault="0037398A" w:rsidP="007528E0">
            <w:pPr>
              <w:autoSpaceDE w:val="0"/>
              <w:autoSpaceDN w:val="0"/>
              <w:adjustRightInd w:val="0"/>
              <w:spacing w:before="100" w:beforeAutospacing="1" w:after="100" w:afterAutospacing="1"/>
              <w:rPr>
                <w:rFonts w:cs="Arial"/>
                <w:sz w:val="20"/>
                <w:szCs w:val="20"/>
              </w:rPr>
            </w:pPr>
            <w:r w:rsidRPr="007528E0">
              <w:rPr>
                <w:rFonts w:cs="Arial"/>
                <w:sz w:val="20"/>
                <w:szCs w:val="20"/>
              </w:rPr>
              <w:t>Álcalis (bases)</w:t>
            </w:r>
          </w:p>
          <w:p w14:paraId="6B99EB3C" w14:textId="77777777" w:rsidR="0037398A" w:rsidRPr="007528E0" w:rsidRDefault="0037398A" w:rsidP="007528E0">
            <w:pPr>
              <w:autoSpaceDE w:val="0"/>
              <w:autoSpaceDN w:val="0"/>
              <w:adjustRightInd w:val="0"/>
              <w:spacing w:before="100" w:beforeAutospacing="1" w:after="100" w:afterAutospacing="1"/>
              <w:rPr>
                <w:rFonts w:cs="Arial"/>
                <w:sz w:val="20"/>
                <w:szCs w:val="20"/>
              </w:rPr>
            </w:pPr>
          </w:p>
        </w:tc>
        <w:tc>
          <w:tcPr>
            <w:tcW w:w="2629" w:type="dxa"/>
          </w:tcPr>
          <w:p w14:paraId="0AE24E51" w14:textId="77777777" w:rsidR="0037398A" w:rsidRPr="007528E0" w:rsidRDefault="0037398A" w:rsidP="007528E0">
            <w:pPr>
              <w:autoSpaceDE w:val="0"/>
              <w:autoSpaceDN w:val="0"/>
              <w:adjustRightInd w:val="0"/>
              <w:spacing w:before="100" w:beforeAutospacing="1" w:after="100" w:afterAutospacing="1"/>
              <w:rPr>
                <w:rFonts w:cs="Arial"/>
                <w:sz w:val="20"/>
                <w:szCs w:val="20"/>
              </w:rPr>
            </w:pPr>
            <w:r w:rsidRPr="007528E0">
              <w:rPr>
                <w:rFonts w:cs="Arial"/>
                <w:sz w:val="20"/>
                <w:szCs w:val="20"/>
              </w:rPr>
              <w:lastRenderedPageBreak/>
              <w:t xml:space="preserve">Hipoclorito de sodio </w:t>
            </w:r>
          </w:p>
        </w:tc>
        <w:tc>
          <w:tcPr>
            <w:tcW w:w="1559" w:type="dxa"/>
          </w:tcPr>
          <w:p w14:paraId="26E33419" w14:textId="77777777" w:rsidR="0037398A" w:rsidRPr="007528E0" w:rsidRDefault="0037398A" w:rsidP="007528E0">
            <w:pPr>
              <w:autoSpaceDE w:val="0"/>
              <w:autoSpaceDN w:val="0"/>
              <w:adjustRightInd w:val="0"/>
              <w:spacing w:before="100" w:beforeAutospacing="1" w:after="100" w:afterAutospacing="1"/>
              <w:rPr>
                <w:rFonts w:cs="Arial"/>
                <w:sz w:val="20"/>
                <w:szCs w:val="20"/>
              </w:rPr>
            </w:pPr>
            <w:r w:rsidRPr="007528E0">
              <w:rPr>
                <w:rFonts w:cs="Arial"/>
                <w:sz w:val="20"/>
                <w:szCs w:val="20"/>
              </w:rPr>
              <w:t xml:space="preserve">Hipoclorito de sodio </w:t>
            </w:r>
          </w:p>
        </w:tc>
        <w:tc>
          <w:tcPr>
            <w:tcW w:w="1985" w:type="dxa"/>
          </w:tcPr>
          <w:p w14:paraId="75525F2C" w14:textId="77777777" w:rsidR="0037398A" w:rsidRPr="007528E0" w:rsidRDefault="0037398A" w:rsidP="007528E0">
            <w:pPr>
              <w:autoSpaceDE w:val="0"/>
              <w:autoSpaceDN w:val="0"/>
              <w:adjustRightInd w:val="0"/>
              <w:spacing w:before="100" w:beforeAutospacing="1" w:after="100" w:afterAutospacing="1"/>
              <w:rPr>
                <w:rFonts w:cs="Arial"/>
                <w:sz w:val="20"/>
                <w:szCs w:val="20"/>
              </w:rPr>
            </w:pPr>
            <w:r w:rsidRPr="007528E0">
              <w:rPr>
                <w:rFonts w:cs="Arial"/>
                <w:sz w:val="20"/>
                <w:szCs w:val="20"/>
              </w:rPr>
              <w:t>Blanqueadores de ropa, desinfectantes</w:t>
            </w:r>
          </w:p>
        </w:tc>
        <w:tc>
          <w:tcPr>
            <w:tcW w:w="1715" w:type="dxa"/>
          </w:tcPr>
          <w:p w14:paraId="741A0EBF" w14:textId="77777777" w:rsidR="0037398A" w:rsidRPr="007528E0" w:rsidRDefault="0037398A" w:rsidP="007528E0">
            <w:pPr>
              <w:autoSpaceDE w:val="0"/>
              <w:autoSpaceDN w:val="0"/>
              <w:adjustRightInd w:val="0"/>
              <w:spacing w:before="100" w:beforeAutospacing="1" w:after="100" w:afterAutospacing="1"/>
              <w:rPr>
                <w:rFonts w:cs="Arial"/>
                <w:sz w:val="20"/>
                <w:szCs w:val="20"/>
              </w:rPr>
            </w:pPr>
            <w:r w:rsidRPr="007528E0">
              <w:rPr>
                <w:rFonts w:cs="Arial"/>
                <w:sz w:val="20"/>
                <w:szCs w:val="20"/>
              </w:rPr>
              <w:t>Corrosivos</w:t>
            </w:r>
          </w:p>
        </w:tc>
      </w:tr>
      <w:tr w:rsidR="007528E0" w:rsidRPr="007528E0" w14:paraId="3C0F840F" w14:textId="77777777" w:rsidTr="007528E0">
        <w:trPr>
          <w:trHeight w:val="335"/>
        </w:trPr>
        <w:tc>
          <w:tcPr>
            <w:tcW w:w="1512" w:type="dxa"/>
            <w:vMerge/>
          </w:tcPr>
          <w:p w14:paraId="7B908BA7" w14:textId="77777777" w:rsidR="0037398A" w:rsidRPr="007528E0" w:rsidRDefault="0037398A" w:rsidP="007528E0">
            <w:pPr>
              <w:autoSpaceDE w:val="0"/>
              <w:autoSpaceDN w:val="0"/>
              <w:adjustRightInd w:val="0"/>
              <w:spacing w:before="100" w:beforeAutospacing="1" w:after="100" w:afterAutospacing="1"/>
              <w:rPr>
                <w:rFonts w:cs="Arial"/>
                <w:sz w:val="20"/>
                <w:szCs w:val="20"/>
              </w:rPr>
            </w:pPr>
          </w:p>
        </w:tc>
        <w:tc>
          <w:tcPr>
            <w:tcW w:w="2629" w:type="dxa"/>
          </w:tcPr>
          <w:p w14:paraId="734A8BA3" w14:textId="77777777" w:rsidR="0037398A" w:rsidRPr="007528E0" w:rsidRDefault="0037398A" w:rsidP="007528E0">
            <w:pPr>
              <w:autoSpaceDE w:val="0"/>
              <w:autoSpaceDN w:val="0"/>
              <w:adjustRightInd w:val="0"/>
              <w:spacing w:before="100" w:beforeAutospacing="1" w:after="100" w:afterAutospacing="1"/>
              <w:rPr>
                <w:rFonts w:cs="Arial"/>
                <w:sz w:val="20"/>
                <w:szCs w:val="20"/>
              </w:rPr>
            </w:pPr>
            <w:r w:rsidRPr="007528E0">
              <w:rPr>
                <w:rFonts w:cs="Arial"/>
                <w:sz w:val="20"/>
                <w:szCs w:val="20"/>
              </w:rPr>
              <w:t>Diablo rojo, lejía</w:t>
            </w:r>
          </w:p>
        </w:tc>
        <w:tc>
          <w:tcPr>
            <w:tcW w:w="1559" w:type="dxa"/>
          </w:tcPr>
          <w:p w14:paraId="0DDBE3BB" w14:textId="77777777" w:rsidR="0037398A" w:rsidRPr="007528E0" w:rsidRDefault="0037398A" w:rsidP="007528E0">
            <w:pPr>
              <w:autoSpaceDE w:val="0"/>
              <w:autoSpaceDN w:val="0"/>
              <w:adjustRightInd w:val="0"/>
              <w:spacing w:before="100" w:beforeAutospacing="1" w:after="100" w:afterAutospacing="1"/>
              <w:rPr>
                <w:rFonts w:cs="Arial"/>
                <w:sz w:val="20"/>
                <w:szCs w:val="20"/>
              </w:rPr>
            </w:pPr>
            <w:r w:rsidRPr="007528E0">
              <w:rPr>
                <w:rFonts w:cs="Arial"/>
                <w:sz w:val="20"/>
                <w:szCs w:val="20"/>
              </w:rPr>
              <w:t xml:space="preserve">El hidróxido de sodio, soda cáustica o lejía </w:t>
            </w:r>
          </w:p>
        </w:tc>
        <w:tc>
          <w:tcPr>
            <w:tcW w:w="1985" w:type="dxa"/>
          </w:tcPr>
          <w:p w14:paraId="47BC259F" w14:textId="77777777" w:rsidR="0037398A" w:rsidRPr="007528E0" w:rsidRDefault="0037398A" w:rsidP="007528E0">
            <w:pPr>
              <w:autoSpaceDE w:val="0"/>
              <w:autoSpaceDN w:val="0"/>
              <w:adjustRightInd w:val="0"/>
              <w:spacing w:before="100" w:beforeAutospacing="1" w:after="100" w:afterAutospacing="1"/>
              <w:rPr>
                <w:rFonts w:cs="Arial"/>
                <w:sz w:val="20"/>
                <w:szCs w:val="20"/>
              </w:rPr>
            </w:pPr>
            <w:r w:rsidRPr="007528E0">
              <w:rPr>
                <w:rFonts w:cs="Arial"/>
                <w:sz w:val="20"/>
                <w:szCs w:val="20"/>
              </w:rPr>
              <w:t>Limpiador de hornos, destapa cañerías,  removedor de pinturas</w:t>
            </w:r>
          </w:p>
        </w:tc>
        <w:tc>
          <w:tcPr>
            <w:tcW w:w="1715" w:type="dxa"/>
          </w:tcPr>
          <w:p w14:paraId="17FC1071" w14:textId="77777777" w:rsidR="0037398A" w:rsidRPr="007528E0" w:rsidRDefault="0037398A" w:rsidP="007528E0">
            <w:pPr>
              <w:autoSpaceDE w:val="0"/>
              <w:autoSpaceDN w:val="0"/>
              <w:adjustRightInd w:val="0"/>
              <w:spacing w:before="100" w:beforeAutospacing="1" w:after="100" w:afterAutospacing="1"/>
              <w:rPr>
                <w:rFonts w:cs="Arial"/>
                <w:sz w:val="20"/>
                <w:szCs w:val="20"/>
              </w:rPr>
            </w:pPr>
            <w:r w:rsidRPr="007528E0">
              <w:rPr>
                <w:rFonts w:cs="Arial"/>
                <w:sz w:val="20"/>
                <w:szCs w:val="20"/>
              </w:rPr>
              <w:t>Corrosivos</w:t>
            </w:r>
          </w:p>
        </w:tc>
      </w:tr>
      <w:tr w:rsidR="007528E0" w:rsidRPr="007528E0" w14:paraId="2B7D8B93" w14:textId="77777777" w:rsidTr="007528E0">
        <w:trPr>
          <w:trHeight w:val="121"/>
        </w:trPr>
        <w:tc>
          <w:tcPr>
            <w:tcW w:w="1512" w:type="dxa"/>
            <w:vMerge/>
          </w:tcPr>
          <w:p w14:paraId="3A4A1874" w14:textId="77777777" w:rsidR="0037398A" w:rsidRPr="007528E0" w:rsidRDefault="0037398A" w:rsidP="007528E0">
            <w:pPr>
              <w:autoSpaceDE w:val="0"/>
              <w:autoSpaceDN w:val="0"/>
              <w:adjustRightInd w:val="0"/>
              <w:spacing w:before="100" w:beforeAutospacing="1" w:after="100" w:afterAutospacing="1"/>
              <w:rPr>
                <w:rFonts w:cs="Arial"/>
                <w:sz w:val="20"/>
                <w:szCs w:val="20"/>
              </w:rPr>
            </w:pPr>
          </w:p>
        </w:tc>
        <w:tc>
          <w:tcPr>
            <w:tcW w:w="2629" w:type="dxa"/>
          </w:tcPr>
          <w:p w14:paraId="4798EE49" w14:textId="77777777" w:rsidR="0037398A" w:rsidRPr="007528E0" w:rsidRDefault="0037398A" w:rsidP="007528E0">
            <w:pPr>
              <w:autoSpaceDE w:val="0"/>
              <w:autoSpaceDN w:val="0"/>
              <w:adjustRightInd w:val="0"/>
              <w:spacing w:before="100" w:beforeAutospacing="1" w:after="100" w:afterAutospacing="1"/>
              <w:rPr>
                <w:rFonts w:cs="Arial"/>
                <w:sz w:val="20"/>
                <w:szCs w:val="20"/>
              </w:rPr>
            </w:pPr>
            <w:r w:rsidRPr="007528E0">
              <w:rPr>
                <w:rFonts w:cs="Arial"/>
                <w:sz w:val="20"/>
                <w:szCs w:val="20"/>
              </w:rPr>
              <w:t>Amoniaco</w:t>
            </w:r>
          </w:p>
        </w:tc>
        <w:tc>
          <w:tcPr>
            <w:tcW w:w="1559" w:type="dxa"/>
          </w:tcPr>
          <w:p w14:paraId="50FA3FAF" w14:textId="77777777" w:rsidR="0037398A" w:rsidRPr="007528E0" w:rsidRDefault="0037398A" w:rsidP="007528E0">
            <w:pPr>
              <w:autoSpaceDE w:val="0"/>
              <w:autoSpaceDN w:val="0"/>
              <w:adjustRightInd w:val="0"/>
              <w:spacing w:before="100" w:beforeAutospacing="1" w:after="100" w:afterAutospacing="1"/>
              <w:rPr>
                <w:rFonts w:cs="Arial"/>
                <w:sz w:val="20"/>
                <w:szCs w:val="20"/>
              </w:rPr>
            </w:pPr>
            <w:r w:rsidRPr="007528E0">
              <w:rPr>
                <w:rFonts w:cs="Arial"/>
                <w:sz w:val="20"/>
                <w:szCs w:val="20"/>
              </w:rPr>
              <w:t xml:space="preserve">Hidróxido de amonio </w:t>
            </w:r>
          </w:p>
        </w:tc>
        <w:tc>
          <w:tcPr>
            <w:tcW w:w="1985" w:type="dxa"/>
          </w:tcPr>
          <w:p w14:paraId="2B69FC42" w14:textId="77777777" w:rsidR="0037398A" w:rsidRPr="007528E0" w:rsidRDefault="0037398A" w:rsidP="007528E0">
            <w:pPr>
              <w:autoSpaceDE w:val="0"/>
              <w:autoSpaceDN w:val="0"/>
              <w:adjustRightInd w:val="0"/>
              <w:spacing w:before="100" w:beforeAutospacing="1" w:after="100" w:afterAutospacing="1"/>
              <w:rPr>
                <w:rFonts w:cs="Arial"/>
                <w:sz w:val="20"/>
                <w:szCs w:val="20"/>
              </w:rPr>
            </w:pPr>
            <w:r w:rsidRPr="007528E0">
              <w:rPr>
                <w:rFonts w:cs="Arial"/>
                <w:sz w:val="20"/>
                <w:szCs w:val="20"/>
              </w:rPr>
              <w:t>Desengrasante, quitamanchas</w:t>
            </w:r>
          </w:p>
        </w:tc>
        <w:tc>
          <w:tcPr>
            <w:tcW w:w="1715" w:type="dxa"/>
          </w:tcPr>
          <w:p w14:paraId="1BFF4818" w14:textId="77777777" w:rsidR="0037398A" w:rsidRPr="007528E0" w:rsidRDefault="0037398A" w:rsidP="007528E0">
            <w:pPr>
              <w:autoSpaceDE w:val="0"/>
              <w:autoSpaceDN w:val="0"/>
              <w:adjustRightInd w:val="0"/>
              <w:spacing w:before="100" w:beforeAutospacing="1" w:after="100" w:afterAutospacing="1"/>
              <w:rPr>
                <w:rFonts w:cs="Arial"/>
                <w:sz w:val="20"/>
                <w:szCs w:val="20"/>
              </w:rPr>
            </w:pPr>
            <w:r w:rsidRPr="007528E0">
              <w:rPr>
                <w:rFonts w:cs="Arial"/>
                <w:sz w:val="20"/>
                <w:szCs w:val="20"/>
              </w:rPr>
              <w:t>Corrosivos</w:t>
            </w:r>
          </w:p>
        </w:tc>
      </w:tr>
      <w:tr w:rsidR="007528E0" w:rsidRPr="007528E0" w14:paraId="10C03179" w14:textId="77777777" w:rsidTr="007528E0">
        <w:trPr>
          <w:trHeight w:val="242"/>
        </w:trPr>
        <w:tc>
          <w:tcPr>
            <w:tcW w:w="1512" w:type="dxa"/>
            <w:vMerge/>
          </w:tcPr>
          <w:p w14:paraId="0A604B7D" w14:textId="77777777" w:rsidR="0037398A" w:rsidRPr="007528E0" w:rsidRDefault="0037398A" w:rsidP="007528E0">
            <w:pPr>
              <w:autoSpaceDE w:val="0"/>
              <w:autoSpaceDN w:val="0"/>
              <w:adjustRightInd w:val="0"/>
              <w:spacing w:before="100" w:beforeAutospacing="1" w:after="100" w:afterAutospacing="1"/>
              <w:rPr>
                <w:rFonts w:cs="Arial"/>
                <w:sz w:val="20"/>
                <w:szCs w:val="20"/>
              </w:rPr>
            </w:pPr>
          </w:p>
        </w:tc>
        <w:tc>
          <w:tcPr>
            <w:tcW w:w="2629" w:type="dxa"/>
          </w:tcPr>
          <w:p w14:paraId="2B3CC005" w14:textId="77777777" w:rsidR="0037398A" w:rsidRPr="007528E0" w:rsidRDefault="0037398A" w:rsidP="007528E0">
            <w:pPr>
              <w:autoSpaceDE w:val="0"/>
              <w:autoSpaceDN w:val="0"/>
              <w:adjustRightInd w:val="0"/>
              <w:spacing w:before="100" w:beforeAutospacing="1" w:after="100" w:afterAutospacing="1"/>
              <w:rPr>
                <w:rFonts w:cs="Arial"/>
                <w:sz w:val="20"/>
                <w:szCs w:val="20"/>
              </w:rPr>
            </w:pPr>
            <w:r w:rsidRPr="007528E0">
              <w:rPr>
                <w:rFonts w:cs="Arial"/>
                <w:sz w:val="20"/>
                <w:szCs w:val="20"/>
              </w:rPr>
              <w:t xml:space="preserve">Hidróxido de potasio </w:t>
            </w:r>
          </w:p>
        </w:tc>
        <w:tc>
          <w:tcPr>
            <w:tcW w:w="1559" w:type="dxa"/>
          </w:tcPr>
          <w:p w14:paraId="549F4FD7" w14:textId="77777777" w:rsidR="0037398A" w:rsidRPr="007528E0" w:rsidRDefault="0037398A" w:rsidP="007528E0">
            <w:pPr>
              <w:autoSpaceDE w:val="0"/>
              <w:autoSpaceDN w:val="0"/>
              <w:adjustRightInd w:val="0"/>
              <w:spacing w:before="100" w:beforeAutospacing="1" w:after="100" w:afterAutospacing="1"/>
              <w:rPr>
                <w:rFonts w:cs="Arial"/>
                <w:sz w:val="20"/>
                <w:szCs w:val="20"/>
              </w:rPr>
            </w:pPr>
            <w:r w:rsidRPr="007528E0">
              <w:rPr>
                <w:rFonts w:cs="Arial"/>
                <w:sz w:val="20"/>
                <w:szCs w:val="20"/>
              </w:rPr>
              <w:t xml:space="preserve">Hidróxido de potasio </w:t>
            </w:r>
          </w:p>
        </w:tc>
        <w:tc>
          <w:tcPr>
            <w:tcW w:w="1985" w:type="dxa"/>
          </w:tcPr>
          <w:p w14:paraId="7EC6C4A4" w14:textId="77777777" w:rsidR="0037398A" w:rsidRPr="007528E0" w:rsidRDefault="0037398A" w:rsidP="007528E0">
            <w:pPr>
              <w:autoSpaceDE w:val="0"/>
              <w:autoSpaceDN w:val="0"/>
              <w:adjustRightInd w:val="0"/>
              <w:spacing w:before="100" w:beforeAutospacing="1" w:after="100" w:afterAutospacing="1"/>
              <w:rPr>
                <w:rFonts w:cs="Arial"/>
                <w:sz w:val="20"/>
                <w:szCs w:val="20"/>
              </w:rPr>
            </w:pPr>
            <w:r w:rsidRPr="007528E0">
              <w:rPr>
                <w:rFonts w:cs="Arial"/>
                <w:sz w:val="20"/>
                <w:szCs w:val="20"/>
              </w:rPr>
              <w:t>Limpia hornos, desengrasante, pilas de reloj</w:t>
            </w:r>
          </w:p>
        </w:tc>
        <w:tc>
          <w:tcPr>
            <w:tcW w:w="1715" w:type="dxa"/>
          </w:tcPr>
          <w:p w14:paraId="2A72CA1B" w14:textId="77777777" w:rsidR="0037398A" w:rsidRPr="007528E0" w:rsidRDefault="0037398A" w:rsidP="007528E0">
            <w:pPr>
              <w:autoSpaceDE w:val="0"/>
              <w:autoSpaceDN w:val="0"/>
              <w:adjustRightInd w:val="0"/>
              <w:spacing w:before="100" w:beforeAutospacing="1" w:after="100" w:afterAutospacing="1"/>
              <w:rPr>
                <w:rFonts w:cs="Arial"/>
                <w:sz w:val="20"/>
                <w:szCs w:val="20"/>
              </w:rPr>
            </w:pPr>
            <w:r w:rsidRPr="007528E0">
              <w:rPr>
                <w:rFonts w:cs="Arial"/>
                <w:sz w:val="20"/>
                <w:szCs w:val="20"/>
              </w:rPr>
              <w:t>Corrosivos</w:t>
            </w:r>
          </w:p>
        </w:tc>
      </w:tr>
      <w:tr w:rsidR="007528E0" w:rsidRPr="007528E0" w14:paraId="3A10B9BD" w14:textId="77777777" w:rsidTr="007528E0">
        <w:trPr>
          <w:trHeight w:val="121"/>
        </w:trPr>
        <w:tc>
          <w:tcPr>
            <w:tcW w:w="1512" w:type="dxa"/>
          </w:tcPr>
          <w:p w14:paraId="3836A342" w14:textId="77777777" w:rsidR="0037398A" w:rsidRPr="007528E0" w:rsidRDefault="0037398A" w:rsidP="007528E0">
            <w:pPr>
              <w:autoSpaceDE w:val="0"/>
              <w:autoSpaceDN w:val="0"/>
              <w:adjustRightInd w:val="0"/>
              <w:spacing w:before="100" w:beforeAutospacing="1" w:after="100" w:afterAutospacing="1"/>
              <w:rPr>
                <w:rFonts w:cs="Arial"/>
                <w:sz w:val="20"/>
                <w:szCs w:val="20"/>
              </w:rPr>
            </w:pPr>
            <w:r w:rsidRPr="007528E0">
              <w:rPr>
                <w:rFonts w:cs="Arial"/>
                <w:sz w:val="20"/>
                <w:szCs w:val="20"/>
              </w:rPr>
              <w:t>Agroquímicos diferentes a plaguicidas</w:t>
            </w:r>
          </w:p>
        </w:tc>
        <w:tc>
          <w:tcPr>
            <w:tcW w:w="2629" w:type="dxa"/>
          </w:tcPr>
          <w:p w14:paraId="2321EC93" w14:textId="77777777" w:rsidR="0037398A" w:rsidRPr="007528E0" w:rsidRDefault="0037398A" w:rsidP="007528E0">
            <w:pPr>
              <w:autoSpaceDE w:val="0"/>
              <w:autoSpaceDN w:val="0"/>
              <w:adjustRightInd w:val="0"/>
              <w:spacing w:before="100" w:beforeAutospacing="1" w:after="100" w:afterAutospacing="1"/>
              <w:rPr>
                <w:rFonts w:cs="Arial"/>
                <w:sz w:val="20"/>
                <w:szCs w:val="20"/>
              </w:rPr>
            </w:pPr>
            <w:r w:rsidRPr="007528E0">
              <w:rPr>
                <w:rFonts w:cs="Arial"/>
                <w:sz w:val="20"/>
                <w:szCs w:val="20"/>
              </w:rPr>
              <w:t xml:space="preserve">Fertilizantes, </w:t>
            </w:r>
            <w:proofErr w:type="spellStart"/>
            <w:r w:rsidRPr="007528E0">
              <w:rPr>
                <w:rFonts w:cs="Arial"/>
                <w:sz w:val="20"/>
                <w:szCs w:val="20"/>
              </w:rPr>
              <w:t>Florissima</w:t>
            </w:r>
            <w:proofErr w:type="spellEnd"/>
            <w:r w:rsidRPr="007528E0">
              <w:rPr>
                <w:rFonts w:cs="Arial"/>
                <w:sz w:val="20"/>
                <w:szCs w:val="20"/>
              </w:rPr>
              <w:t xml:space="preserve"> 925</w:t>
            </w:r>
          </w:p>
        </w:tc>
        <w:tc>
          <w:tcPr>
            <w:tcW w:w="1559" w:type="dxa"/>
          </w:tcPr>
          <w:p w14:paraId="677D95D2" w14:textId="77777777" w:rsidR="0037398A" w:rsidRPr="007528E0" w:rsidRDefault="0037398A" w:rsidP="007528E0">
            <w:pPr>
              <w:autoSpaceDE w:val="0"/>
              <w:autoSpaceDN w:val="0"/>
              <w:adjustRightInd w:val="0"/>
              <w:spacing w:before="100" w:beforeAutospacing="1" w:after="100" w:afterAutospacing="1"/>
              <w:rPr>
                <w:rFonts w:cs="Arial"/>
                <w:sz w:val="20"/>
                <w:szCs w:val="20"/>
              </w:rPr>
            </w:pPr>
            <w:r w:rsidRPr="007528E0">
              <w:rPr>
                <w:rFonts w:cs="Arial"/>
                <w:sz w:val="20"/>
                <w:szCs w:val="20"/>
              </w:rPr>
              <w:t>Tiosulfato de plata, urea, nitratos, compuestos de amonio</w:t>
            </w:r>
          </w:p>
        </w:tc>
        <w:tc>
          <w:tcPr>
            <w:tcW w:w="1985" w:type="dxa"/>
          </w:tcPr>
          <w:p w14:paraId="57E991FF" w14:textId="77777777" w:rsidR="0037398A" w:rsidRPr="007528E0" w:rsidRDefault="0037398A" w:rsidP="007528E0">
            <w:pPr>
              <w:autoSpaceDE w:val="0"/>
              <w:autoSpaceDN w:val="0"/>
              <w:adjustRightInd w:val="0"/>
              <w:spacing w:before="100" w:beforeAutospacing="1" w:after="100" w:afterAutospacing="1"/>
              <w:rPr>
                <w:rFonts w:cs="Arial"/>
                <w:sz w:val="20"/>
                <w:szCs w:val="20"/>
              </w:rPr>
            </w:pPr>
            <w:r w:rsidRPr="007528E0">
              <w:rPr>
                <w:rFonts w:cs="Arial"/>
                <w:sz w:val="20"/>
                <w:szCs w:val="20"/>
              </w:rPr>
              <w:t>Fertilizantes</w:t>
            </w:r>
          </w:p>
        </w:tc>
        <w:tc>
          <w:tcPr>
            <w:tcW w:w="1715" w:type="dxa"/>
          </w:tcPr>
          <w:p w14:paraId="3692D561" w14:textId="77777777" w:rsidR="0037398A" w:rsidRPr="007528E0" w:rsidRDefault="0037398A" w:rsidP="007528E0">
            <w:pPr>
              <w:autoSpaceDE w:val="0"/>
              <w:autoSpaceDN w:val="0"/>
              <w:adjustRightInd w:val="0"/>
              <w:spacing w:before="100" w:beforeAutospacing="1" w:after="100" w:afterAutospacing="1"/>
              <w:rPr>
                <w:rFonts w:cs="Arial"/>
                <w:sz w:val="20"/>
                <w:szCs w:val="20"/>
              </w:rPr>
            </w:pPr>
            <w:r w:rsidRPr="007528E0">
              <w:rPr>
                <w:rFonts w:cs="Arial"/>
                <w:sz w:val="20"/>
                <w:szCs w:val="20"/>
              </w:rPr>
              <w:t>Corrosivos</w:t>
            </w:r>
          </w:p>
        </w:tc>
      </w:tr>
      <w:tr w:rsidR="007528E0" w:rsidRPr="007528E0" w14:paraId="6BFAD8E2" w14:textId="77777777" w:rsidTr="007528E0">
        <w:trPr>
          <w:trHeight w:val="121"/>
        </w:trPr>
        <w:tc>
          <w:tcPr>
            <w:tcW w:w="1512" w:type="dxa"/>
          </w:tcPr>
          <w:p w14:paraId="2EB256C9" w14:textId="77777777" w:rsidR="0037398A" w:rsidRPr="007528E0" w:rsidRDefault="0037398A" w:rsidP="007528E0">
            <w:pPr>
              <w:autoSpaceDE w:val="0"/>
              <w:autoSpaceDN w:val="0"/>
              <w:adjustRightInd w:val="0"/>
              <w:spacing w:before="100" w:beforeAutospacing="1" w:after="100" w:afterAutospacing="1"/>
              <w:rPr>
                <w:rFonts w:cs="Arial"/>
                <w:sz w:val="20"/>
                <w:szCs w:val="20"/>
              </w:rPr>
            </w:pPr>
            <w:r w:rsidRPr="007528E0">
              <w:rPr>
                <w:rFonts w:cs="Arial"/>
                <w:sz w:val="20"/>
                <w:szCs w:val="20"/>
              </w:rPr>
              <w:t>Cianuro</w:t>
            </w:r>
          </w:p>
        </w:tc>
        <w:tc>
          <w:tcPr>
            <w:tcW w:w="2629" w:type="dxa"/>
          </w:tcPr>
          <w:p w14:paraId="0AB82FAB" w14:textId="77777777" w:rsidR="0037398A" w:rsidRPr="007528E0" w:rsidRDefault="0037398A" w:rsidP="007528E0">
            <w:pPr>
              <w:autoSpaceDE w:val="0"/>
              <w:autoSpaceDN w:val="0"/>
              <w:adjustRightInd w:val="0"/>
              <w:spacing w:before="100" w:beforeAutospacing="1" w:after="100" w:afterAutospacing="1"/>
              <w:rPr>
                <w:rFonts w:cs="Arial"/>
                <w:sz w:val="20"/>
                <w:szCs w:val="20"/>
              </w:rPr>
            </w:pPr>
            <w:r w:rsidRPr="007528E0">
              <w:rPr>
                <w:rFonts w:cs="Arial"/>
                <w:sz w:val="20"/>
                <w:szCs w:val="20"/>
              </w:rPr>
              <w:t>Cianuro</w:t>
            </w:r>
          </w:p>
        </w:tc>
        <w:tc>
          <w:tcPr>
            <w:tcW w:w="1559" w:type="dxa"/>
          </w:tcPr>
          <w:p w14:paraId="57097402" w14:textId="77777777" w:rsidR="0037398A" w:rsidRPr="007528E0" w:rsidRDefault="0037398A" w:rsidP="007528E0">
            <w:pPr>
              <w:autoSpaceDE w:val="0"/>
              <w:autoSpaceDN w:val="0"/>
              <w:adjustRightInd w:val="0"/>
              <w:spacing w:before="100" w:beforeAutospacing="1" w:after="100" w:afterAutospacing="1"/>
              <w:rPr>
                <w:rFonts w:cs="Arial"/>
                <w:sz w:val="20"/>
                <w:szCs w:val="20"/>
              </w:rPr>
            </w:pPr>
            <w:r w:rsidRPr="007528E0">
              <w:rPr>
                <w:rFonts w:cs="Arial"/>
                <w:sz w:val="20"/>
                <w:szCs w:val="20"/>
              </w:rPr>
              <w:t>Cianuro</w:t>
            </w:r>
          </w:p>
        </w:tc>
        <w:tc>
          <w:tcPr>
            <w:tcW w:w="1985" w:type="dxa"/>
          </w:tcPr>
          <w:p w14:paraId="20B4561B" w14:textId="77777777" w:rsidR="0037398A" w:rsidRPr="007528E0" w:rsidRDefault="0037398A" w:rsidP="007528E0">
            <w:pPr>
              <w:autoSpaceDE w:val="0"/>
              <w:autoSpaceDN w:val="0"/>
              <w:adjustRightInd w:val="0"/>
              <w:spacing w:before="100" w:beforeAutospacing="1" w:after="100" w:afterAutospacing="1"/>
              <w:rPr>
                <w:rFonts w:cs="Arial"/>
                <w:sz w:val="20"/>
                <w:szCs w:val="20"/>
              </w:rPr>
            </w:pPr>
            <w:r w:rsidRPr="007528E0">
              <w:rPr>
                <w:rFonts w:cs="Arial"/>
                <w:sz w:val="20"/>
                <w:szCs w:val="20"/>
              </w:rPr>
              <w:t>Joyerías, minería</w:t>
            </w:r>
          </w:p>
        </w:tc>
        <w:tc>
          <w:tcPr>
            <w:tcW w:w="1715" w:type="dxa"/>
          </w:tcPr>
          <w:p w14:paraId="41581A6F" w14:textId="77777777" w:rsidR="0037398A" w:rsidRPr="007528E0" w:rsidRDefault="0037398A" w:rsidP="007528E0">
            <w:pPr>
              <w:autoSpaceDE w:val="0"/>
              <w:autoSpaceDN w:val="0"/>
              <w:adjustRightInd w:val="0"/>
              <w:spacing w:before="100" w:beforeAutospacing="1" w:after="100" w:afterAutospacing="1"/>
              <w:rPr>
                <w:rFonts w:cs="Arial"/>
                <w:sz w:val="20"/>
                <w:szCs w:val="20"/>
              </w:rPr>
            </w:pPr>
            <w:r w:rsidRPr="007528E0">
              <w:rPr>
                <w:rFonts w:cs="Arial"/>
                <w:sz w:val="20"/>
                <w:szCs w:val="20"/>
              </w:rPr>
              <w:t>Extremadamente toxico</w:t>
            </w:r>
          </w:p>
        </w:tc>
      </w:tr>
      <w:tr w:rsidR="007528E0" w:rsidRPr="007528E0" w14:paraId="4EE4ED38" w14:textId="77777777" w:rsidTr="007528E0">
        <w:trPr>
          <w:trHeight w:val="1091"/>
        </w:trPr>
        <w:tc>
          <w:tcPr>
            <w:tcW w:w="1512" w:type="dxa"/>
          </w:tcPr>
          <w:p w14:paraId="115F37A9" w14:textId="77777777" w:rsidR="0037398A" w:rsidRPr="007528E0" w:rsidRDefault="0037398A" w:rsidP="007528E0">
            <w:pPr>
              <w:autoSpaceDE w:val="0"/>
              <w:autoSpaceDN w:val="0"/>
              <w:adjustRightInd w:val="0"/>
              <w:spacing w:before="100" w:beforeAutospacing="1" w:after="100" w:afterAutospacing="1"/>
              <w:rPr>
                <w:rFonts w:cs="Arial"/>
                <w:sz w:val="20"/>
                <w:szCs w:val="20"/>
              </w:rPr>
            </w:pPr>
            <w:r w:rsidRPr="007528E0">
              <w:rPr>
                <w:rFonts w:cs="Arial"/>
                <w:sz w:val="20"/>
                <w:szCs w:val="20"/>
              </w:rPr>
              <w:t>Cosméticos</w:t>
            </w:r>
          </w:p>
        </w:tc>
        <w:tc>
          <w:tcPr>
            <w:tcW w:w="2629" w:type="dxa"/>
          </w:tcPr>
          <w:p w14:paraId="0CE7150E" w14:textId="77777777" w:rsidR="0037398A" w:rsidRPr="007528E0" w:rsidRDefault="0037398A" w:rsidP="007528E0">
            <w:pPr>
              <w:autoSpaceDE w:val="0"/>
              <w:autoSpaceDN w:val="0"/>
              <w:adjustRightInd w:val="0"/>
              <w:spacing w:before="100" w:beforeAutospacing="1" w:after="100" w:afterAutospacing="1"/>
              <w:rPr>
                <w:rFonts w:cs="Arial"/>
                <w:sz w:val="20"/>
                <w:szCs w:val="20"/>
              </w:rPr>
            </w:pPr>
            <w:proofErr w:type="spellStart"/>
            <w:r w:rsidRPr="007528E0">
              <w:rPr>
                <w:rFonts w:cs="Arial"/>
                <w:sz w:val="20"/>
                <w:szCs w:val="20"/>
              </w:rPr>
              <w:t>Aliser</w:t>
            </w:r>
            <w:proofErr w:type="spellEnd"/>
            <w:r w:rsidRPr="007528E0">
              <w:rPr>
                <w:rFonts w:cs="Arial"/>
                <w:sz w:val="20"/>
                <w:szCs w:val="20"/>
              </w:rPr>
              <w:t xml:space="preserve"> para cabello, </w:t>
            </w:r>
            <w:proofErr w:type="spellStart"/>
            <w:r w:rsidRPr="007528E0">
              <w:rPr>
                <w:rFonts w:cs="Arial"/>
                <w:sz w:val="20"/>
                <w:szCs w:val="20"/>
              </w:rPr>
              <w:t>asuntol</w:t>
            </w:r>
            <w:proofErr w:type="spellEnd"/>
            <w:r w:rsidRPr="007528E0">
              <w:rPr>
                <w:rFonts w:cs="Arial"/>
                <w:sz w:val="20"/>
                <w:szCs w:val="20"/>
              </w:rPr>
              <w:t>, callicida, champú, colonia para bebe, crema dental, esmalte para uñas, removedor de cutícula, coloración en crema para el cabello.</w:t>
            </w:r>
          </w:p>
        </w:tc>
        <w:tc>
          <w:tcPr>
            <w:tcW w:w="1559" w:type="dxa"/>
          </w:tcPr>
          <w:p w14:paraId="181F7894" w14:textId="77777777" w:rsidR="0037398A" w:rsidRPr="007528E0" w:rsidRDefault="0037398A" w:rsidP="007528E0">
            <w:pPr>
              <w:autoSpaceDE w:val="0"/>
              <w:autoSpaceDN w:val="0"/>
              <w:adjustRightInd w:val="0"/>
              <w:spacing w:before="100" w:beforeAutospacing="1" w:after="100" w:afterAutospacing="1"/>
              <w:rPr>
                <w:rFonts w:cs="Arial"/>
                <w:sz w:val="20"/>
                <w:szCs w:val="20"/>
              </w:rPr>
            </w:pPr>
            <w:r w:rsidRPr="007528E0">
              <w:rPr>
                <w:rFonts w:cs="Arial"/>
                <w:sz w:val="20"/>
                <w:szCs w:val="20"/>
              </w:rPr>
              <w:t>Variado</w:t>
            </w:r>
          </w:p>
        </w:tc>
        <w:tc>
          <w:tcPr>
            <w:tcW w:w="1985" w:type="dxa"/>
          </w:tcPr>
          <w:p w14:paraId="0A618BFA" w14:textId="77777777" w:rsidR="0037398A" w:rsidRPr="007528E0" w:rsidRDefault="0037398A" w:rsidP="007528E0">
            <w:pPr>
              <w:autoSpaceDE w:val="0"/>
              <w:autoSpaceDN w:val="0"/>
              <w:adjustRightInd w:val="0"/>
              <w:spacing w:before="100" w:beforeAutospacing="1" w:after="100" w:afterAutospacing="1"/>
              <w:rPr>
                <w:rFonts w:cs="Arial"/>
                <w:sz w:val="20"/>
                <w:szCs w:val="20"/>
              </w:rPr>
            </w:pPr>
            <w:r w:rsidRPr="007528E0">
              <w:rPr>
                <w:rFonts w:cs="Arial"/>
                <w:sz w:val="20"/>
                <w:szCs w:val="20"/>
              </w:rPr>
              <w:t>Cosmético</w:t>
            </w:r>
          </w:p>
        </w:tc>
        <w:tc>
          <w:tcPr>
            <w:tcW w:w="1715" w:type="dxa"/>
          </w:tcPr>
          <w:p w14:paraId="5B43B0DD" w14:textId="77777777" w:rsidR="0037398A" w:rsidRPr="007528E0" w:rsidRDefault="0037398A" w:rsidP="007528E0">
            <w:pPr>
              <w:autoSpaceDE w:val="0"/>
              <w:autoSpaceDN w:val="0"/>
              <w:adjustRightInd w:val="0"/>
              <w:spacing w:before="100" w:beforeAutospacing="1" w:after="100" w:afterAutospacing="1"/>
              <w:rPr>
                <w:rFonts w:cs="Arial"/>
                <w:sz w:val="20"/>
                <w:szCs w:val="20"/>
              </w:rPr>
            </w:pPr>
            <w:r w:rsidRPr="007528E0">
              <w:rPr>
                <w:rFonts w:cs="Arial"/>
                <w:sz w:val="20"/>
                <w:szCs w:val="20"/>
              </w:rPr>
              <w:t>Algunas cremas alisadoras de cabello son corrosivas.</w:t>
            </w:r>
          </w:p>
        </w:tc>
      </w:tr>
      <w:tr w:rsidR="007528E0" w:rsidRPr="007528E0" w14:paraId="26EABE06" w14:textId="77777777" w:rsidTr="007528E0">
        <w:trPr>
          <w:trHeight w:val="121"/>
        </w:trPr>
        <w:tc>
          <w:tcPr>
            <w:tcW w:w="1512" w:type="dxa"/>
          </w:tcPr>
          <w:p w14:paraId="3F6D5C81" w14:textId="77777777" w:rsidR="0037398A" w:rsidRPr="007528E0" w:rsidRDefault="0037398A" w:rsidP="007528E0">
            <w:pPr>
              <w:autoSpaceDE w:val="0"/>
              <w:autoSpaceDN w:val="0"/>
              <w:adjustRightInd w:val="0"/>
              <w:spacing w:before="100" w:beforeAutospacing="1" w:after="100" w:afterAutospacing="1"/>
              <w:rPr>
                <w:rFonts w:cs="Arial"/>
                <w:sz w:val="20"/>
                <w:szCs w:val="20"/>
              </w:rPr>
            </w:pPr>
            <w:r w:rsidRPr="007528E0">
              <w:rPr>
                <w:rFonts w:cs="Arial"/>
                <w:sz w:val="20"/>
                <w:szCs w:val="20"/>
              </w:rPr>
              <w:t>Fosforo blanco</w:t>
            </w:r>
          </w:p>
        </w:tc>
        <w:tc>
          <w:tcPr>
            <w:tcW w:w="2629" w:type="dxa"/>
          </w:tcPr>
          <w:p w14:paraId="61828E90" w14:textId="77777777" w:rsidR="0037398A" w:rsidRPr="007528E0" w:rsidRDefault="0037398A" w:rsidP="007528E0">
            <w:pPr>
              <w:autoSpaceDE w:val="0"/>
              <w:autoSpaceDN w:val="0"/>
              <w:adjustRightInd w:val="0"/>
              <w:spacing w:before="100" w:beforeAutospacing="1" w:after="100" w:afterAutospacing="1"/>
              <w:rPr>
                <w:rFonts w:cs="Arial"/>
                <w:sz w:val="20"/>
                <w:szCs w:val="20"/>
              </w:rPr>
            </w:pPr>
            <w:r w:rsidRPr="007528E0">
              <w:rPr>
                <w:rFonts w:cs="Arial"/>
                <w:sz w:val="20"/>
                <w:szCs w:val="20"/>
              </w:rPr>
              <w:t>Fosforo, pólvora (totes).</w:t>
            </w:r>
          </w:p>
        </w:tc>
        <w:tc>
          <w:tcPr>
            <w:tcW w:w="1559" w:type="dxa"/>
          </w:tcPr>
          <w:p w14:paraId="68A41203" w14:textId="77777777" w:rsidR="0037398A" w:rsidRPr="007528E0" w:rsidRDefault="0037398A" w:rsidP="007528E0">
            <w:pPr>
              <w:autoSpaceDE w:val="0"/>
              <w:autoSpaceDN w:val="0"/>
              <w:adjustRightInd w:val="0"/>
              <w:spacing w:before="100" w:beforeAutospacing="1" w:after="100" w:afterAutospacing="1"/>
              <w:rPr>
                <w:rFonts w:cs="Arial"/>
                <w:sz w:val="20"/>
                <w:szCs w:val="20"/>
              </w:rPr>
            </w:pPr>
            <w:r w:rsidRPr="007528E0">
              <w:rPr>
                <w:rFonts w:cs="Arial"/>
                <w:sz w:val="20"/>
                <w:szCs w:val="20"/>
              </w:rPr>
              <w:t>Fosforo blanco</w:t>
            </w:r>
          </w:p>
        </w:tc>
        <w:tc>
          <w:tcPr>
            <w:tcW w:w="1985" w:type="dxa"/>
          </w:tcPr>
          <w:p w14:paraId="7953E5E9" w14:textId="77777777" w:rsidR="0037398A" w:rsidRPr="007528E0" w:rsidRDefault="0037398A" w:rsidP="007528E0">
            <w:pPr>
              <w:autoSpaceDE w:val="0"/>
              <w:autoSpaceDN w:val="0"/>
              <w:adjustRightInd w:val="0"/>
              <w:spacing w:before="100" w:beforeAutospacing="1" w:after="100" w:afterAutospacing="1"/>
              <w:rPr>
                <w:rFonts w:cs="Arial"/>
                <w:sz w:val="20"/>
                <w:szCs w:val="20"/>
              </w:rPr>
            </w:pPr>
            <w:r w:rsidRPr="007528E0">
              <w:rPr>
                <w:rFonts w:cs="Arial"/>
                <w:sz w:val="20"/>
                <w:szCs w:val="20"/>
              </w:rPr>
              <w:t>Pirotecnia</w:t>
            </w:r>
          </w:p>
        </w:tc>
        <w:tc>
          <w:tcPr>
            <w:tcW w:w="1715" w:type="dxa"/>
          </w:tcPr>
          <w:p w14:paraId="22A82045" w14:textId="77777777" w:rsidR="0037398A" w:rsidRPr="007528E0" w:rsidRDefault="0037398A" w:rsidP="007528E0">
            <w:pPr>
              <w:autoSpaceDE w:val="0"/>
              <w:autoSpaceDN w:val="0"/>
              <w:adjustRightInd w:val="0"/>
              <w:spacing w:before="100" w:beforeAutospacing="1" w:after="100" w:afterAutospacing="1"/>
              <w:rPr>
                <w:rFonts w:cs="Arial"/>
                <w:sz w:val="20"/>
                <w:szCs w:val="20"/>
              </w:rPr>
            </w:pPr>
            <w:r w:rsidRPr="007528E0">
              <w:rPr>
                <w:rFonts w:cs="Arial"/>
                <w:sz w:val="20"/>
                <w:szCs w:val="20"/>
              </w:rPr>
              <w:t>Extremadamente toxico, explosivo</w:t>
            </w:r>
          </w:p>
        </w:tc>
      </w:tr>
      <w:tr w:rsidR="007528E0" w:rsidRPr="007528E0" w14:paraId="5004EB73" w14:textId="77777777" w:rsidTr="007528E0">
        <w:trPr>
          <w:trHeight w:val="121"/>
        </w:trPr>
        <w:tc>
          <w:tcPr>
            <w:tcW w:w="1512" w:type="dxa"/>
            <w:vMerge w:val="restart"/>
          </w:tcPr>
          <w:p w14:paraId="1688C68C" w14:textId="77777777" w:rsidR="0037398A" w:rsidRPr="007528E0" w:rsidRDefault="0037398A" w:rsidP="007528E0">
            <w:pPr>
              <w:autoSpaceDE w:val="0"/>
              <w:autoSpaceDN w:val="0"/>
              <w:adjustRightInd w:val="0"/>
              <w:spacing w:before="100" w:beforeAutospacing="1" w:after="100" w:afterAutospacing="1"/>
              <w:rPr>
                <w:rFonts w:cs="Arial"/>
                <w:sz w:val="20"/>
                <w:szCs w:val="20"/>
              </w:rPr>
            </w:pPr>
          </w:p>
          <w:p w14:paraId="18359E96" w14:textId="77777777" w:rsidR="0037398A" w:rsidRPr="007528E0" w:rsidRDefault="0037398A" w:rsidP="007528E0">
            <w:pPr>
              <w:autoSpaceDE w:val="0"/>
              <w:autoSpaceDN w:val="0"/>
              <w:adjustRightInd w:val="0"/>
              <w:spacing w:before="100" w:beforeAutospacing="1" w:after="100" w:afterAutospacing="1"/>
              <w:rPr>
                <w:rFonts w:cs="Arial"/>
                <w:sz w:val="20"/>
                <w:szCs w:val="20"/>
              </w:rPr>
            </w:pPr>
          </w:p>
          <w:p w14:paraId="5C119D08" w14:textId="77777777" w:rsidR="0037398A" w:rsidRPr="007528E0" w:rsidRDefault="0037398A" w:rsidP="007528E0">
            <w:pPr>
              <w:autoSpaceDE w:val="0"/>
              <w:autoSpaceDN w:val="0"/>
              <w:adjustRightInd w:val="0"/>
              <w:spacing w:before="100" w:beforeAutospacing="1" w:after="100" w:afterAutospacing="1"/>
              <w:rPr>
                <w:rFonts w:cs="Arial"/>
                <w:sz w:val="20"/>
                <w:szCs w:val="20"/>
              </w:rPr>
            </w:pPr>
          </w:p>
          <w:p w14:paraId="2AC2331E" w14:textId="77777777" w:rsidR="0037398A" w:rsidRPr="007528E0" w:rsidRDefault="0037398A" w:rsidP="007528E0">
            <w:pPr>
              <w:autoSpaceDE w:val="0"/>
              <w:autoSpaceDN w:val="0"/>
              <w:adjustRightInd w:val="0"/>
              <w:spacing w:before="100" w:beforeAutospacing="1" w:after="100" w:afterAutospacing="1"/>
              <w:rPr>
                <w:rFonts w:cs="Arial"/>
                <w:sz w:val="20"/>
                <w:szCs w:val="20"/>
              </w:rPr>
            </w:pPr>
          </w:p>
          <w:p w14:paraId="772FDF5C" w14:textId="77777777" w:rsidR="0037398A" w:rsidRPr="007528E0" w:rsidRDefault="0037398A" w:rsidP="007528E0">
            <w:pPr>
              <w:autoSpaceDE w:val="0"/>
              <w:autoSpaceDN w:val="0"/>
              <w:adjustRightInd w:val="0"/>
              <w:spacing w:before="100" w:beforeAutospacing="1" w:after="100" w:afterAutospacing="1"/>
              <w:rPr>
                <w:rFonts w:cs="Arial"/>
                <w:sz w:val="20"/>
                <w:szCs w:val="20"/>
              </w:rPr>
            </w:pPr>
          </w:p>
          <w:p w14:paraId="0298C7FC" w14:textId="77777777" w:rsidR="0037398A" w:rsidRPr="007528E0" w:rsidRDefault="0037398A" w:rsidP="007528E0">
            <w:pPr>
              <w:autoSpaceDE w:val="0"/>
              <w:autoSpaceDN w:val="0"/>
              <w:adjustRightInd w:val="0"/>
              <w:spacing w:before="100" w:beforeAutospacing="1" w:after="100" w:afterAutospacing="1"/>
              <w:rPr>
                <w:rFonts w:cs="Arial"/>
                <w:sz w:val="20"/>
                <w:szCs w:val="20"/>
              </w:rPr>
            </w:pPr>
            <w:r w:rsidRPr="007528E0">
              <w:rPr>
                <w:rFonts w:cs="Arial"/>
                <w:sz w:val="20"/>
                <w:szCs w:val="20"/>
              </w:rPr>
              <w:t>Limpieza del hogar</w:t>
            </w:r>
          </w:p>
          <w:p w14:paraId="3A3CAFE4" w14:textId="77777777" w:rsidR="0037398A" w:rsidRPr="007528E0" w:rsidRDefault="0037398A" w:rsidP="007528E0">
            <w:pPr>
              <w:autoSpaceDE w:val="0"/>
              <w:autoSpaceDN w:val="0"/>
              <w:adjustRightInd w:val="0"/>
              <w:spacing w:before="100" w:beforeAutospacing="1" w:after="100" w:afterAutospacing="1"/>
              <w:rPr>
                <w:rFonts w:cs="Arial"/>
                <w:sz w:val="20"/>
                <w:szCs w:val="20"/>
              </w:rPr>
            </w:pPr>
          </w:p>
        </w:tc>
        <w:tc>
          <w:tcPr>
            <w:tcW w:w="2629" w:type="dxa"/>
          </w:tcPr>
          <w:p w14:paraId="45349127" w14:textId="77777777" w:rsidR="0037398A" w:rsidRPr="007528E0" w:rsidRDefault="0037398A" w:rsidP="007528E0">
            <w:pPr>
              <w:autoSpaceDE w:val="0"/>
              <w:autoSpaceDN w:val="0"/>
              <w:adjustRightInd w:val="0"/>
              <w:spacing w:before="100" w:beforeAutospacing="1" w:after="100" w:afterAutospacing="1"/>
              <w:rPr>
                <w:rFonts w:cs="Arial"/>
                <w:sz w:val="20"/>
                <w:szCs w:val="20"/>
              </w:rPr>
            </w:pPr>
            <w:r w:rsidRPr="007528E0">
              <w:rPr>
                <w:rFonts w:cs="Arial"/>
                <w:sz w:val="20"/>
                <w:szCs w:val="20"/>
              </w:rPr>
              <w:t>Ambientador.</w:t>
            </w:r>
          </w:p>
        </w:tc>
        <w:tc>
          <w:tcPr>
            <w:tcW w:w="1559" w:type="dxa"/>
          </w:tcPr>
          <w:p w14:paraId="0CB14F0D" w14:textId="77777777" w:rsidR="0037398A" w:rsidRPr="007528E0" w:rsidRDefault="0037398A" w:rsidP="007528E0">
            <w:pPr>
              <w:autoSpaceDE w:val="0"/>
              <w:autoSpaceDN w:val="0"/>
              <w:adjustRightInd w:val="0"/>
              <w:spacing w:before="100" w:beforeAutospacing="1" w:after="100" w:afterAutospacing="1"/>
              <w:rPr>
                <w:rFonts w:cs="Arial"/>
                <w:sz w:val="20"/>
                <w:szCs w:val="20"/>
              </w:rPr>
            </w:pPr>
            <w:r w:rsidRPr="007528E0">
              <w:rPr>
                <w:rFonts w:cs="Arial"/>
                <w:sz w:val="20"/>
                <w:szCs w:val="20"/>
              </w:rPr>
              <w:t>Formaldehido, fenoles, alcoholes, éter</w:t>
            </w:r>
          </w:p>
        </w:tc>
        <w:tc>
          <w:tcPr>
            <w:tcW w:w="1985" w:type="dxa"/>
          </w:tcPr>
          <w:p w14:paraId="09325CF3" w14:textId="77777777" w:rsidR="0037398A" w:rsidRPr="007528E0" w:rsidRDefault="0037398A" w:rsidP="007528E0">
            <w:pPr>
              <w:autoSpaceDE w:val="0"/>
              <w:autoSpaceDN w:val="0"/>
              <w:adjustRightInd w:val="0"/>
              <w:spacing w:before="100" w:beforeAutospacing="1" w:after="100" w:afterAutospacing="1"/>
              <w:rPr>
                <w:rFonts w:cs="Arial"/>
                <w:sz w:val="20"/>
                <w:szCs w:val="20"/>
              </w:rPr>
            </w:pPr>
            <w:r w:rsidRPr="007528E0">
              <w:rPr>
                <w:rFonts w:cs="Arial"/>
                <w:sz w:val="20"/>
                <w:szCs w:val="20"/>
              </w:rPr>
              <w:t>Ambientador</w:t>
            </w:r>
          </w:p>
        </w:tc>
        <w:tc>
          <w:tcPr>
            <w:tcW w:w="1715" w:type="dxa"/>
          </w:tcPr>
          <w:p w14:paraId="6C2484BB" w14:textId="77777777" w:rsidR="0037398A" w:rsidRPr="007528E0" w:rsidRDefault="0037398A" w:rsidP="007528E0">
            <w:pPr>
              <w:autoSpaceDE w:val="0"/>
              <w:autoSpaceDN w:val="0"/>
              <w:adjustRightInd w:val="0"/>
              <w:spacing w:before="100" w:beforeAutospacing="1" w:after="100" w:afterAutospacing="1"/>
              <w:rPr>
                <w:rFonts w:cs="Arial"/>
                <w:sz w:val="20"/>
                <w:szCs w:val="20"/>
              </w:rPr>
            </w:pPr>
            <w:r w:rsidRPr="007528E0">
              <w:rPr>
                <w:rFonts w:cs="Arial"/>
                <w:sz w:val="20"/>
                <w:szCs w:val="20"/>
              </w:rPr>
              <w:t>Corrosivos</w:t>
            </w:r>
          </w:p>
        </w:tc>
      </w:tr>
      <w:tr w:rsidR="007528E0" w:rsidRPr="007528E0" w14:paraId="6C3E18AB" w14:textId="77777777" w:rsidTr="007528E0">
        <w:trPr>
          <w:trHeight w:val="121"/>
        </w:trPr>
        <w:tc>
          <w:tcPr>
            <w:tcW w:w="1512" w:type="dxa"/>
            <w:vMerge/>
          </w:tcPr>
          <w:p w14:paraId="67C97BCF" w14:textId="77777777" w:rsidR="0037398A" w:rsidRPr="007528E0" w:rsidRDefault="0037398A" w:rsidP="007528E0">
            <w:pPr>
              <w:autoSpaceDE w:val="0"/>
              <w:autoSpaceDN w:val="0"/>
              <w:adjustRightInd w:val="0"/>
              <w:spacing w:before="100" w:beforeAutospacing="1" w:after="100" w:afterAutospacing="1"/>
              <w:rPr>
                <w:rFonts w:cs="Arial"/>
                <w:sz w:val="20"/>
                <w:szCs w:val="20"/>
              </w:rPr>
            </w:pPr>
          </w:p>
        </w:tc>
        <w:tc>
          <w:tcPr>
            <w:tcW w:w="2629" w:type="dxa"/>
          </w:tcPr>
          <w:p w14:paraId="379F96A8" w14:textId="77777777" w:rsidR="0037398A" w:rsidRPr="007528E0" w:rsidRDefault="0037398A" w:rsidP="007528E0">
            <w:pPr>
              <w:autoSpaceDE w:val="0"/>
              <w:autoSpaceDN w:val="0"/>
              <w:adjustRightInd w:val="0"/>
              <w:spacing w:before="100" w:beforeAutospacing="1" w:after="100" w:afterAutospacing="1"/>
              <w:rPr>
                <w:rFonts w:cs="Arial"/>
                <w:sz w:val="20"/>
                <w:szCs w:val="20"/>
              </w:rPr>
            </w:pPr>
            <w:proofErr w:type="spellStart"/>
            <w:r w:rsidRPr="007528E0">
              <w:rPr>
                <w:rFonts w:cs="Arial"/>
                <w:sz w:val="20"/>
                <w:szCs w:val="20"/>
              </w:rPr>
              <w:t>Blancox</w:t>
            </w:r>
            <w:proofErr w:type="spellEnd"/>
            <w:r w:rsidRPr="007528E0">
              <w:rPr>
                <w:rFonts w:cs="Arial"/>
                <w:sz w:val="20"/>
                <w:szCs w:val="20"/>
              </w:rPr>
              <w:t>, límpido.</w:t>
            </w:r>
          </w:p>
        </w:tc>
        <w:tc>
          <w:tcPr>
            <w:tcW w:w="1559" w:type="dxa"/>
          </w:tcPr>
          <w:p w14:paraId="00637870" w14:textId="77777777" w:rsidR="0037398A" w:rsidRPr="007528E0" w:rsidRDefault="0037398A" w:rsidP="007528E0">
            <w:pPr>
              <w:autoSpaceDE w:val="0"/>
              <w:autoSpaceDN w:val="0"/>
              <w:adjustRightInd w:val="0"/>
              <w:spacing w:before="100" w:beforeAutospacing="1" w:after="100" w:afterAutospacing="1"/>
              <w:rPr>
                <w:rFonts w:cs="Arial"/>
                <w:sz w:val="20"/>
                <w:szCs w:val="20"/>
              </w:rPr>
            </w:pPr>
            <w:r w:rsidRPr="007528E0">
              <w:rPr>
                <w:rFonts w:cs="Arial"/>
                <w:sz w:val="20"/>
                <w:szCs w:val="20"/>
              </w:rPr>
              <w:t xml:space="preserve">Hipoclorito de sodio </w:t>
            </w:r>
          </w:p>
        </w:tc>
        <w:tc>
          <w:tcPr>
            <w:tcW w:w="1985" w:type="dxa"/>
          </w:tcPr>
          <w:p w14:paraId="03100628" w14:textId="77777777" w:rsidR="0037398A" w:rsidRPr="007528E0" w:rsidRDefault="0037398A" w:rsidP="007528E0">
            <w:pPr>
              <w:autoSpaceDE w:val="0"/>
              <w:autoSpaceDN w:val="0"/>
              <w:adjustRightInd w:val="0"/>
              <w:spacing w:before="100" w:beforeAutospacing="1" w:after="100" w:afterAutospacing="1"/>
              <w:rPr>
                <w:rFonts w:cs="Arial"/>
                <w:sz w:val="20"/>
                <w:szCs w:val="20"/>
              </w:rPr>
            </w:pPr>
            <w:r w:rsidRPr="007528E0">
              <w:rPr>
                <w:rFonts w:cs="Arial"/>
                <w:sz w:val="20"/>
                <w:szCs w:val="20"/>
              </w:rPr>
              <w:t>Blanqueador</w:t>
            </w:r>
          </w:p>
        </w:tc>
        <w:tc>
          <w:tcPr>
            <w:tcW w:w="1715" w:type="dxa"/>
          </w:tcPr>
          <w:p w14:paraId="18C8D91E" w14:textId="77777777" w:rsidR="0037398A" w:rsidRPr="007528E0" w:rsidRDefault="0037398A" w:rsidP="007528E0">
            <w:pPr>
              <w:autoSpaceDE w:val="0"/>
              <w:autoSpaceDN w:val="0"/>
              <w:adjustRightInd w:val="0"/>
              <w:spacing w:before="100" w:beforeAutospacing="1" w:after="100" w:afterAutospacing="1"/>
              <w:rPr>
                <w:rFonts w:cs="Arial"/>
                <w:sz w:val="20"/>
                <w:szCs w:val="20"/>
              </w:rPr>
            </w:pPr>
            <w:r w:rsidRPr="007528E0">
              <w:rPr>
                <w:rFonts w:cs="Arial"/>
                <w:sz w:val="20"/>
                <w:szCs w:val="20"/>
              </w:rPr>
              <w:t>Corrosivos</w:t>
            </w:r>
          </w:p>
        </w:tc>
      </w:tr>
      <w:tr w:rsidR="007528E0" w:rsidRPr="007528E0" w14:paraId="19753B4B" w14:textId="77777777" w:rsidTr="007528E0">
        <w:trPr>
          <w:trHeight w:val="121"/>
        </w:trPr>
        <w:tc>
          <w:tcPr>
            <w:tcW w:w="1512" w:type="dxa"/>
            <w:vMerge/>
          </w:tcPr>
          <w:p w14:paraId="25454EB2" w14:textId="77777777" w:rsidR="0037398A" w:rsidRPr="007528E0" w:rsidRDefault="0037398A" w:rsidP="007528E0">
            <w:pPr>
              <w:autoSpaceDE w:val="0"/>
              <w:autoSpaceDN w:val="0"/>
              <w:adjustRightInd w:val="0"/>
              <w:spacing w:before="100" w:beforeAutospacing="1" w:after="100" w:afterAutospacing="1"/>
              <w:rPr>
                <w:rFonts w:cs="Arial"/>
                <w:sz w:val="20"/>
                <w:szCs w:val="20"/>
              </w:rPr>
            </w:pPr>
          </w:p>
        </w:tc>
        <w:tc>
          <w:tcPr>
            <w:tcW w:w="2629" w:type="dxa"/>
          </w:tcPr>
          <w:p w14:paraId="6EE8DA8D" w14:textId="77777777" w:rsidR="0037398A" w:rsidRPr="007528E0" w:rsidRDefault="0037398A" w:rsidP="007528E0">
            <w:pPr>
              <w:autoSpaceDE w:val="0"/>
              <w:autoSpaceDN w:val="0"/>
              <w:adjustRightInd w:val="0"/>
              <w:spacing w:before="100" w:beforeAutospacing="1" w:after="100" w:afterAutospacing="1"/>
              <w:rPr>
                <w:rFonts w:cs="Arial"/>
                <w:sz w:val="20"/>
                <w:szCs w:val="20"/>
              </w:rPr>
            </w:pPr>
            <w:r w:rsidRPr="007528E0">
              <w:rPr>
                <w:rFonts w:cs="Arial"/>
                <w:sz w:val="20"/>
                <w:szCs w:val="20"/>
              </w:rPr>
              <w:t>Citronela.</w:t>
            </w:r>
          </w:p>
        </w:tc>
        <w:tc>
          <w:tcPr>
            <w:tcW w:w="1559" w:type="dxa"/>
          </w:tcPr>
          <w:p w14:paraId="761555E5" w14:textId="77777777" w:rsidR="0037398A" w:rsidRPr="007528E0" w:rsidRDefault="0037398A" w:rsidP="007528E0">
            <w:pPr>
              <w:autoSpaceDE w:val="0"/>
              <w:autoSpaceDN w:val="0"/>
              <w:adjustRightInd w:val="0"/>
              <w:spacing w:before="100" w:beforeAutospacing="1" w:after="100" w:afterAutospacing="1"/>
              <w:rPr>
                <w:rFonts w:cs="Arial"/>
                <w:sz w:val="20"/>
                <w:szCs w:val="20"/>
              </w:rPr>
            </w:pPr>
            <w:r w:rsidRPr="007528E0">
              <w:rPr>
                <w:rFonts w:cs="Arial"/>
                <w:sz w:val="20"/>
                <w:szCs w:val="20"/>
              </w:rPr>
              <w:t>Aceite esencial</w:t>
            </w:r>
          </w:p>
        </w:tc>
        <w:tc>
          <w:tcPr>
            <w:tcW w:w="1985" w:type="dxa"/>
          </w:tcPr>
          <w:p w14:paraId="2B8D2A01" w14:textId="77777777" w:rsidR="0037398A" w:rsidRPr="007528E0" w:rsidRDefault="0037398A" w:rsidP="007528E0">
            <w:pPr>
              <w:autoSpaceDE w:val="0"/>
              <w:autoSpaceDN w:val="0"/>
              <w:adjustRightInd w:val="0"/>
              <w:spacing w:before="100" w:beforeAutospacing="1" w:after="100" w:afterAutospacing="1"/>
              <w:rPr>
                <w:rFonts w:cs="Arial"/>
                <w:sz w:val="20"/>
                <w:szCs w:val="20"/>
              </w:rPr>
            </w:pPr>
            <w:proofErr w:type="spellStart"/>
            <w:r w:rsidRPr="007528E0">
              <w:rPr>
                <w:rFonts w:cs="Arial"/>
                <w:sz w:val="20"/>
                <w:szCs w:val="20"/>
              </w:rPr>
              <w:t>Odorizante</w:t>
            </w:r>
            <w:proofErr w:type="spellEnd"/>
            <w:r w:rsidRPr="007528E0">
              <w:rPr>
                <w:rFonts w:cs="Arial"/>
                <w:sz w:val="20"/>
                <w:szCs w:val="20"/>
              </w:rPr>
              <w:t>, repelente</w:t>
            </w:r>
          </w:p>
        </w:tc>
        <w:tc>
          <w:tcPr>
            <w:tcW w:w="1715" w:type="dxa"/>
          </w:tcPr>
          <w:p w14:paraId="61912CEC" w14:textId="77777777" w:rsidR="0037398A" w:rsidRPr="007528E0" w:rsidRDefault="0037398A" w:rsidP="007528E0">
            <w:pPr>
              <w:autoSpaceDE w:val="0"/>
              <w:autoSpaceDN w:val="0"/>
              <w:adjustRightInd w:val="0"/>
              <w:spacing w:before="100" w:beforeAutospacing="1" w:after="100" w:afterAutospacing="1"/>
              <w:rPr>
                <w:rFonts w:cs="Arial"/>
                <w:sz w:val="20"/>
                <w:szCs w:val="20"/>
              </w:rPr>
            </w:pPr>
            <w:r w:rsidRPr="007528E0">
              <w:rPr>
                <w:rFonts w:cs="Arial"/>
                <w:sz w:val="20"/>
                <w:szCs w:val="20"/>
              </w:rPr>
              <w:t>Corrosivos</w:t>
            </w:r>
          </w:p>
        </w:tc>
      </w:tr>
      <w:tr w:rsidR="007528E0" w:rsidRPr="007528E0" w14:paraId="56E4D182" w14:textId="77777777" w:rsidTr="007528E0">
        <w:trPr>
          <w:trHeight w:val="121"/>
        </w:trPr>
        <w:tc>
          <w:tcPr>
            <w:tcW w:w="1512" w:type="dxa"/>
            <w:vMerge/>
          </w:tcPr>
          <w:p w14:paraId="417072C1" w14:textId="77777777" w:rsidR="0037398A" w:rsidRPr="007528E0" w:rsidRDefault="0037398A" w:rsidP="007528E0">
            <w:pPr>
              <w:autoSpaceDE w:val="0"/>
              <w:autoSpaceDN w:val="0"/>
              <w:adjustRightInd w:val="0"/>
              <w:spacing w:before="100" w:beforeAutospacing="1" w:after="100" w:afterAutospacing="1"/>
              <w:rPr>
                <w:rFonts w:cs="Arial"/>
                <w:sz w:val="20"/>
                <w:szCs w:val="20"/>
              </w:rPr>
            </w:pPr>
          </w:p>
        </w:tc>
        <w:tc>
          <w:tcPr>
            <w:tcW w:w="2629" w:type="dxa"/>
          </w:tcPr>
          <w:p w14:paraId="11EF2D09" w14:textId="77777777" w:rsidR="0037398A" w:rsidRPr="007528E0" w:rsidRDefault="0037398A" w:rsidP="007528E0">
            <w:pPr>
              <w:autoSpaceDE w:val="0"/>
              <w:autoSpaceDN w:val="0"/>
              <w:adjustRightInd w:val="0"/>
              <w:spacing w:before="100" w:beforeAutospacing="1" w:after="100" w:afterAutospacing="1"/>
              <w:rPr>
                <w:rFonts w:cs="Arial"/>
                <w:sz w:val="20"/>
                <w:szCs w:val="20"/>
              </w:rPr>
            </w:pPr>
            <w:r w:rsidRPr="007528E0">
              <w:rPr>
                <w:rFonts w:cs="Arial"/>
                <w:sz w:val="20"/>
                <w:szCs w:val="20"/>
              </w:rPr>
              <w:t>Creolina.</w:t>
            </w:r>
          </w:p>
        </w:tc>
        <w:tc>
          <w:tcPr>
            <w:tcW w:w="1559" w:type="dxa"/>
          </w:tcPr>
          <w:p w14:paraId="1F9F5A5C" w14:textId="77777777" w:rsidR="0037398A" w:rsidRPr="007528E0" w:rsidRDefault="0037398A" w:rsidP="007528E0">
            <w:pPr>
              <w:autoSpaceDE w:val="0"/>
              <w:autoSpaceDN w:val="0"/>
              <w:adjustRightInd w:val="0"/>
              <w:spacing w:before="100" w:beforeAutospacing="1" w:after="100" w:afterAutospacing="1"/>
              <w:rPr>
                <w:rFonts w:cs="Arial"/>
                <w:sz w:val="20"/>
                <w:szCs w:val="20"/>
              </w:rPr>
            </w:pPr>
            <w:r w:rsidRPr="007528E0">
              <w:rPr>
                <w:rFonts w:cs="Arial"/>
                <w:sz w:val="20"/>
                <w:szCs w:val="20"/>
              </w:rPr>
              <w:t xml:space="preserve">Fenoles y </w:t>
            </w:r>
            <w:proofErr w:type="spellStart"/>
            <w:r w:rsidRPr="007528E0">
              <w:rPr>
                <w:rFonts w:cs="Arial"/>
                <w:sz w:val="20"/>
                <w:szCs w:val="20"/>
              </w:rPr>
              <w:t>cresoles</w:t>
            </w:r>
            <w:proofErr w:type="spellEnd"/>
          </w:p>
        </w:tc>
        <w:tc>
          <w:tcPr>
            <w:tcW w:w="1985" w:type="dxa"/>
          </w:tcPr>
          <w:p w14:paraId="3F5A35B7" w14:textId="77777777" w:rsidR="0037398A" w:rsidRPr="007528E0" w:rsidRDefault="0037398A" w:rsidP="007528E0">
            <w:pPr>
              <w:autoSpaceDE w:val="0"/>
              <w:autoSpaceDN w:val="0"/>
              <w:adjustRightInd w:val="0"/>
              <w:spacing w:before="100" w:beforeAutospacing="1" w:after="100" w:afterAutospacing="1"/>
              <w:rPr>
                <w:rFonts w:cs="Arial"/>
                <w:sz w:val="20"/>
                <w:szCs w:val="20"/>
              </w:rPr>
            </w:pPr>
            <w:r w:rsidRPr="007528E0">
              <w:rPr>
                <w:rFonts w:cs="Arial"/>
                <w:sz w:val="20"/>
                <w:szCs w:val="20"/>
              </w:rPr>
              <w:t>Desinfectante</w:t>
            </w:r>
          </w:p>
        </w:tc>
        <w:tc>
          <w:tcPr>
            <w:tcW w:w="1715" w:type="dxa"/>
          </w:tcPr>
          <w:p w14:paraId="02CB9376" w14:textId="77777777" w:rsidR="0037398A" w:rsidRPr="007528E0" w:rsidRDefault="0037398A" w:rsidP="007528E0">
            <w:pPr>
              <w:autoSpaceDE w:val="0"/>
              <w:autoSpaceDN w:val="0"/>
              <w:adjustRightInd w:val="0"/>
              <w:spacing w:before="100" w:beforeAutospacing="1" w:after="100" w:afterAutospacing="1"/>
              <w:rPr>
                <w:rFonts w:cs="Arial"/>
                <w:sz w:val="20"/>
                <w:szCs w:val="20"/>
              </w:rPr>
            </w:pPr>
            <w:r w:rsidRPr="007528E0">
              <w:rPr>
                <w:rFonts w:cs="Arial"/>
                <w:sz w:val="20"/>
                <w:szCs w:val="20"/>
              </w:rPr>
              <w:t>Corrosivos</w:t>
            </w:r>
          </w:p>
        </w:tc>
      </w:tr>
      <w:tr w:rsidR="007528E0" w:rsidRPr="007528E0" w14:paraId="213248F6" w14:textId="77777777" w:rsidTr="007528E0">
        <w:trPr>
          <w:trHeight w:val="121"/>
        </w:trPr>
        <w:tc>
          <w:tcPr>
            <w:tcW w:w="1512" w:type="dxa"/>
            <w:vMerge/>
          </w:tcPr>
          <w:p w14:paraId="2346588C" w14:textId="77777777" w:rsidR="0037398A" w:rsidRPr="007528E0" w:rsidRDefault="0037398A" w:rsidP="007528E0">
            <w:pPr>
              <w:autoSpaceDE w:val="0"/>
              <w:autoSpaceDN w:val="0"/>
              <w:adjustRightInd w:val="0"/>
              <w:spacing w:before="100" w:beforeAutospacing="1" w:after="100" w:afterAutospacing="1"/>
              <w:rPr>
                <w:rFonts w:cs="Arial"/>
                <w:sz w:val="20"/>
                <w:szCs w:val="20"/>
              </w:rPr>
            </w:pPr>
          </w:p>
        </w:tc>
        <w:tc>
          <w:tcPr>
            <w:tcW w:w="2629" w:type="dxa"/>
          </w:tcPr>
          <w:p w14:paraId="5CBFC80D" w14:textId="77777777" w:rsidR="0037398A" w:rsidRPr="007528E0" w:rsidRDefault="0037398A" w:rsidP="007528E0">
            <w:pPr>
              <w:autoSpaceDE w:val="0"/>
              <w:autoSpaceDN w:val="0"/>
              <w:adjustRightInd w:val="0"/>
              <w:spacing w:before="100" w:beforeAutospacing="1" w:after="100" w:afterAutospacing="1"/>
              <w:rPr>
                <w:rFonts w:cs="Arial"/>
                <w:sz w:val="20"/>
                <w:szCs w:val="20"/>
              </w:rPr>
            </w:pPr>
            <w:r w:rsidRPr="007528E0">
              <w:rPr>
                <w:rFonts w:cs="Arial"/>
                <w:sz w:val="20"/>
                <w:szCs w:val="20"/>
              </w:rPr>
              <w:t>Desengrasante.</w:t>
            </w:r>
          </w:p>
        </w:tc>
        <w:tc>
          <w:tcPr>
            <w:tcW w:w="1559" w:type="dxa"/>
          </w:tcPr>
          <w:p w14:paraId="446A88B8" w14:textId="77777777" w:rsidR="0037398A" w:rsidRPr="007528E0" w:rsidRDefault="0037398A" w:rsidP="007528E0">
            <w:pPr>
              <w:autoSpaceDE w:val="0"/>
              <w:autoSpaceDN w:val="0"/>
              <w:adjustRightInd w:val="0"/>
              <w:spacing w:before="100" w:beforeAutospacing="1" w:after="100" w:afterAutospacing="1"/>
              <w:rPr>
                <w:rFonts w:cs="Arial"/>
                <w:sz w:val="20"/>
                <w:szCs w:val="20"/>
              </w:rPr>
            </w:pPr>
            <w:r w:rsidRPr="007528E0">
              <w:rPr>
                <w:rFonts w:cs="Arial"/>
                <w:sz w:val="20"/>
                <w:szCs w:val="20"/>
              </w:rPr>
              <w:t>Alcalinos a base de agua o a base de solventes</w:t>
            </w:r>
          </w:p>
        </w:tc>
        <w:tc>
          <w:tcPr>
            <w:tcW w:w="1985" w:type="dxa"/>
          </w:tcPr>
          <w:p w14:paraId="460BC732" w14:textId="77777777" w:rsidR="0037398A" w:rsidRPr="007528E0" w:rsidRDefault="0037398A" w:rsidP="007528E0">
            <w:pPr>
              <w:autoSpaceDE w:val="0"/>
              <w:autoSpaceDN w:val="0"/>
              <w:adjustRightInd w:val="0"/>
              <w:spacing w:before="100" w:beforeAutospacing="1" w:after="100" w:afterAutospacing="1"/>
              <w:rPr>
                <w:rFonts w:cs="Arial"/>
                <w:sz w:val="20"/>
                <w:szCs w:val="20"/>
              </w:rPr>
            </w:pPr>
            <w:r w:rsidRPr="007528E0">
              <w:rPr>
                <w:rFonts w:cs="Arial"/>
                <w:sz w:val="20"/>
                <w:szCs w:val="20"/>
              </w:rPr>
              <w:t>Desengrasante, quitamanchas</w:t>
            </w:r>
          </w:p>
        </w:tc>
        <w:tc>
          <w:tcPr>
            <w:tcW w:w="1715" w:type="dxa"/>
          </w:tcPr>
          <w:p w14:paraId="4CE5A686" w14:textId="77777777" w:rsidR="0037398A" w:rsidRPr="007528E0" w:rsidRDefault="0037398A" w:rsidP="007528E0">
            <w:pPr>
              <w:autoSpaceDE w:val="0"/>
              <w:autoSpaceDN w:val="0"/>
              <w:adjustRightInd w:val="0"/>
              <w:spacing w:before="100" w:beforeAutospacing="1" w:after="100" w:afterAutospacing="1"/>
              <w:rPr>
                <w:rFonts w:cs="Arial"/>
                <w:sz w:val="20"/>
                <w:szCs w:val="20"/>
              </w:rPr>
            </w:pPr>
            <w:r w:rsidRPr="007528E0">
              <w:rPr>
                <w:rFonts w:cs="Arial"/>
                <w:sz w:val="20"/>
                <w:szCs w:val="20"/>
              </w:rPr>
              <w:t>Corrosivos</w:t>
            </w:r>
          </w:p>
        </w:tc>
      </w:tr>
      <w:tr w:rsidR="007528E0" w:rsidRPr="007528E0" w14:paraId="77777ABE" w14:textId="77777777" w:rsidTr="007528E0">
        <w:trPr>
          <w:trHeight w:val="121"/>
        </w:trPr>
        <w:tc>
          <w:tcPr>
            <w:tcW w:w="1512" w:type="dxa"/>
            <w:vMerge/>
          </w:tcPr>
          <w:p w14:paraId="2125B686" w14:textId="77777777" w:rsidR="0037398A" w:rsidRPr="007528E0" w:rsidRDefault="0037398A" w:rsidP="007528E0">
            <w:pPr>
              <w:autoSpaceDE w:val="0"/>
              <w:autoSpaceDN w:val="0"/>
              <w:adjustRightInd w:val="0"/>
              <w:spacing w:before="100" w:beforeAutospacing="1" w:after="100" w:afterAutospacing="1"/>
              <w:rPr>
                <w:rFonts w:cs="Arial"/>
                <w:sz w:val="20"/>
                <w:szCs w:val="20"/>
              </w:rPr>
            </w:pPr>
          </w:p>
        </w:tc>
        <w:tc>
          <w:tcPr>
            <w:tcW w:w="2629" w:type="dxa"/>
          </w:tcPr>
          <w:p w14:paraId="3ED7EC26" w14:textId="77777777" w:rsidR="0037398A" w:rsidRPr="007528E0" w:rsidRDefault="0037398A" w:rsidP="007528E0">
            <w:pPr>
              <w:autoSpaceDE w:val="0"/>
              <w:autoSpaceDN w:val="0"/>
              <w:adjustRightInd w:val="0"/>
              <w:spacing w:before="100" w:beforeAutospacing="1" w:after="100" w:afterAutospacing="1"/>
              <w:rPr>
                <w:rFonts w:cs="Arial"/>
                <w:sz w:val="20"/>
                <w:szCs w:val="20"/>
              </w:rPr>
            </w:pPr>
            <w:r w:rsidRPr="007528E0">
              <w:rPr>
                <w:rFonts w:cs="Arial"/>
                <w:sz w:val="20"/>
                <w:szCs w:val="20"/>
              </w:rPr>
              <w:t>Detergente.</w:t>
            </w:r>
          </w:p>
        </w:tc>
        <w:tc>
          <w:tcPr>
            <w:tcW w:w="1559" w:type="dxa"/>
          </w:tcPr>
          <w:p w14:paraId="7C8B53DB" w14:textId="77777777" w:rsidR="0037398A" w:rsidRPr="007528E0" w:rsidRDefault="0037398A" w:rsidP="007528E0">
            <w:pPr>
              <w:autoSpaceDE w:val="0"/>
              <w:autoSpaceDN w:val="0"/>
              <w:adjustRightInd w:val="0"/>
              <w:spacing w:before="100" w:beforeAutospacing="1" w:after="100" w:afterAutospacing="1"/>
              <w:rPr>
                <w:rFonts w:cs="Arial"/>
                <w:sz w:val="20"/>
                <w:szCs w:val="20"/>
              </w:rPr>
            </w:pPr>
            <w:r w:rsidRPr="007528E0">
              <w:rPr>
                <w:rFonts w:cs="Arial"/>
                <w:sz w:val="20"/>
                <w:szCs w:val="20"/>
              </w:rPr>
              <w:t>Fosfatos, blanqueadores</w:t>
            </w:r>
          </w:p>
        </w:tc>
        <w:tc>
          <w:tcPr>
            <w:tcW w:w="1985" w:type="dxa"/>
          </w:tcPr>
          <w:p w14:paraId="081CE189" w14:textId="77777777" w:rsidR="0037398A" w:rsidRPr="007528E0" w:rsidRDefault="0037398A" w:rsidP="007528E0">
            <w:pPr>
              <w:autoSpaceDE w:val="0"/>
              <w:autoSpaceDN w:val="0"/>
              <w:adjustRightInd w:val="0"/>
              <w:spacing w:before="100" w:beforeAutospacing="1" w:after="100" w:afterAutospacing="1"/>
              <w:rPr>
                <w:rFonts w:cs="Arial"/>
                <w:sz w:val="20"/>
                <w:szCs w:val="20"/>
              </w:rPr>
            </w:pPr>
            <w:r w:rsidRPr="007528E0">
              <w:rPr>
                <w:rFonts w:cs="Arial"/>
                <w:sz w:val="20"/>
                <w:szCs w:val="20"/>
              </w:rPr>
              <w:t xml:space="preserve">Limpieza de ropa </w:t>
            </w:r>
          </w:p>
        </w:tc>
        <w:tc>
          <w:tcPr>
            <w:tcW w:w="1715" w:type="dxa"/>
          </w:tcPr>
          <w:p w14:paraId="57050AAD" w14:textId="77777777" w:rsidR="0037398A" w:rsidRPr="007528E0" w:rsidRDefault="0037398A" w:rsidP="007528E0">
            <w:pPr>
              <w:autoSpaceDE w:val="0"/>
              <w:autoSpaceDN w:val="0"/>
              <w:adjustRightInd w:val="0"/>
              <w:spacing w:before="100" w:beforeAutospacing="1" w:after="100" w:afterAutospacing="1"/>
              <w:rPr>
                <w:rFonts w:cs="Arial"/>
                <w:sz w:val="20"/>
                <w:szCs w:val="20"/>
              </w:rPr>
            </w:pPr>
            <w:r w:rsidRPr="007528E0">
              <w:rPr>
                <w:rFonts w:cs="Arial"/>
                <w:sz w:val="20"/>
                <w:szCs w:val="20"/>
              </w:rPr>
              <w:t>Corrosivos</w:t>
            </w:r>
          </w:p>
        </w:tc>
      </w:tr>
      <w:tr w:rsidR="007528E0" w:rsidRPr="007528E0" w14:paraId="6424FE06" w14:textId="77777777" w:rsidTr="007528E0">
        <w:trPr>
          <w:trHeight w:val="121"/>
        </w:trPr>
        <w:tc>
          <w:tcPr>
            <w:tcW w:w="1512" w:type="dxa"/>
          </w:tcPr>
          <w:p w14:paraId="3DACBA71" w14:textId="77777777" w:rsidR="0037398A" w:rsidRPr="007528E0" w:rsidRDefault="0037398A" w:rsidP="007528E0">
            <w:pPr>
              <w:autoSpaceDE w:val="0"/>
              <w:autoSpaceDN w:val="0"/>
              <w:adjustRightInd w:val="0"/>
              <w:spacing w:before="100" w:beforeAutospacing="1" w:after="100" w:afterAutospacing="1"/>
              <w:rPr>
                <w:rFonts w:cs="Arial"/>
                <w:sz w:val="20"/>
                <w:szCs w:val="20"/>
              </w:rPr>
            </w:pPr>
            <w:r w:rsidRPr="007528E0">
              <w:rPr>
                <w:rFonts w:cs="Arial"/>
                <w:sz w:val="20"/>
                <w:szCs w:val="20"/>
              </w:rPr>
              <w:t>Pegantes</w:t>
            </w:r>
          </w:p>
        </w:tc>
        <w:tc>
          <w:tcPr>
            <w:tcW w:w="2629" w:type="dxa"/>
          </w:tcPr>
          <w:p w14:paraId="26795ECA" w14:textId="77777777" w:rsidR="0037398A" w:rsidRPr="007528E0" w:rsidRDefault="0037398A" w:rsidP="007528E0">
            <w:pPr>
              <w:autoSpaceDE w:val="0"/>
              <w:autoSpaceDN w:val="0"/>
              <w:adjustRightInd w:val="0"/>
              <w:spacing w:before="100" w:beforeAutospacing="1" w:after="100" w:afterAutospacing="1"/>
              <w:rPr>
                <w:rFonts w:cs="Arial"/>
                <w:sz w:val="20"/>
                <w:szCs w:val="20"/>
              </w:rPr>
            </w:pPr>
            <w:r w:rsidRPr="007528E0">
              <w:rPr>
                <w:rFonts w:cs="Arial"/>
                <w:sz w:val="20"/>
                <w:szCs w:val="20"/>
              </w:rPr>
              <w:t>Bóxer.</w:t>
            </w:r>
          </w:p>
        </w:tc>
        <w:tc>
          <w:tcPr>
            <w:tcW w:w="1559" w:type="dxa"/>
          </w:tcPr>
          <w:p w14:paraId="193627C7" w14:textId="77777777" w:rsidR="0037398A" w:rsidRPr="007528E0" w:rsidRDefault="0037398A" w:rsidP="007528E0">
            <w:pPr>
              <w:autoSpaceDE w:val="0"/>
              <w:autoSpaceDN w:val="0"/>
              <w:adjustRightInd w:val="0"/>
              <w:spacing w:before="100" w:beforeAutospacing="1" w:after="100" w:afterAutospacing="1"/>
              <w:rPr>
                <w:rFonts w:cs="Arial"/>
                <w:sz w:val="20"/>
                <w:szCs w:val="20"/>
              </w:rPr>
            </w:pPr>
            <w:r w:rsidRPr="007528E0">
              <w:rPr>
                <w:rFonts w:cs="Arial"/>
                <w:sz w:val="20"/>
                <w:szCs w:val="20"/>
              </w:rPr>
              <w:t>Tolueno</w:t>
            </w:r>
          </w:p>
        </w:tc>
        <w:tc>
          <w:tcPr>
            <w:tcW w:w="1985" w:type="dxa"/>
          </w:tcPr>
          <w:p w14:paraId="4DA0C034" w14:textId="77777777" w:rsidR="0037398A" w:rsidRPr="007528E0" w:rsidRDefault="0037398A" w:rsidP="007528E0">
            <w:pPr>
              <w:autoSpaceDE w:val="0"/>
              <w:autoSpaceDN w:val="0"/>
              <w:adjustRightInd w:val="0"/>
              <w:spacing w:before="100" w:beforeAutospacing="1" w:after="100" w:afterAutospacing="1"/>
              <w:rPr>
                <w:rFonts w:cs="Arial"/>
                <w:sz w:val="20"/>
                <w:szCs w:val="20"/>
              </w:rPr>
            </w:pPr>
            <w:r w:rsidRPr="007528E0">
              <w:rPr>
                <w:rFonts w:cs="Arial"/>
                <w:sz w:val="20"/>
                <w:szCs w:val="20"/>
              </w:rPr>
              <w:t>Adherir</w:t>
            </w:r>
          </w:p>
        </w:tc>
        <w:tc>
          <w:tcPr>
            <w:tcW w:w="1715" w:type="dxa"/>
          </w:tcPr>
          <w:p w14:paraId="2AFA6C99" w14:textId="77777777" w:rsidR="0037398A" w:rsidRPr="007528E0" w:rsidRDefault="0037398A" w:rsidP="007528E0">
            <w:pPr>
              <w:autoSpaceDE w:val="0"/>
              <w:autoSpaceDN w:val="0"/>
              <w:adjustRightInd w:val="0"/>
              <w:spacing w:before="100" w:beforeAutospacing="1" w:after="100" w:afterAutospacing="1"/>
              <w:rPr>
                <w:rFonts w:cs="Arial"/>
                <w:sz w:val="20"/>
                <w:szCs w:val="20"/>
              </w:rPr>
            </w:pPr>
            <w:r w:rsidRPr="007528E0">
              <w:rPr>
                <w:rFonts w:cs="Arial"/>
                <w:sz w:val="20"/>
                <w:szCs w:val="20"/>
              </w:rPr>
              <w:t>Tóxicos</w:t>
            </w:r>
          </w:p>
        </w:tc>
      </w:tr>
      <w:tr w:rsidR="007528E0" w:rsidRPr="007528E0" w14:paraId="3110CCC4" w14:textId="77777777" w:rsidTr="007528E0">
        <w:trPr>
          <w:trHeight w:val="534"/>
        </w:trPr>
        <w:tc>
          <w:tcPr>
            <w:tcW w:w="1512" w:type="dxa"/>
          </w:tcPr>
          <w:p w14:paraId="7A322137" w14:textId="77777777" w:rsidR="0037398A" w:rsidRPr="007528E0" w:rsidRDefault="0037398A" w:rsidP="007528E0">
            <w:pPr>
              <w:autoSpaceDE w:val="0"/>
              <w:autoSpaceDN w:val="0"/>
              <w:adjustRightInd w:val="0"/>
              <w:spacing w:before="100" w:beforeAutospacing="1" w:after="100" w:afterAutospacing="1"/>
              <w:rPr>
                <w:rFonts w:cs="Arial"/>
                <w:sz w:val="20"/>
                <w:szCs w:val="20"/>
              </w:rPr>
            </w:pPr>
            <w:r w:rsidRPr="007528E0">
              <w:rPr>
                <w:rFonts w:cs="Arial"/>
                <w:sz w:val="20"/>
                <w:szCs w:val="20"/>
              </w:rPr>
              <w:t>Plantas y hongos tóxicos</w:t>
            </w:r>
          </w:p>
        </w:tc>
        <w:tc>
          <w:tcPr>
            <w:tcW w:w="2629" w:type="dxa"/>
          </w:tcPr>
          <w:p w14:paraId="7031308A" w14:textId="77777777" w:rsidR="0037398A" w:rsidRPr="007528E0" w:rsidRDefault="0037398A" w:rsidP="007528E0">
            <w:pPr>
              <w:autoSpaceDE w:val="0"/>
              <w:autoSpaceDN w:val="0"/>
              <w:adjustRightInd w:val="0"/>
              <w:spacing w:before="100" w:beforeAutospacing="1" w:after="100" w:afterAutospacing="1"/>
              <w:rPr>
                <w:rFonts w:cs="Arial"/>
                <w:sz w:val="20"/>
                <w:szCs w:val="20"/>
              </w:rPr>
            </w:pPr>
            <w:r w:rsidRPr="007528E0">
              <w:rPr>
                <w:rFonts w:cs="Arial"/>
                <w:sz w:val="20"/>
                <w:szCs w:val="20"/>
              </w:rPr>
              <w:t xml:space="preserve">Cuerno de </w:t>
            </w:r>
            <w:proofErr w:type="spellStart"/>
            <w:proofErr w:type="gramStart"/>
            <w:r w:rsidRPr="007528E0">
              <w:rPr>
                <w:rFonts w:cs="Arial"/>
                <w:sz w:val="20"/>
                <w:szCs w:val="20"/>
              </w:rPr>
              <w:t>ciervo,guanto</w:t>
            </w:r>
            <w:proofErr w:type="gramEnd"/>
            <w:r w:rsidRPr="007528E0">
              <w:rPr>
                <w:rFonts w:cs="Arial"/>
                <w:sz w:val="20"/>
                <w:szCs w:val="20"/>
              </w:rPr>
              <w:t>,piñon,semillas</w:t>
            </w:r>
            <w:proofErr w:type="spellEnd"/>
            <w:r w:rsidRPr="007528E0">
              <w:rPr>
                <w:rFonts w:cs="Arial"/>
                <w:sz w:val="20"/>
                <w:szCs w:val="20"/>
              </w:rPr>
              <w:t xml:space="preserve"> de cabalonga, setas, barbasco y </w:t>
            </w:r>
            <w:proofErr w:type="spellStart"/>
            <w:r w:rsidRPr="007528E0">
              <w:rPr>
                <w:rFonts w:cs="Arial"/>
                <w:sz w:val="20"/>
                <w:szCs w:val="20"/>
              </w:rPr>
              <w:t>sancia</w:t>
            </w:r>
            <w:proofErr w:type="spellEnd"/>
            <w:r w:rsidRPr="007528E0">
              <w:rPr>
                <w:rFonts w:cs="Arial"/>
                <w:sz w:val="20"/>
                <w:szCs w:val="20"/>
              </w:rPr>
              <w:t>.</w:t>
            </w:r>
          </w:p>
        </w:tc>
        <w:tc>
          <w:tcPr>
            <w:tcW w:w="1559" w:type="dxa"/>
          </w:tcPr>
          <w:p w14:paraId="2A201E30" w14:textId="77777777" w:rsidR="0037398A" w:rsidRPr="007528E0" w:rsidRDefault="0037398A" w:rsidP="007528E0">
            <w:pPr>
              <w:autoSpaceDE w:val="0"/>
              <w:autoSpaceDN w:val="0"/>
              <w:adjustRightInd w:val="0"/>
              <w:spacing w:before="100" w:beforeAutospacing="1" w:after="100" w:afterAutospacing="1"/>
              <w:rPr>
                <w:rFonts w:cs="Arial"/>
                <w:sz w:val="20"/>
                <w:szCs w:val="20"/>
              </w:rPr>
            </w:pPr>
            <w:r w:rsidRPr="007528E0">
              <w:rPr>
                <w:rFonts w:cs="Arial"/>
                <w:sz w:val="20"/>
                <w:szCs w:val="20"/>
              </w:rPr>
              <w:t>Varios</w:t>
            </w:r>
          </w:p>
        </w:tc>
        <w:tc>
          <w:tcPr>
            <w:tcW w:w="1985" w:type="dxa"/>
          </w:tcPr>
          <w:p w14:paraId="2D32DB40" w14:textId="77777777" w:rsidR="0037398A" w:rsidRPr="007528E0" w:rsidRDefault="0037398A" w:rsidP="007528E0">
            <w:pPr>
              <w:autoSpaceDE w:val="0"/>
              <w:autoSpaceDN w:val="0"/>
              <w:adjustRightInd w:val="0"/>
              <w:spacing w:before="100" w:beforeAutospacing="1" w:after="100" w:afterAutospacing="1"/>
              <w:rPr>
                <w:rFonts w:cs="Arial"/>
                <w:sz w:val="20"/>
                <w:szCs w:val="20"/>
              </w:rPr>
            </w:pPr>
            <w:r w:rsidRPr="007528E0">
              <w:rPr>
                <w:rFonts w:cs="Arial"/>
                <w:sz w:val="20"/>
                <w:szCs w:val="20"/>
              </w:rPr>
              <w:t>Recreativo, medicinal. Desconocido</w:t>
            </w:r>
          </w:p>
        </w:tc>
        <w:tc>
          <w:tcPr>
            <w:tcW w:w="1715" w:type="dxa"/>
          </w:tcPr>
          <w:p w14:paraId="1311E87D" w14:textId="77777777" w:rsidR="0037398A" w:rsidRPr="007528E0" w:rsidRDefault="0037398A" w:rsidP="007528E0">
            <w:pPr>
              <w:autoSpaceDE w:val="0"/>
              <w:autoSpaceDN w:val="0"/>
              <w:adjustRightInd w:val="0"/>
              <w:spacing w:before="100" w:beforeAutospacing="1" w:after="100" w:afterAutospacing="1"/>
              <w:rPr>
                <w:rFonts w:cs="Arial"/>
                <w:sz w:val="20"/>
                <w:szCs w:val="20"/>
              </w:rPr>
            </w:pPr>
            <w:r w:rsidRPr="007528E0">
              <w:rPr>
                <w:rFonts w:cs="Arial"/>
                <w:sz w:val="20"/>
                <w:szCs w:val="20"/>
              </w:rPr>
              <w:t>Tóxicos</w:t>
            </w:r>
          </w:p>
        </w:tc>
      </w:tr>
    </w:tbl>
    <w:p w14:paraId="6C8C4E5F" w14:textId="77777777" w:rsidR="0037398A" w:rsidRPr="007528E0" w:rsidRDefault="0037398A" w:rsidP="0037398A">
      <w:pPr>
        <w:spacing w:before="100" w:beforeAutospacing="1" w:after="100" w:afterAutospacing="1"/>
        <w:jc w:val="center"/>
        <w:rPr>
          <w:rFonts w:eastAsia="Arial" w:cs="Arial"/>
          <w:sz w:val="16"/>
          <w:szCs w:val="16"/>
          <w:lang w:val="es-CO" w:eastAsia="es-CO"/>
        </w:rPr>
      </w:pPr>
      <w:r w:rsidRPr="007528E0">
        <w:rPr>
          <w:rFonts w:eastAsia="Arial" w:cs="Arial"/>
          <w:sz w:val="16"/>
          <w:szCs w:val="16"/>
          <w:lang w:val="es-CO" w:eastAsia="es-CO"/>
        </w:rPr>
        <w:t xml:space="preserve">Fuente: </w:t>
      </w:r>
      <w:r w:rsidRPr="007528E0">
        <w:rPr>
          <w:rFonts w:eastAsia="Arial" w:cs="Arial"/>
          <w:sz w:val="16"/>
          <w:szCs w:val="16"/>
          <w:lang w:val="es-CO" w:eastAsia="es-CO"/>
        </w:rPr>
        <w:fldChar w:fldCharType="begin" w:fldLock="1"/>
      </w:r>
      <w:r w:rsidRPr="007528E0">
        <w:rPr>
          <w:rFonts w:eastAsia="Arial" w:cs="Arial"/>
          <w:sz w:val="16"/>
          <w:szCs w:val="16"/>
          <w:lang w:val="es-CO" w:eastAsia="es-CO"/>
        </w:rPr>
        <w:instrText>ADDIN CSL_CITATION { "citationItems" : [ { "id" : "ITEM-1", "itemData" : { "URL" : "https://www.minsalud.gov.co/sites/rid/Lists/BibliotecaDigital/RIDE/DE/GT/Guia-manejo-urgencias-toxicologicas.pdf", "accessed" : { "date-parts" : [ [ "2017", "6", "5" ] ] }, "author" : [ { "dropping-particle" : "", "family" : "Ministerio de Salud y Protecci\u00f3n Social, Universidad Nacional de Colombia", "given" : "Centro De Informaci\u00f3n y Asesor\u00eda Toxicol\u00f3gica", "non-dropping-particle" : "", "parse-names" : false, "suffix" : "" } ], "id" : "ITEM-1", "issued" : { "date-parts" : [ [ "2008" ] ] }, "title" : "Gu\u00edas para el manejo de Urgencias Toxicol\u00f3gicas", "type" : "webpage" }, "uris" : [ "http://www.mendeley.com/documents/?uuid=09dd0fe0-84fe-47ec-b68a-9d78ff833790" ] } ], "mendeley" : { "formattedCitation" : "(14)", "plainTextFormattedCitation" : "(14)", "previouslyFormattedCitation" : "(14)" }, "properties" : { "noteIndex" : 0 }, "schema" : "https://github.com/citation-style-language/schema/raw/master/csl-citation.json" }</w:instrText>
      </w:r>
      <w:r w:rsidRPr="007528E0">
        <w:rPr>
          <w:rFonts w:eastAsia="Arial" w:cs="Arial"/>
          <w:sz w:val="16"/>
          <w:szCs w:val="16"/>
          <w:lang w:val="es-CO" w:eastAsia="es-CO"/>
        </w:rPr>
        <w:fldChar w:fldCharType="separate"/>
      </w:r>
      <w:r w:rsidRPr="007528E0">
        <w:rPr>
          <w:rFonts w:eastAsia="Arial" w:cs="Arial"/>
          <w:noProof/>
          <w:sz w:val="16"/>
          <w:szCs w:val="16"/>
          <w:lang w:val="es-CO" w:eastAsia="es-CO"/>
        </w:rPr>
        <w:t>(14)</w:t>
      </w:r>
      <w:r w:rsidRPr="007528E0">
        <w:rPr>
          <w:rFonts w:eastAsia="Arial" w:cs="Arial"/>
          <w:sz w:val="16"/>
          <w:szCs w:val="16"/>
          <w:lang w:val="es-CO" w:eastAsia="es-CO"/>
        </w:rPr>
        <w:fldChar w:fldCharType="end"/>
      </w:r>
      <w:r w:rsidRPr="007528E0">
        <w:rPr>
          <w:rFonts w:eastAsia="Arial" w:cs="Arial"/>
          <w:sz w:val="16"/>
          <w:szCs w:val="16"/>
          <w:lang w:val="es-CO" w:eastAsia="es-CO"/>
        </w:rPr>
        <w:fldChar w:fldCharType="begin" w:fldLock="1"/>
      </w:r>
      <w:r w:rsidRPr="007528E0">
        <w:rPr>
          <w:rFonts w:eastAsia="Arial" w:cs="Arial"/>
          <w:sz w:val="16"/>
          <w:szCs w:val="16"/>
          <w:lang w:val="es-CO" w:eastAsia="es-CO"/>
        </w:rPr>
        <w:instrText>ADDIN CSL_CITATION { "citationItems" : [ { "id" : "ITEM-1", "itemData" : { "author" : [ { "dropping-particle" : "", "family" : "Mc Graw-Hill. Olson K.", "given" : "", "non-dropping-particle" : "", "parse-names" : false, "suffix" : "" } ], "edition" : "Quinta Edi", "id" : "ITEM-1", "issued" : { "date-parts" : [ [ "2006" ] ] }, "title" : "Poisoning &amp; Drug Overdose", "type" : "book" }, "uris" : [ "http://www.mendeley.com/documents/?uuid=118b95c9-6e46-4361-8d56-df533571c246" ] } ], "mendeley" : { "formattedCitation" : "(25)", "plainTextFormattedCitation" : "(25)", "previouslyFormattedCitation" : "(25)" }, "properties" : { "noteIndex" : 0 }, "schema" : "https://github.com/citation-style-language/schema/raw/master/csl-citation.json" }</w:instrText>
      </w:r>
      <w:r w:rsidRPr="007528E0">
        <w:rPr>
          <w:rFonts w:eastAsia="Arial" w:cs="Arial"/>
          <w:sz w:val="16"/>
          <w:szCs w:val="16"/>
          <w:lang w:val="es-CO" w:eastAsia="es-CO"/>
        </w:rPr>
        <w:fldChar w:fldCharType="separate"/>
      </w:r>
      <w:r w:rsidRPr="007528E0">
        <w:rPr>
          <w:rFonts w:eastAsia="Arial" w:cs="Arial"/>
          <w:noProof/>
          <w:sz w:val="16"/>
          <w:szCs w:val="16"/>
          <w:lang w:val="es-CO" w:eastAsia="es-CO"/>
        </w:rPr>
        <w:t>(25)</w:t>
      </w:r>
      <w:r w:rsidRPr="007528E0">
        <w:rPr>
          <w:rFonts w:eastAsia="Arial" w:cs="Arial"/>
          <w:sz w:val="16"/>
          <w:szCs w:val="16"/>
          <w:lang w:val="es-CO" w:eastAsia="es-CO"/>
        </w:rPr>
        <w:fldChar w:fldCharType="end"/>
      </w:r>
      <w:r w:rsidRPr="007528E0">
        <w:rPr>
          <w:rFonts w:eastAsia="Arial" w:cs="Arial"/>
          <w:sz w:val="16"/>
          <w:szCs w:val="16"/>
          <w:lang w:val="es-CO" w:eastAsia="es-CO"/>
        </w:rPr>
        <w:fldChar w:fldCharType="begin" w:fldLock="1"/>
      </w:r>
      <w:r w:rsidRPr="007528E0">
        <w:rPr>
          <w:rFonts w:eastAsia="Arial" w:cs="Arial"/>
          <w:sz w:val="16"/>
          <w:szCs w:val="16"/>
          <w:lang w:val="es-CO" w:eastAsia="es-CO"/>
        </w:rPr>
        <w:instrText>ADDIN CSL_CITATION { "citationItems" : [ { "id" : "ITEM-1", "itemData" : { "author" : [ { "dropping-particle" : "", "family" : "Shannon, M.W., S.W. Borron", "given" : "and M.J. Burns", "non-dropping-particle" : "", "parse-names" : false, "suffix" : "" } ], "container-title" : "Saunders Elsevier", "id" : "ITEM-1", "issue" : "1521", "issued" : { "date-parts" : [ [ "2007" ] ] }, "title" : "Haddad and Winchester's clinical management of poisoning and drug overdose, ed. t.", "type" : "article-journal", "volume" : "1" }, "uris" : [ "http://www.mendeley.com/documents/?uuid=b7fcb41b-436e-46b0-8781-cbe88cae55fd" ] } ], "mendeley" : { "formattedCitation" : "(27)", "plainTextFormattedCitation" : "(27)", "previouslyFormattedCitation" : "(27)" }, "properties" : { "noteIndex" : 0 }, "schema" : "https://github.com/citation-style-language/schema/raw/master/csl-citation.json" }</w:instrText>
      </w:r>
      <w:r w:rsidRPr="007528E0">
        <w:rPr>
          <w:rFonts w:eastAsia="Arial" w:cs="Arial"/>
          <w:sz w:val="16"/>
          <w:szCs w:val="16"/>
          <w:lang w:val="es-CO" w:eastAsia="es-CO"/>
        </w:rPr>
        <w:fldChar w:fldCharType="separate"/>
      </w:r>
      <w:r w:rsidRPr="007528E0">
        <w:rPr>
          <w:rFonts w:eastAsia="Arial" w:cs="Arial"/>
          <w:noProof/>
          <w:sz w:val="16"/>
          <w:szCs w:val="16"/>
          <w:lang w:val="es-CO" w:eastAsia="es-CO"/>
        </w:rPr>
        <w:t>(27)</w:t>
      </w:r>
      <w:r w:rsidRPr="007528E0">
        <w:rPr>
          <w:rFonts w:eastAsia="Arial" w:cs="Arial"/>
          <w:sz w:val="16"/>
          <w:szCs w:val="16"/>
          <w:lang w:val="es-CO" w:eastAsia="es-CO"/>
        </w:rPr>
        <w:fldChar w:fldCharType="end"/>
      </w:r>
      <w:r w:rsidRPr="007528E0">
        <w:rPr>
          <w:rFonts w:eastAsia="Arial" w:cs="Arial"/>
          <w:sz w:val="16"/>
          <w:szCs w:val="16"/>
          <w:lang w:val="es-CO" w:eastAsia="es-CO"/>
        </w:rPr>
        <w:t xml:space="preserve"> </w:t>
      </w:r>
    </w:p>
    <w:p w14:paraId="5DA7842D" w14:textId="77777777" w:rsidR="0037398A" w:rsidRPr="007528E0" w:rsidRDefault="0037398A" w:rsidP="0037398A">
      <w:pPr>
        <w:pStyle w:val="Prrafodelista"/>
        <w:spacing w:before="100" w:beforeAutospacing="1" w:after="100" w:afterAutospacing="1" w:line="240" w:lineRule="auto"/>
        <w:ind w:left="0"/>
        <w:rPr>
          <w:rFonts w:cs="Arial"/>
          <w:b/>
          <w:szCs w:val="22"/>
        </w:rPr>
      </w:pPr>
      <w:r w:rsidRPr="007528E0">
        <w:rPr>
          <w:rFonts w:cs="Arial"/>
          <w:b/>
          <w:szCs w:val="22"/>
        </w:rPr>
        <w:lastRenderedPageBreak/>
        <w:t>Fósforo blanco</w:t>
      </w:r>
    </w:p>
    <w:p w14:paraId="7E86A150" w14:textId="77777777" w:rsidR="0037398A" w:rsidRPr="007528E0" w:rsidRDefault="0037398A" w:rsidP="0037398A">
      <w:pPr>
        <w:pStyle w:val="Normal1"/>
        <w:spacing w:before="100" w:beforeAutospacing="1" w:after="100" w:afterAutospacing="1"/>
        <w:jc w:val="both"/>
        <w:rPr>
          <w:rFonts w:ascii="Arial" w:hAnsi="Arial" w:cs="Arial"/>
          <w:color w:val="auto"/>
          <w:sz w:val="22"/>
          <w:szCs w:val="22"/>
        </w:rPr>
      </w:pPr>
      <w:r w:rsidRPr="007528E0">
        <w:rPr>
          <w:rFonts w:ascii="Arial" w:eastAsia="Arial" w:hAnsi="Arial" w:cs="Arial"/>
          <w:color w:val="auto"/>
          <w:sz w:val="22"/>
          <w:szCs w:val="22"/>
        </w:rPr>
        <w:t>El fósforo elemental es un polvo inodoro de color rojo ladrillo, blanco o amarillo. El fósforo rojo es insoluble, no volátil, se absorbe muy poco por el tracto gastrointestinal y es prácticamente no tóxico cuando se ingiere. Se ha utilizado para fabricar cerillas, aunque estas hoy contienen azufre y clorato de potasio. El fósforo blanco (también conocido como amarillo), es muy tóxico, se absorbe muy bien por la piel y el tracto gastrointestinal, se excreta por las heces y la respiración</w:t>
      </w:r>
      <w:r w:rsidRPr="007528E0">
        <w:rPr>
          <w:rFonts w:ascii="Arial" w:eastAsia="Arial" w:hAnsi="Arial" w:cs="Arial"/>
          <w:color w:val="auto"/>
          <w:sz w:val="22"/>
          <w:szCs w:val="22"/>
        </w:rPr>
        <w:fldChar w:fldCharType="begin" w:fldLock="1"/>
      </w:r>
      <w:r w:rsidRPr="007528E0">
        <w:rPr>
          <w:rFonts w:ascii="Arial" w:eastAsia="Arial" w:hAnsi="Arial" w:cs="Arial"/>
          <w:color w:val="auto"/>
          <w:sz w:val="22"/>
          <w:szCs w:val="22"/>
        </w:rPr>
        <w:instrText>ADDIN CSL_CITATION { "citationItems" : [ { "id" : "ITEM-1", "itemData" : { "author" : [ { "dropping-particle" : "", "family" : "G\u00fcnter, S.", "given" : "Poison", "non-dropping-particle" : "", "parse-names" : false, "suffix" : "" } ], "container-title" : "Pabst Science Publishing: Berlin.", "id" : "ITEM-1", "issued" : { "date-parts" : [ [ "1997" ] ] }, "title" : "The treatment of acute intoxication. Phosphorus.", "type" : "article-journal" }, "uris" : [ "http://www.mendeley.com/documents/?uuid=40a473a9-7665-437b-a612-29321faffc33" ] } ], "mendeley" : { "formattedCitation" : "(62)", "plainTextFormattedCitation" : "(62)", "previouslyFormattedCitation" : "(62)" }, "properties" : { "noteIndex" : 0 }, "schema" : "https://github.com/citation-style-language/schema/raw/master/csl-citation.json" }</w:instrText>
      </w:r>
      <w:r w:rsidRPr="007528E0">
        <w:rPr>
          <w:rFonts w:ascii="Arial" w:eastAsia="Arial" w:hAnsi="Arial" w:cs="Arial"/>
          <w:color w:val="auto"/>
          <w:sz w:val="22"/>
          <w:szCs w:val="22"/>
        </w:rPr>
        <w:fldChar w:fldCharType="separate"/>
      </w:r>
      <w:r w:rsidRPr="007528E0">
        <w:rPr>
          <w:rFonts w:ascii="Arial" w:eastAsia="Arial" w:hAnsi="Arial" w:cs="Arial"/>
          <w:noProof/>
          <w:color w:val="auto"/>
          <w:sz w:val="22"/>
          <w:szCs w:val="22"/>
        </w:rPr>
        <w:t>(62)</w:t>
      </w:r>
      <w:r w:rsidRPr="007528E0">
        <w:rPr>
          <w:rFonts w:ascii="Arial" w:eastAsia="Arial" w:hAnsi="Arial" w:cs="Arial"/>
          <w:color w:val="auto"/>
          <w:sz w:val="22"/>
          <w:szCs w:val="22"/>
        </w:rPr>
        <w:fldChar w:fldCharType="end"/>
      </w:r>
      <w:r w:rsidRPr="007528E0">
        <w:rPr>
          <w:rFonts w:ascii="Arial" w:eastAsia="Arial" w:hAnsi="Arial" w:cs="Arial"/>
          <w:color w:val="auto"/>
          <w:sz w:val="22"/>
          <w:szCs w:val="22"/>
        </w:rPr>
        <w:t>. El fósforo blanco es altamente reactivo, inflamable y presenta riesgo de explosión. Se utiliza en la fabricación de proyectiles, raticidas, fertilizantes y en nuestro país se encuentra presente en un tipo específico de artefactos pirotécnicos que se conocen con los nombres comunes de: “totes”, “</w:t>
      </w:r>
      <w:proofErr w:type="spellStart"/>
      <w:r w:rsidRPr="007528E0">
        <w:rPr>
          <w:rFonts w:ascii="Arial" w:eastAsia="Arial" w:hAnsi="Arial" w:cs="Arial"/>
          <w:color w:val="auto"/>
          <w:sz w:val="22"/>
          <w:szCs w:val="22"/>
        </w:rPr>
        <w:t>martinicas</w:t>
      </w:r>
      <w:proofErr w:type="spellEnd"/>
      <w:r w:rsidRPr="007528E0">
        <w:rPr>
          <w:rFonts w:ascii="Arial" w:eastAsia="Arial" w:hAnsi="Arial" w:cs="Arial"/>
          <w:color w:val="auto"/>
          <w:sz w:val="22"/>
          <w:szCs w:val="22"/>
        </w:rPr>
        <w:t>“, “buscaniguas”, “diablillos”, “</w:t>
      </w:r>
      <w:proofErr w:type="spellStart"/>
      <w:r w:rsidRPr="007528E0">
        <w:rPr>
          <w:rFonts w:ascii="Arial" w:eastAsia="Arial" w:hAnsi="Arial" w:cs="Arial"/>
          <w:color w:val="auto"/>
          <w:sz w:val="22"/>
          <w:szCs w:val="22"/>
        </w:rPr>
        <w:t>trakitraki</w:t>
      </w:r>
      <w:proofErr w:type="spellEnd"/>
      <w:r w:rsidRPr="007528E0">
        <w:rPr>
          <w:rFonts w:ascii="Arial" w:eastAsia="Arial" w:hAnsi="Arial" w:cs="Arial"/>
          <w:color w:val="auto"/>
          <w:sz w:val="22"/>
          <w:szCs w:val="22"/>
        </w:rPr>
        <w:t>” y “buscapiés”</w:t>
      </w:r>
      <w:r w:rsidRPr="007528E0">
        <w:rPr>
          <w:rFonts w:ascii="Arial" w:eastAsia="Arial" w:hAnsi="Arial" w:cs="Arial"/>
          <w:color w:val="auto"/>
          <w:sz w:val="22"/>
          <w:szCs w:val="22"/>
        </w:rPr>
        <w:fldChar w:fldCharType="begin">
          <w:fldData xml:space="preserve">PEVuZE5vdGU+PENpdGU+PEF1dGhvcj5TaW1vbjwvQXV0aG9yPjxZZWFyPjE5NzY8L1llYXI+PFJl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</w:fldData>
        </w:fldChar>
      </w:r>
      <w:r w:rsidRPr="007528E0">
        <w:rPr>
          <w:rFonts w:ascii="Arial" w:eastAsia="Arial" w:hAnsi="Arial" w:cs="Arial"/>
          <w:color w:val="auto"/>
          <w:sz w:val="22"/>
          <w:szCs w:val="22"/>
        </w:rPr>
        <w:instrText xml:space="preserve"> ADDIN EN.CITE </w:instrText>
      </w:r>
      <w:r w:rsidRPr="007528E0">
        <w:rPr>
          <w:rFonts w:ascii="Arial" w:eastAsia="Arial" w:hAnsi="Arial" w:cs="Arial"/>
          <w:color w:val="auto"/>
          <w:sz w:val="22"/>
          <w:szCs w:val="22"/>
        </w:rPr>
        <w:fldChar w:fldCharType="begin">
          <w:fldData xml:space="preserve">PEVuZE5vdGU+PENpdGU+PEF1dGhvcj5TaW1vbjwvQXV0aG9yPjxZZWFyPjE5NzY8L1llYXI+PFJl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</w:fldData>
        </w:fldChar>
      </w:r>
      <w:r w:rsidRPr="007528E0">
        <w:rPr>
          <w:rFonts w:ascii="Arial" w:eastAsia="Arial" w:hAnsi="Arial" w:cs="Arial"/>
          <w:color w:val="auto"/>
          <w:sz w:val="22"/>
          <w:szCs w:val="22"/>
        </w:rPr>
        <w:instrText xml:space="preserve"> ADDIN EN.CITE.DATA </w:instrText>
      </w:r>
      <w:r w:rsidRPr="007528E0">
        <w:rPr>
          <w:rFonts w:ascii="Arial" w:eastAsia="Arial" w:hAnsi="Arial" w:cs="Arial"/>
          <w:color w:val="auto"/>
          <w:sz w:val="22"/>
          <w:szCs w:val="22"/>
        </w:rPr>
      </w:r>
      <w:r w:rsidRPr="007528E0">
        <w:rPr>
          <w:rFonts w:ascii="Arial" w:eastAsia="Arial" w:hAnsi="Arial" w:cs="Arial"/>
          <w:color w:val="auto"/>
          <w:sz w:val="22"/>
          <w:szCs w:val="22"/>
        </w:rPr>
        <w:fldChar w:fldCharType="end"/>
      </w:r>
      <w:r w:rsidRPr="007528E0">
        <w:rPr>
          <w:rFonts w:ascii="Arial" w:eastAsia="Arial" w:hAnsi="Arial" w:cs="Arial"/>
          <w:color w:val="auto"/>
          <w:sz w:val="22"/>
          <w:szCs w:val="22"/>
        </w:rPr>
      </w:r>
      <w:r w:rsidRPr="007528E0">
        <w:rPr>
          <w:rFonts w:ascii="Arial" w:eastAsia="Arial" w:hAnsi="Arial" w:cs="Arial"/>
          <w:color w:val="auto"/>
          <w:sz w:val="22"/>
          <w:szCs w:val="22"/>
        </w:rPr>
        <w:fldChar w:fldCharType="separate"/>
      </w:r>
      <w:r w:rsidRPr="007528E0">
        <w:rPr>
          <w:rFonts w:ascii="Arial" w:eastAsia="Arial" w:hAnsi="Arial" w:cs="Arial"/>
          <w:color w:val="auto"/>
          <w:sz w:val="22"/>
          <w:szCs w:val="22"/>
        </w:rPr>
        <w:t xml:space="preserve"> </w:t>
      </w:r>
      <w:r w:rsidRPr="007528E0">
        <w:rPr>
          <w:rFonts w:ascii="Arial" w:eastAsia="Arial" w:hAnsi="Arial" w:cs="Arial"/>
          <w:color w:val="auto"/>
          <w:sz w:val="22"/>
          <w:szCs w:val="22"/>
        </w:rPr>
        <w:fldChar w:fldCharType="end"/>
      </w:r>
      <w:r w:rsidRPr="007528E0">
        <w:rPr>
          <w:rFonts w:ascii="Arial" w:eastAsia="Arial" w:hAnsi="Arial" w:cs="Arial"/>
          <w:color w:val="auto"/>
          <w:sz w:val="22"/>
          <w:szCs w:val="22"/>
        </w:rPr>
        <w:fldChar w:fldCharType="begin" w:fldLock="1"/>
      </w:r>
      <w:r w:rsidRPr="007528E0">
        <w:rPr>
          <w:rFonts w:ascii="Arial" w:eastAsia="Arial" w:hAnsi="Arial" w:cs="Arial"/>
          <w:color w:val="auto"/>
          <w:sz w:val="22"/>
          <w:szCs w:val="22"/>
        </w:rPr>
        <w:instrText>ADDIN CSL_CITATION { "citationItems" : [ { "id" : "ITEM-1", "itemData" : { "author" : [ { "dropping-particle" : "", "family" : "Simon", "given" : "S. and L. Pickering", "non-dropping-particle" : "", "parse-names" : false, "suffix" : "" } ], "container-title" : "JAMA,", "id" : "ITEM-1", "issue" : "13", "issued" : { "date-parts" : [ [ "1976" ] ] }, "page" : "1343-1344", "title" : "Acute yellow phosphorus poisoning \u201cSmoking stool Syndrome\u201d.", "type" : "article-journal", "volume" : "235" }, "uris" : [ "http://www.mendeley.com/documents/?uuid=0e903ce8-354d-4fc8-aaf2-147a737a046f" ] } ], "mendeley" : { "formattedCitation" : "(63)", "plainTextFormattedCitation" : "(63)", "previouslyFormattedCitation" : "(63)" }, "properties" : { "noteIndex" : 0 }, "schema" : "https://github.com/citation-style-language/schema/raw/master/csl-citation.json" }</w:instrText>
      </w:r>
      <w:r w:rsidRPr="007528E0">
        <w:rPr>
          <w:rFonts w:ascii="Arial" w:eastAsia="Arial" w:hAnsi="Arial" w:cs="Arial"/>
          <w:color w:val="auto"/>
          <w:sz w:val="22"/>
          <w:szCs w:val="22"/>
        </w:rPr>
        <w:fldChar w:fldCharType="separate"/>
      </w:r>
      <w:r w:rsidRPr="007528E0">
        <w:rPr>
          <w:rFonts w:ascii="Arial" w:eastAsia="Arial" w:hAnsi="Arial" w:cs="Arial"/>
          <w:noProof/>
          <w:color w:val="auto"/>
          <w:sz w:val="22"/>
          <w:szCs w:val="22"/>
        </w:rPr>
        <w:t>(63)</w:t>
      </w:r>
      <w:r w:rsidRPr="007528E0">
        <w:rPr>
          <w:rFonts w:ascii="Arial" w:eastAsia="Arial" w:hAnsi="Arial" w:cs="Arial"/>
          <w:color w:val="auto"/>
          <w:sz w:val="22"/>
          <w:szCs w:val="22"/>
        </w:rPr>
        <w:fldChar w:fldCharType="end"/>
      </w:r>
      <w:r w:rsidRPr="007528E0">
        <w:rPr>
          <w:rFonts w:ascii="Arial" w:eastAsia="Arial" w:hAnsi="Arial" w:cs="Arial"/>
          <w:color w:val="auto"/>
          <w:sz w:val="22"/>
          <w:szCs w:val="22"/>
        </w:rPr>
        <w:fldChar w:fldCharType="begin" w:fldLock="1"/>
      </w:r>
      <w:r w:rsidRPr="007528E0">
        <w:rPr>
          <w:rFonts w:ascii="Arial" w:eastAsia="Arial" w:hAnsi="Arial" w:cs="Arial"/>
          <w:color w:val="auto"/>
          <w:sz w:val="22"/>
          <w:szCs w:val="22"/>
        </w:rPr>
        <w:instrText>ADDIN CSL_CITATION { "citationItems" : [ { "id" : "ITEM-1", "itemData" : { "author" : [ { "dropping-particle" : "", "family" : "Gonz\u00e1lez-Andrade", "given" : "F. and R. L\u00f3pez-Pulles", "non-dropping-particle" : "", "parse-names" : false, "suffix" : "" } ], "container-title" : "Clinical Toxicology,", "id" : "ITEM-1", "issued" : { "date-parts" : [ [ "2011" ] ] }, "page" : "29-33", "title" : "White phosphorus poisoning by oral ingestion of firecrackers or little devils: Current experience in Ecuador.", "type" : "article-journal", "volume" : "49" }, "uris" : [ "http://www.mendeley.com/documents/?uuid=a0532d2c-d532-4a9e-a410-e2e2293510bf" ] } ], "mendeley" : { "formattedCitation" : "(64)", "plainTextFormattedCitation" : "(64)", "previouslyFormattedCitation" : "(64)" }, "properties" : { "noteIndex" : 0 }, "schema" : "https://github.com/citation-style-language/schema/raw/master/csl-citation.json" }</w:instrText>
      </w:r>
      <w:r w:rsidRPr="007528E0">
        <w:rPr>
          <w:rFonts w:ascii="Arial" w:eastAsia="Arial" w:hAnsi="Arial" w:cs="Arial"/>
          <w:color w:val="auto"/>
          <w:sz w:val="22"/>
          <w:szCs w:val="22"/>
        </w:rPr>
        <w:fldChar w:fldCharType="separate"/>
      </w:r>
      <w:r w:rsidRPr="007528E0">
        <w:rPr>
          <w:rFonts w:ascii="Arial" w:eastAsia="Arial" w:hAnsi="Arial" w:cs="Arial"/>
          <w:noProof/>
          <w:color w:val="auto"/>
          <w:sz w:val="22"/>
          <w:szCs w:val="22"/>
        </w:rPr>
        <w:t>(64)</w:t>
      </w:r>
      <w:r w:rsidRPr="007528E0">
        <w:rPr>
          <w:rFonts w:ascii="Arial" w:eastAsia="Arial" w:hAnsi="Arial" w:cs="Arial"/>
          <w:color w:val="auto"/>
          <w:sz w:val="22"/>
          <w:szCs w:val="22"/>
        </w:rPr>
        <w:fldChar w:fldCharType="end"/>
      </w:r>
      <w:r w:rsidRPr="007528E0">
        <w:rPr>
          <w:rFonts w:ascii="Arial" w:eastAsia="Arial" w:hAnsi="Arial" w:cs="Arial"/>
          <w:color w:val="auto"/>
          <w:sz w:val="22"/>
          <w:szCs w:val="22"/>
        </w:rPr>
        <w:fldChar w:fldCharType="begin" w:fldLock="1"/>
      </w:r>
      <w:r w:rsidRPr="007528E0">
        <w:rPr>
          <w:rFonts w:ascii="Arial" w:eastAsia="Arial" w:hAnsi="Arial" w:cs="Arial"/>
          <w:color w:val="auto"/>
          <w:sz w:val="22"/>
          <w:szCs w:val="22"/>
        </w:rPr>
        <w:instrText>ADDIN CSL_CITATION { "citationItems" : [ { "id" : "ITEM-1", "itemData" : { "author" : [ { "dropping-particle" : "", "family" : "Gonz\u00e1lez Acosta, F., M. Ortiz Casta\u00f1eda", "given" : "and L. Figueredo", "non-dropping-particle" : "", "parse-names" : false, "suffix" : "" } ], "container-title" : "Acta M\u00e9dicaColombiana,", "id" : "ITEM-1", "issue" : "1", "issued" : { "date-parts" : [ [ "1976" ] ] }, "page" : "261-266", "title" : "Intoxicaci\u00f3n aguda por fosforo blanco. Estudio experimental y cl\u00ednico (informe preliminar).", "type" : "article-journal", "volume" : "4" }, "uris" : [ "http://www.mendeley.com/documents/?uuid=df6d347c-66b6-4c83-99e9-63e17a16402b" ] } ], "mendeley" : { "formattedCitation" : "(65)", "plainTextFormattedCitation" : "(65)", "previouslyFormattedCitation" : "(65)" }, "properties" : { "noteIndex" : 0 }, "schema" : "https://github.com/citation-style-language/schema/raw/master/csl-citation.json" }</w:instrText>
      </w:r>
      <w:r w:rsidRPr="007528E0">
        <w:rPr>
          <w:rFonts w:ascii="Arial" w:eastAsia="Arial" w:hAnsi="Arial" w:cs="Arial"/>
          <w:color w:val="auto"/>
          <w:sz w:val="22"/>
          <w:szCs w:val="22"/>
        </w:rPr>
        <w:fldChar w:fldCharType="separate"/>
      </w:r>
      <w:r w:rsidRPr="007528E0">
        <w:rPr>
          <w:rFonts w:ascii="Arial" w:eastAsia="Arial" w:hAnsi="Arial" w:cs="Arial"/>
          <w:noProof/>
          <w:color w:val="auto"/>
          <w:sz w:val="22"/>
          <w:szCs w:val="22"/>
        </w:rPr>
        <w:t>(65)</w:t>
      </w:r>
      <w:r w:rsidRPr="007528E0">
        <w:rPr>
          <w:rFonts w:ascii="Arial" w:eastAsia="Arial" w:hAnsi="Arial" w:cs="Arial"/>
          <w:color w:val="auto"/>
          <w:sz w:val="22"/>
          <w:szCs w:val="22"/>
        </w:rPr>
        <w:fldChar w:fldCharType="end"/>
      </w:r>
      <w:r w:rsidRPr="007528E0">
        <w:rPr>
          <w:rFonts w:ascii="Arial" w:eastAsia="Arial" w:hAnsi="Arial" w:cs="Arial"/>
          <w:color w:val="auto"/>
          <w:sz w:val="22"/>
          <w:szCs w:val="22"/>
        </w:rPr>
        <w:t>.</w:t>
      </w:r>
    </w:p>
    <w:p w14:paraId="0DE77AA5" w14:textId="77777777" w:rsidR="0037398A" w:rsidRPr="007528E0" w:rsidRDefault="0037398A" w:rsidP="0037398A">
      <w:pPr>
        <w:pStyle w:val="Normal1"/>
        <w:spacing w:before="100" w:beforeAutospacing="1" w:after="100" w:afterAutospacing="1"/>
        <w:jc w:val="both"/>
        <w:rPr>
          <w:rFonts w:ascii="Arial" w:eastAsia="Arial" w:hAnsi="Arial" w:cs="Arial"/>
          <w:color w:val="auto"/>
          <w:sz w:val="22"/>
          <w:szCs w:val="22"/>
        </w:rPr>
      </w:pPr>
    </w:p>
    <w:p w14:paraId="0458B3BB" w14:textId="77777777" w:rsidR="0037398A" w:rsidRPr="007528E0" w:rsidRDefault="0037398A" w:rsidP="0037398A">
      <w:pPr>
        <w:pStyle w:val="Normal1"/>
        <w:spacing w:before="100" w:beforeAutospacing="1" w:after="100" w:afterAutospacing="1"/>
        <w:jc w:val="both"/>
        <w:rPr>
          <w:rFonts w:ascii="Arial" w:eastAsia="Arial" w:hAnsi="Arial" w:cs="Arial"/>
          <w:color w:val="auto"/>
          <w:sz w:val="22"/>
          <w:szCs w:val="22"/>
        </w:rPr>
      </w:pPr>
      <w:r w:rsidRPr="007528E0">
        <w:rPr>
          <w:rFonts w:ascii="Arial" w:eastAsia="Arial" w:hAnsi="Arial" w:cs="Arial"/>
          <w:color w:val="auto"/>
          <w:sz w:val="22"/>
          <w:szCs w:val="22"/>
        </w:rPr>
        <w:t>Un “tote” o “</w:t>
      </w:r>
      <w:proofErr w:type="spellStart"/>
      <w:r w:rsidRPr="007528E0">
        <w:rPr>
          <w:rFonts w:ascii="Arial" w:eastAsia="Arial" w:hAnsi="Arial" w:cs="Arial"/>
          <w:color w:val="auto"/>
          <w:sz w:val="22"/>
          <w:szCs w:val="22"/>
        </w:rPr>
        <w:t>martiníca</w:t>
      </w:r>
      <w:proofErr w:type="spellEnd"/>
      <w:r w:rsidRPr="007528E0">
        <w:rPr>
          <w:rFonts w:ascii="Arial" w:eastAsia="Arial" w:hAnsi="Arial" w:cs="Arial"/>
          <w:color w:val="auto"/>
          <w:sz w:val="22"/>
          <w:szCs w:val="22"/>
        </w:rPr>
        <w:t xml:space="preserve">” pesa aproximadamente 0,3 gr y contiene entre 3 y 30 mg de fosforo blanco </w:t>
      </w:r>
      <w:r w:rsidRPr="007528E0">
        <w:rPr>
          <w:rFonts w:ascii="Arial" w:eastAsia="Arial" w:hAnsi="Arial" w:cs="Arial"/>
          <w:color w:val="auto"/>
          <w:sz w:val="22"/>
          <w:szCs w:val="22"/>
        </w:rPr>
        <w:fldChar w:fldCharType="begin" w:fldLock="1"/>
      </w:r>
      <w:r w:rsidRPr="007528E0">
        <w:rPr>
          <w:rFonts w:ascii="Arial" w:eastAsia="Arial" w:hAnsi="Arial" w:cs="Arial"/>
          <w:color w:val="auto"/>
          <w:sz w:val="22"/>
          <w:szCs w:val="22"/>
        </w:rPr>
        <w:instrText>ADDIN CSL_CITATION { "citationItems" : [ { "id" : "ITEM-1", "itemData" : { "author" : [ { "dropping-particle" : "", "family" : "Gonz\u00e1lez-Andrade", "given" : "F. and R. L\u00f3pez-Pulles", "non-dropping-particle" : "", "parse-names" : false, "suffix" : "" } ], "container-title" : "Clinical Toxicology,", "id" : "ITEM-1", "issued" : { "date-parts" : [ [ "2011" ] ] }, "page" : "29-33", "title" : "White phosphorus poisoning by oral ingestion of firecrackers or little devils: Current experience in Ecuador.", "type" : "article-journal", "volume" : "49" }, "uris" : [ "http://www.mendeley.com/documents/?uuid=a0532d2c-d532-4a9e-a410-e2e2293510bf" ] } ], "mendeley" : { "formattedCitation" : "(64)", "plainTextFormattedCitation" : "(64)", "previouslyFormattedCitation" : "(64)" }, "properties" : { "noteIndex" : 0 }, "schema" : "https://github.com/citation-style-language/schema/raw/master/csl-citation.json" }</w:instrText>
      </w:r>
      <w:r w:rsidRPr="007528E0">
        <w:rPr>
          <w:rFonts w:ascii="Arial" w:eastAsia="Arial" w:hAnsi="Arial" w:cs="Arial"/>
          <w:color w:val="auto"/>
          <w:sz w:val="22"/>
          <w:szCs w:val="22"/>
        </w:rPr>
        <w:fldChar w:fldCharType="separate"/>
      </w:r>
      <w:r w:rsidRPr="007528E0">
        <w:rPr>
          <w:rFonts w:ascii="Arial" w:eastAsia="Arial" w:hAnsi="Arial" w:cs="Arial"/>
          <w:noProof/>
          <w:color w:val="auto"/>
          <w:sz w:val="22"/>
          <w:szCs w:val="22"/>
        </w:rPr>
        <w:t>(64)</w:t>
      </w:r>
      <w:r w:rsidRPr="007528E0">
        <w:rPr>
          <w:rFonts w:ascii="Arial" w:eastAsia="Arial" w:hAnsi="Arial" w:cs="Arial"/>
          <w:color w:val="auto"/>
          <w:sz w:val="22"/>
          <w:szCs w:val="22"/>
        </w:rPr>
        <w:fldChar w:fldCharType="end"/>
      </w:r>
      <w:r w:rsidRPr="007528E0">
        <w:rPr>
          <w:rFonts w:ascii="Arial" w:eastAsia="Arial" w:hAnsi="Arial" w:cs="Arial"/>
          <w:color w:val="auto"/>
          <w:sz w:val="22"/>
          <w:szCs w:val="22"/>
        </w:rPr>
        <w:t xml:space="preserve">. Las intoxicaciones suelen ocurrir en la época de las fiestas patronales o municipales y entre los meses de noviembre y enero en relación con las festividades decembrinas, razón por la cual se intensifica su vigilancia en estas temporadas.  La dosis tóxica oscila entre 15 y 100 mg, en promedio 1 mg/kg </w:t>
      </w:r>
      <w:r w:rsidRPr="007528E0">
        <w:rPr>
          <w:rFonts w:ascii="Arial" w:eastAsia="Arial" w:hAnsi="Arial" w:cs="Arial"/>
          <w:color w:val="auto"/>
          <w:sz w:val="22"/>
          <w:szCs w:val="22"/>
        </w:rPr>
        <w:fldChar w:fldCharType="begin" w:fldLock="1"/>
      </w:r>
      <w:r w:rsidRPr="007528E0">
        <w:rPr>
          <w:rFonts w:ascii="Arial" w:eastAsia="Arial" w:hAnsi="Arial" w:cs="Arial"/>
          <w:color w:val="auto"/>
          <w:sz w:val="22"/>
          <w:szCs w:val="22"/>
        </w:rPr>
        <w:instrText>ADDIN CSL_CITATION { "citationItems" : [ { "id" : "ITEM-1", "itemData" : { "author" : [ { "dropping-particle" : "", "family" : "Simon", "given" : "S. and L. Pickering", "non-dropping-particle" : "", "parse-names" : false, "suffix" : "" } ], "container-title" : "JAMA,", "id" : "ITEM-1", "issue" : "13", "issued" : { "date-parts" : [ [ "1976" ] ] }, "page" : "1343-1344", "title" : "Acute yellow phosphorus poisoning \u201cSmoking stool Syndrome\u201d.", "type" : "article-journal", "volume" : "235" }, "uris" : [ "http://www.mendeley.com/documents/?uuid=0e903ce8-354d-4fc8-aaf2-147a737a046f" ] } ], "mendeley" : { "formattedCitation" : "(63)", "plainTextFormattedCitation" : "(63)", "previouslyFormattedCitation" : "(63)" }, "properties" : { "noteIndex" : 0 }, "schema" : "https://github.com/citation-style-language/schema/raw/master/csl-citation.json" }</w:instrText>
      </w:r>
      <w:r w:rsidRPr="007528E0">
        <w:rPr>
          <w:rFonts w:ascii="Arial" w:eastAsia="Arial" w:hAnsi="Arial" w:cs="Arial"/>
          <w:color w:val="auto"/>
          <w:sz w:val="22"/>
          <w:szCs w:val="22"/>
        </w:rPr>
        <w:fldChar w:fldCharType="separate"/>
      </w:r>
      <w:r w:rsidRPr="007528E0">
        <w:rPr>
          <w:rFonts w:ascii="Arial" w:eastAsia="Arial" w:hAnsi="Arial" w:cs="Arial"/>
          <w:noProof/>
          <w:color w:val="auto"/>
          <w:sz w:val="22"/>
          <w:szCs w:val="22"/>
        </w:rPr>
        <w:t>(63)</w:t>
      </w:r>
      <w:r w:rsidRPr="007528E0">
        <w:rPr>
          <w:rFonts w:ascii="Arial" w:eastAsia="Arial" w:hAnsi="Arial" w:cs="Arial"/>
          <w:color w:val="auto"/>
          <w:sz w:val="22"/>
          <w:szCs w:val="22"/>
        </w:rPr>
        <w:fldChar w:fldCharType="end"/>
      </w:r>
      <w:r w:rsidRPr="007528E0">
        <w:rPr>
          <w:rFonts w:ascii="Arial" w:eastAsia="Arial" w:hAnsi="Arial" w:cs="Arial"/>
          <w:color w:val="auto"/>
          <w:sz w:val="22"/>
          <w:szCs w:val="22"/>
        </w:rPr>
        <w:t>. En general estas intoxicaciones se presentan de manera accidental en niños.</w:t>
      </w:r>
    </w:p>
    <w:p w14:paraId="59F3D1B7" w14:textId="77777777" w:rsidR="0037398A" w:rsidRPr="007528E0" w:rsidRDefault="0037398A" w:rsidP="0037398A">
      <w:pPr>
        <w:pStyle w:val="Normal1"/>
        <w:spacing w:before="100" w:beforeAutospacing="1" w:after="100" w:afterAutospacing="1"/>
        <w:jc w:val="both"/>
        <w:rPr>
          <w:rFonts w:ascii="Arial" w:eastAsia="Arial" w:hAnsi="Arial" w:cs="Arial"/>
          <w:b/>
          <w:color w:val="auto"/>
          <w:sz w:val="22"/>
          <w:szCs w:val="22"/>
          <w:u w:val="single"/>
        </w:rPr>
      </w:pPr>
      <w:r w:rsidRPr="007528E0">
        <w:rPr>
          <w:rFonts w:ascii="Arial" w:eastAsia="Arial" w:hAnsi="Arial" w:cs="Arial"/>
          <w:b/>
          <w:color w:val="auto"/>
          <w:sz w:val="22"/>
          <w:szCs w:val="22"/>
          <w:u w:val="single"/>
        </w:rPr>
        <w:t>Manifestaciones clínicas</w:t>
      </w:r>
    </w:p>
    <w:p w14:paraId="79C14FF0" w14:textId="77777777" w:rsidR="0037398A" w:rsidRPr="007528E0" w:rsidRDefault="0037398A" w:rsidP="0037398A">
      <w:pPr>
        <w:pStyle w:val="Normal1"/>
        <w:spacing w:before="100" w:beforeAutospacing="1" w:after="100" w:afterAutospacing="1"/>
        <w:jc w:val="both"/>
        <w:rPr>
          <w:rFonts w:ascii="Arial" w:hAnsi="Arial" w:cs="Arial"/>
          <w:color w:val="auto"/>
          <w:sz w:val="22"/>
          <w:szCs w:val="22"/>
        </w:rPr>
      </w:pPr>
      <w:r w:rsidRPr="007528E0">
        <w:rPr>
          <w:rFonts w:ascii="Arial" w:eastAsia="Arial" w:hAnsi="Arial" w:cs="Arial"/>
          <w:color w:val="auto"/>
          <w:sz w:val="22"/>
          <w:szCs w:val="22"/>
        </w:rPr>
        <w:t>El fósforo blanco produce un desacople general de la fosforilación oxidativa, la intoxicación afecta el tacto gastrointestinal, el hígado, los riñones y otros sistemas. Clásicamente la intoxicación se ha dividido en tres estadios, aunque algunos consideran que es una clasificación inapropiada</w:t>
      </w:r>
      <w:r w:rsidRPr="007528E0">
        <w:rPr>
          <w:rFonts w:ascii="Arial" w:eastAsia="Arial" w:hAnsi="Arial" w:cs="Arial"/>
          <w:color w:val="auto"/>
          <w:sz w:val="22"/>
          <w:szCs w:val="22"/>
        </w:rPr>
        <w:fldChar w:fldCharType="begin" w:fldLock="1"/>
      </w:r>
      <w:r w:rsidRPr="007528E0">
        <w:rPr>
          <w:rFonts w:ascii="Arial" w:eastAsia="Arial" w:hAnsi="Arial" w:cs="Arial"/>
          <w:color w:val="auto"/>
          <w:sz w:val="22"/>
          <w:szCs w:val="22"/>
        </w:rPr>
        <w:instrText>ADDIN CSL_CITATION { "citationItems" : [ { "id" : "ITEM-1", "itemData" : { "author" : [ { "dropping-particle" : "", "family" : "Gonz\u00e1lez Acosta, F., M. Ortiz Casta\u00f1eda", "given" : "and L. Figueredo", "non-dropping-particle" : "", "parse-names" : false, "suffix" : "" } ], "container-title" : "Acta M\u00e9dicaColombiana,", "id" : "ITEM-1", "issue" : "1", "issued" : { "date-parts" : [ [ "1976" ] ] }, "page" : "261-266", "title" : "Intoxicaci\u00f3n aguda por fosforo blanco. Estudio experimental y cl\u00ednico (informe preliminar).", "type" : "article-journal", "volume" : "4" }, "uris" : [ "http://www.mendeley.com/documents/?uuid=df6d347c-66b6-4c83-99e9-63e17a16402b" ] } ], "mendeley" : { "formattedCitation" : "(65)", "plainTextFormattedCitation" : "(65)", "previouslyFormattedCitation" : "(65)" }, "properties" : { "noteIndex" : 0 }, "schema" : "https://github.com/citation-style-language/schema/raw/master/csl-citation.json" }</w:instrText>
      </w:r>
      <w:r w:rsidRPr="007528E0">
        <w:rPr>
          <w:rFonts w:ascii="Arial" w:eastAsia="Arial" w:hAnsi="Arial" w:cs="Arial"/>
          <w:color w:val="auto"/>
          <w:sz w:val="22"/>
          <w:szCs w:val="22"/>
        </w:rPr>
        <w:fldChar w:fldCharType="separate"/>
      </w:r>
      <w:r w:rsidRPr="007528E0">
        <w:rPr>
          <w:rFonts w:ascii="Arial" w:eastAsia="Arial" w:hAnsi="Arial" w:cs="Arial"/>
          <w:noProof/>
          <w:color w:val="auto"/>
          <w:sz w:val="22"/>
          <w:szCs w:val="22"/>
        </w:rPr>
        <w:t>(65)</w:t>
      </w:r>
      <w:r w:rsidRPr="007528E0">
        <w:rPr>
          <w:rFonts w:ascii="Arial" w:eastAsia="Arial" w:hAnsi="Arial" w:cs="Arial"/>
          <w:color w:val="auto"/>
          <w:sz w:val="22"/>
          <w:szCs w:val="22"/>
        </w:rPr>
        <w:fldChar w:fldCharType="end"/>
      </w:r>
      <w:r w:rsidRPr="007528E0">
        <w:rPr>
          <w:rFonts w:ascii="Arial" w:eastAsia="Arial" w:hAnsi="Arial" w:cs="Arial"/>
          <w:color w:val="auto"/>
          <w:sz w:val="22"/>
          <w:szCs w:val="22"/>
        </w:rPr>
        <w:fldChar w:fldCharType="begin" w:fldLock="1"/>
      </w:r>
      <w:r w:rsidRPr="007528E0">
        <w:rPr>
          <w:rFonts w:ascii="Arial" w:eastAsia="Arial" w:hAnsi="Arial" w:cs="Arial"/>
          <w:color w:val="auto"/>
          <w:sz w:val="22"/>
          <w:szCs w:val="22"/>
        </w:rPr>
        <w:instrText>ADDIN CSL_CITATION { "citationItems" : [ { "id" : "ITEM-1", "itemData" : { "author" : [ { "dropping-particle" : "", "family" : "Gonz\u00e1lez-Andrade", "given" : "F. and R. L\u00f3pez-Pulles", "non-dropping-particle" : "", "parse-names" : false, "suffix" : "" } ], "container-title" : "Clinical Toxicology,", "id" : "ITEM-1", "issued" : { "date-parts" : [ [ "2011" ] ] }, "page" : "29-33", "title" : "White phosphorus poisoning by oral ingestion of firecrackers or little devils: Current experience in Ecuador.", "type" : "article-journal", "volume" : "49" }, "uris" : [ "http://www.mendeley.com/documents/?uuid=a0532d2c-d532-4a9e-a410-e2e2293510bf" ] } ], "mendeley" : { "formattedCitation" : "(64)", "plainTextFormattedCitation" : "(64)", "previouslyFormattedCitation" : "(64)" }, "properties" : { "noteIndex" : 0 }, "schema" : "https://github.com/citation-style-language/schema/raw/master/csl-citation.json" }</w:instrText>
      </w:r>
      <w:r w:rsidRPr="007528E0">
        <w:rPr>
          <w:rFonts w:ascii="Arial" w:eastAsia="Arial" w:hAnsi="Arial" w:cs="Arial"/>
          <w:color w:val="auto"/>
          <w:sz w:val="22"/>
          <w:szCs w:val="22"/>
        </w:rPr>
        <w:fldChar w:fldCharType="separate"/>
      </w:r>
      <w:r w:rsidRPr="007528E0">
        <w:rPr>
          <w:rFonts w:ascii="Arial" w:eastAsia="Arial" w:hAnsi="Arial" w:cs="Arial"/>
          <w:noProof/>
          <w:color w:val="auto"/>
          <w:sz w:val="22"/>
          <w:szCs w:val="22"/>
        </w:rPr>
        <w:t>(64)</w:t>
      </w:r>
      <w:r w:rsidRPr="007528E0">
        <w:rPr>
          <w:rFonts w:ascii="Arial" w:eastAsia="Arial" w:hAnsi="Arial" w:cs="Arial"/>
          <w:color w:val="auto"/>
          <w:sz w:val="22"/>
          <w:szCs w:val="22"/>
        </w:rPr>
        <w:fldChar w:fldCharType="end"/>
      </w:r>
      <w:r w:rsidRPr="007528E0">
        <w:rPr>
          <w:rFonts w:ascii="Arial" w:eastAsia="Arial" w:hAnsi="Arial" w:cs="Arial"/>
          <w:color w:val="auto"/>
          <w:sz w:val="22"/>
          <w:szCs w:val="22"/>
        </w:rPr>
        <w:t>:</w:t>
      </w:r>
    </w:p>
    <w:p w14:paraId="0824B110" w14:textId="77777777" w:rsidR="0037398A" w:rsidRPr="007528E0" w:rsidRDefault="0037398A" w:rsidP="0037398A">
      <w:pPr>
        <w:pStyle w:val="Normal1"/>
        <w:numPr>
          <w:ilvl w:val="0"/>
          <w:numId w:val="6"/>
        </w:numPr>
        <w:spacing w:before="100" w:beforeAutospacing="1" w:after="100" w:afterAutospacing="1"/>
        <w:ind w:left="426"/>
        <w:jc w:val="both"/>
        <w:rPr>
          <w:rFonts w:ascii="Arial" w:hAnsi="Arial" w:cs="Arial"/>
          <w:color w:val="auto"/>
          <w:sz w:val="22"/>
          <w:szCs w:val="22"/>
        </w:rPr>
      </w:pPr>
      <w:r w:rsidRPr="007528E0">
        <w:rPr>
          <w:rFonts w:ascii="Arial" w:eastAsia="Arial" w:hAnsi="Arial" w:cs="Arial"/>
          <w:color w:val="auto"/>
          <w:sz w:val="22"/>
          <w:szCs w:val="22"/>
        </w:rPr>
        <w:t>Estadio 1: Transcurre en las primeras 24 horas de la intoxicación, se presentan síntomas como: dolor abdominal, diarrea, vómito (luminiscente/ humeante), lesiones corrosivas del tracto gastrointestinal, gastritis, hematemesis, y aliento aliáceo.</w:t>
      </w:r>
    </w:p>
    <w:p w14:paraId="02A9647E" w14:textId="77777777" w:rsidR="0037398A" w:rsidRPr="007528E0" w:rsidRDefault="0037398A" w:rsidP="0037398A">
      <w:pPr>
        <w:pStyle w:val="Normal1"/>
        <w:numPr>
          <w:ilvl w:val="0"/>
          <w:numId w:val="6"/>
        </w:numPr>
        <w:spacing w:before="100" w:beforeAutospacing="1" w:after="100" w:afterAutospacing="1"/>
        <w:ind w:left="426"/>
        <w:jc w:val="both"/>
        <w:rPr>
          <w:rFonts w:ascii="Arial" w:hAnsi="Arial" w:cs="Arial"/>
          <w:color w:val="auto"/>
          <w:sz w:val="22"/>
          <w:szCs w:val="22"/>
        </w:rPr>
      </w:pPr>
      <w:r w:rsidRPr="007528E0">
        <w:rPr>
          <w:rFonts w:ascii="Arial" w:eastAsia="Arial" w:hAnsi="Arial" w:cs="Arial"/>
          <w:color w:val="auto"/>
          <w:sz w:val="22"/>
          <w:szCs w:val="22"/>
        </w:rPr>
        <w:t>Estadio 2: Durante las siguientes 48 a 72 horas el paciente está poco sintomático, puede aparecer anorexia, dolor abdominal, malestar general.</w:t>
      </w:r>
    </w:p>
    <w:p w14:paraId="3780F9A9" w14:textId="77777777" w:rsidR="0037398A" w:rsidRPr="007528E0" w:rsidRDefault="0037398A" w:rsidP="0037398A">
      <w:pPr>
        <w:pStyle w:val="Normal1"/>
        <w:numPr>
          <w:ilvl w:val="0"/>
          <w:numId w:val="6"/>
        </w:numPr>
        <w:spacing w:before="100" w:beforeAutospacing="1" w:after="100" w:afterAutospacing="1"/>
        <w:ind w:left="426"/>
        <w:jc w:val="both"/>
        <w:rPr>
          <w:rFonts w:ascii="Arial" w:hAnsi="Arial" w:cs="Arial"/>
          <w:color w:val="auto"/>
          <w:sz w:val="22"/>
          <w:szCs w:val="22"/>
        </w:rPr>
      </w:pPr>
      <w:r w:rsidRPr="007528E0">
        <w:rPr>
          <w:rFonts w:ascii="Arial" w:eastAsia="Arial" w:hAnsi="Arial" w:cs="Arial"/>
          <w:color w:val="auto"/>
          <w:sz w:val="22"/>
          <w:szCs w:val="22"/>
        </w:rPr>
        <w:t>Estadio 3: Aparecen las manifestaciones de toxicidad sistémica como insuficiencia renal, hepatitis e ictericia, encefalopatía hepática, coagulopatía, hipoglicemia, hipotensión, colapso cardiovascular, arritmias, depresión medular, falla multisistémica. La mortalidad de la intoxicación oscila entre el 20 y el 70%.</w:t>
      </w:r>
    </w:p>
    <w:p w14:paraId="69F69199" w14:textId="77777777" w:rsidR="0037398A" w:rsidRPr="007528E0" w:rsidRDefault="0037398A" w:rsidP="0037398A">
      <w:pPr>
        <w:pStyle w:val="Prrafodelista"/>
        <w:spacing w:before="100" w:beforeAutospacing="1" w:after="100" w:afterAutospacing="1" w:line="240" w:lineRule="auto"/>
        <w:ind w:left="0"/>
        <w:rPr>
          <w:rFonts w:cs="Arial"/>
          <w:b/>
          <w:szCs w:val="22"/>
        </w:rPr>
      </w:pPr>
      <w:r w:rsidRPr="007528E0">
        <w:rPr>
          <w:rFonts w:cs="Arial"/>
          <w:b/>
          <w:szCs w:val="22"/>
        </w:rPr>
        <w:t>Cianuro</w:t>
      </w:r>
    </w:p>
    <w:p w14:paraId="333C9D2F" w14:textId="77777777" w:rsidR="0037398A" w:rsidRPr="007528E0" w:rsidRDefault="0037398A" w:rsidP="0037398A">
      <w:pPr>
        <w:pStyle w:val="Normal1"/>
        <w:spacing w:before="100" w:beforeAutospacing="1" w:after="100" w:afterAutospacing="1"/>
        <w:jc w:val="both"/>
        <w:rPr>
          <w:rFonts w:ascii="Arial" w:hAnsi="Arial" w:cs="Arial"/>
          <w:color w:val="auto"/>
          <w:sz w:val="22"/>
          <w:szCs w:val="22"/>
        </w:rPr>
      </w:pPr>
      <w:r w:rsidRPr="007528E0">
        <w:rPr>
          <w:rFonts w:ascii="Arial" w:eastAsia="Arial" w:hAnsi="Arial" w:cs="Arial"/>
          <w:color w:val="auto"/>
          <w:sz w:val="22"/>
          <w:szCs w:val="22"/>
        </w:rPr>
        <w:t xml:space="preserve">El cianuro es una sustancia muy tóxica, se absorbe por vía gastrointestinal, inhalatoria, dérmica y conjuntival. Se puede encontrar en forma líquida, sólida o gaseosa. Es </w:t>
      </w:r>
      <w:r w:rsidRPr="007528E0">
        <w:rPr>
          <w:rFonts w:ascii="Arial" w:eastAsia="Arial" w:hAnsi="Arial" w:cs="Arial"/>
          <w:color w:val="auto"/>
          <w:sz w:val="22"/>
          <w:szCs w:val="22"/>
        </w:rPr>
        <w:lastRenderedPageBreak/>
        <w:t xml:space="preserve">altamente volátil y tiene un olor característico a almendras amargas que puede percibirse en el paciente intoxicado, aunque no todas las personas tienen capacidad para identificar este olor.  El cianuro se utiliza en joyería, durante la extracción y procesamiento del oro, en la elaboración de plaguicidas, en laboratorios químicos y en una gran variedad de procesos industriales. Durante los incendios, la combustión de diferentes elementos tales como el caucho y el plástico pueden ser una fuente de intoxicación por cianuro </w:t>
      </w:r>
      <w:r w:rsidRPr="007528E0">
        <w:rPr>
          <w:rFonts w:ascii="Arial" w:eastAsia="Arial" w:hAnsi="Arial" w:cs="Arial"/>
          <w:color w:val="auto"/>
          <w:sz w:val="22"/>
          <w:szCs w:val="22"/>
        </w:rPr>
        <w:fldChar w:fldCharType="begin" w:fldLock="1"/>
      </w:r>
      <w:r w:rsidRPr="007528E0">
        <w:rPr>
          <w:rFonts w:ascii="Arial" w:eastAsia="Arial" w:hAnsi="Arial" w:cs="Arial"/>
          <w:color w:val="auto"/>
          <w:sz w:val="22"/>
          <w:szCs w:val="22"/>
        </w:rPr>
        <w:instrText>ADDIN CSL_CITATION { "citationItems" : [ { "id" : "ITEM-1", "itemData" : { "author" : [ { "dropping-particle" : "", "family" : "Kerns, W., G. Isom", "given" : "and M. Kirk cGraw-Hill: United States of America.", "non-dropping-particle" : "", "parse-names" : false, "suffix" : "" } ], "id" : "ITEM-1", "issued" : { "date-parts" : [ [ "2008" ] ] }, "title" : "Cyanide and hydrogen sulfide. 8th edition, McGraw Hill., in Goldfrank\u2019sToxicologic Emergencies, L.R. Goldfrank", "type" : "book" }, "uris" : [ "http://www.mendeley.com/documents/?uuid=2e11066e-abc0-48d7-b2d3-0fe77a2d382b" ] } ], "mendeley" : { "formattedCitation" : "(66)", "plainTextFormattedCitation" : "(66)", "previouslyFormattedCitation" : "(66)" }, "properties" : { "noteIndex" : 0 }, "schema" : "https://github.com/citation-style-language/schema/raw/master/csl-citation.json" }</w:instrText>
      </w:r>
      <w:r w:rsidRPr="007528E0">
        <w:rPr>
          <w:rFonts w:ascii="Arial" w:eastAsia="Arial" w:hAnsi="Arial" w:cs="Arial"/>
          <w:color w:val="auto"/>
          <w:sz w:val="22"/>
          <w:szCs w:val="22"/>
        </w:rPr>
        <w:fldChar w:fldCharType="separate"/>
      </w:r>
      <w:r w:rsidRPr="007528E0">
        <w:rPr>
          <w:rFonts w:ascii="Arial" w:eastAsia="Arial" w:hAnsi="Arial" w:cs="Arial"/>
          <w:noProof/>
          <w:color w:val="auto"/>
          <w:sz w:val="22"/>
          <w:szCs w:val="22"/>
        </w:rPr>
        <w:t>(66)</w:t>
      </w:r>
      <w:r w:rsidRPr="007528E0">
        <w:rPr>
          <w:rFonts w:ascii="Arial" w:eastAsia="Arial" w:hAnsi="Arial" w:cs="Arial"/>
          <w:color w:val="auto"/>
          <w:sz w:val="22"/>
          <w:szCs w:val="22"/>
        </w:rPr>
        <w:fldChar w:fldCharType="end"/>
      </w:r>
      <w:r w:rsidRPr="007528E0">
        <w:rPr>
          <w:rFonts w:ascii="Arial" w:eastAsia="Arial" w:hAnsi="Arial" w:cs="Arial"/>
          <w:color w:val="auto"/>
          <w:sz w:val="22"/>
          <w:szCs w:val="22"/>
          <w:vertAlign w:val="superscript"/>
        </w:rPr>
        <w:t xml:space="preserve">. </w:t>
      </w:r>
      <w:r w:rsidRPr="007528E0">
        <w:rPr>
          <w:rFonts w:ascii="Arial" w:eastAsia="Arial" w:hAnsi="Arial" w:cs="Arial"/>
          <w:color w:val="auto"/>
          <w:sz w:val="22"/>
          <w:szCs w:val="22"/>
        </w:rPr>
        <w:t xml:space="preserve">El cianuro es un inhibidor enzimático inespecífico en diferentes vías metabólicas, lo que altera  la producción de ATP y lleva a hipoxia celular </w:t>
      </w:r>
      <w:r w:rsidRPr="007528E0">
        <w:rPr>
          <w:rFonts w:ascii="Arial" w:eastAsia="Arial" w:hAnsi="Arial" w:cs="Arial"/>
          <w:color w:val="auto"/>
          <w:sz w:val="22"/>
          <w:szCs w:val="22"/>
        </w:rPr>
        <w:fldChar w:fldCharType="begin" w:fldLock="1"/>
      </w:r>
      <w:r w:rsidRPr="007528E0">
        <w:rPr>
          <w:rFonts w:ascii="Arial" w:eastAsia="Arial" w:hAnsi="Arial" w:cs="Arial"/>
          <w:color w:val="auto"/>
          <w:sz w:val="22"/>
          <w:szCs w:val="22"/>
        </w:rPr>
        <w:instrText>ADDIN CSL_CITATION { "citationItems" : [ { "id" : "ITEM-1", "itemData" : { "author" : [ { "dropping-particle" : "", "family" : "Pettersen, J. and S. Cohen", "given" : "", "non-dropping-particle" : "", "parse-names" : false, "suffix" : "" } ], "container-title" : "ApplToxicol", "id" : "ITEM-1", "issued" : { "date-parts" : [ [ "1993" ] ] }, "page" : "9-14", "title" : "The effects of cyanide on brain mitochondrial cytochrome oxidase and respiratory activities", "type" : "article-journal", "volume" : "13" }, "uris" : [ "http://www.mendeley.com/documents/?uuid=5cba853d-1978-49cf-acfa-65b1b809a00e" ] } ], "mendeley" : { "formattedCitation" : "(67)", "plainTextFormattedCitation" : "(67)", "previouslyFormattedCitation" : "(67)" }, "properties" : { "noteIndex" : 0 }, "schema" : "https://github.com/citation-style-language/schema/raw/master/csl-citation.json" }</w:instrText>
      </w:r>
      <w:r w:rsidRPr="007528E0">
        <w:rPr>
          <w:rFonts w:ascii="Arial" w:eastAsia="Arial" w:hAnsi="Arial" w:cs="Arial"/>
          <w:color w:val="auto"/>
          <w:sz w:val="22"/>
          <w:szCs w:val="22"/>
        </w:rPr>
        <w:fldChar w:fldCharType="separate"/>
      </w:r>
      <w:r w:rsidRPr="007528E0">
        <w:rPr>
          <w:rFonts w:ascii="Arial" w:eastAsia="Arial" w:hAnsi="Arial" w:cs="Arial"/>
          <w:noProof/>
          <w:color w:val="auto"/>
          <w:sz w:val="22"/>
          <w:szCs w:val="22"/>
        </w:rPr>
        <w:t>(67)</w:t>
      </w:r>
      <w:r w:rsidRPr="007528E0">
        <w:rPr>
          <w:rFonts w:ascii="Arial" w:eastAsia="Arial" w:hAnsi="Arial" w:cs="Arial"/>
          <w:color w:val="auto"/>
          <w:sz w:val="22"/>
          <w:szCs w:val="22"/>
        </w:rPr>
        <w:fldChar w:fldCharType="end"/>
      </w:r>
      <w:r w:rsidRPr="007528E0">
        <w:rPr>
          <w:rFonts w:ascii="Arial" w:eastAsia="Arial" w:hAnsi="Arial" w:cs="Arial"/>
          <w:color w:val="auto"/>
          <w:sz w:val="22"/>
          <w:szCs w:val="22"/>
        </w:rPr>
        <w:t>.</w:t>
      </w:r>
    </w:p>
    <w:p w14:paraId="3766DE8E" w14:textId="77777777" w:rsidR="0037398A" w:rsidRPr="007528E0" w:rsidRDefault="0037398A" w:rsidP="0037398A">
      <w:pPr>
        <w:pStyle w:val="Normal1"/>
        <w:spacing w:before="100" w:beforeAutospacing="1" w:after="100" w:afterAutospacing="1"/>
        <w:jc w:val="both"/>
        <w:rPr>
          <w:rFonts w:ascii="Arial" w:eastAsia="Arial" w:hAnsi="Arial" w:cs="Arial"/>
          <w:color w:val="auto"/>
          <w:sz w:val="22"/>
          <w:szCs w:val="22"/>
        </w:rPr>
      </w:pPr>
    </w:p>
    <w:p w14:paraId="0074B632" w14:textId="77777777" w:rsidR="0037398A" w:rsidRPr="007528E0" w:rsidRDefault="0037398A" w:rsidP="0037398A">
      <w:pPr>
        <w:pStyle w:val="Normal1"/>
        <w:spacing w:before="100" w:beforeAutospacing="1" w:after="100" w:afterAutospacing="1"/>
        <w:jc w:val="both"/>
        <w:rPr>
          <w:rFonts w:ascii="Arial" w:eastAsia="Arial" w:hAnsi="Arial" w:cs="Arial"/>
          <w:color w:val="auto"/>
          <w:sz w:val="22"/>
          <w:szCs w:val="22"/>
        </w:rPr>
      </w:pPr>
      <w:r w:rsidRPr="007528E0">
        <w:rPr>
          <w:rFonts w:ascii="Arial" w:eastAsia="Arial" w:hAnsi="Arial" w:cs="Arial"/>
          <w:color w:val="auto"/>
          <w:sz w:val="22"/>
          <w:szCs w:val="22"/>
        </w:rPr>
        <w:t xml:space="preserve">El cianuro de sodio se presenta en forma de cristales sólidos de color blanco, con olor a almendras amargas, aunque este olor no es detectado por todas las personas. El cianuro de potasio es higroscópico y se encuentra en forma de terrones amorfos o masa cristalina blanca. Estas sales son altamente solubles en agua y el cianuro de sodio es muy estable cuando está seco pero en presencia de humedad se descompone formando ácido cianhídrico HCN </w:t>
      </w:r>
      <w:r w:rsidRPr="007528E0">
        <w:rPr>
          <w:rFonts w:ascii="Arial" w:eastAsia="Arial" w:hAnsi="Arial" w:cs="Arial"/>
          <w:color w:val="auto"/>
          <w:sz w:val="22"/>
          <w:szCs w:val="22"/>
        </w:rPr>
        <w:fldChar w:fldCharType="begin" w:fldLock="1"/>
      </w:r>
      <w:r w:rsidRPr="007528E0">
        <w:rPr>
          <w:rFonts w:ascii="Arial" w:eastAsia="Arial" w:hAnsi="Arial" w:cs="Arial"/>
          <w:color w:val="auto"/>
          <w:sz w:val="22"/>
          <w:szCs w:val="22"/>
        </w:rPr>
        <w:instrText>ADDIN CSL_CITATION { "citationItems" : [ { "id" : "ITEM-1", "itemData" : { "author" : [ { "dropping-particle" : "", "family" : "Perez Hernandez, T. and N. Patino Reyes", "given" : "", "non-dropping-particle" : "", "parse-names" : false, "suffix" : "" } ], "id" : "ITEM-1", "issued" : { "date-parts" : [ [ "2009" ] ] }, "title" : "Manual para el analisis toxicologico en el laboratorio de urgencias", "type" : "report" }, "uris" : [ "http://www.mendeley.com/documents/?uuid=b2c78aaf-1abb-40cf-bead-b44c77c85669" ] } ], "mendeley" : { "formattedCitation" : "(68)", "plainTextFormattedCitation" : "(68)", "previouslyFormattedCitation" : "(68)" }, "properties" : { "noteIndex" : 0 }, "schema" : "https://github.com/citation-style-language/schema/raw/master/csl-citation.json" }</w:instrText>
      </w:r>
      <w:r w:rsidRPr="007528E0">
        <w:rPr>
          <w:rFonts w:ascii="Arial" w:eastAsia="Arial" w:hAnsi="Arial" w:cs="Arial"/>
          <w:color w:val="auto"/>
          <w:sz w:val="22"/>
          <w:szCs w:val="22"/>
        </w:rPr>
        <w:fldChar w:fldCharType="separate"/>
      </w:r>
      <w:r w:rsidRPr="007528E0">
        <w:rPr>
          <w:rFonts w:ascii="Arial" w:eastAsia="Arial" w:hAnsi="Arial" w:cs="Arial"/>
          <w:noProof/>
          <w:color w:val="auto"/>
          <w:sz w:val="22"/>
          <w:szCs w:val="22"/>
        </w:rPr>
        <w:t>(68)</w:t>
      </w:r>
      <w:r w:rsidRPr="007528E0">
        <w:rPr>
          <w:rFonts w:ascii="Arial" w:eastAsia="Arial" w:hAnsi="Arial" w:cs="Arial"/>
          <w:color w:val="auto"/>
          <w:sz w:val="22"/>
          <w:szCs w:val="22"/>
        </w:rPr>
        <w:fldChar w:fldCharType="end"/>
      </w:r>
      <w:r w:rsidRPr="007528E0">
        <w:rPr>
          <w:rFonts w:ascii="Arial" w:eastAsia="Arial" w:hAnsi="Arial" w:cs="Arial"/>
          <w:color w:val="auto"/>
          <w:sz w:val="22"/>
          <w:szCs w:val="22"/>
        </w:rPr>
        <w:t>.</w:t>
      </w:r>
    </w:p>
    <w:p w14:paraId="187E5004" w14:textId="77777777" w:rsidR="0037398A" w:rsidRPr="007528E0" w:rsidRDefault="0037398A" w:rsidP="0037398A">
      <w:pPr>
        <w:pStyle w:val="Normal1"/>
        <w:spacing w:before="100" w:beforeAutospacing="1" w:after="100" w:afterAutospacing="1"/>
        <w:jc w:val="both"/>
        <w:rPr>
          <w:rFonts w:ascii="Arial" w:eastAsia="Arial" w:hAnsi="Arial" w:cs="Arial"/>
          <w:b/>
          <w:color w:val="auto"/>
          <w:sz w:val="22"/>
          <w:szCs w:val="22"/>
          <w:u w:val="single"/>
        </w:rPr>
      </w:pPr>
      <w:r w:rsidRPr="007528E0">
        <w:rPr>
          <w:rFonts w:ascii="Arial" w:eastAsia="Arial" w:hAnsi="Arial" w:cs="Arial"/>
          <w:b/>
          <w:color w:val="auto"/>
          <w:sz w:val="22"/>
          <w:szCs w:val="22"/>
          <w:u w:val="single"/>
        </w:rPr>
        <w:t>Manifestaciones clínicas</w:t>
      </w:r>
    </w:p>
    <w:p w14:paraId="40D0779B" w14:textId="77777777" w:rsidR="0037398A" w:rsidRPr="007528E0" w:rsidRDefault="0037398A" w:rsidP="0037398A">
      <w:pPr>
        <w:pStyle w:val="Normal1"/>
        <w:spacing w:before="100" w:beforeAutospacing="1" w:after="100" w:afterAutospacing="1"/>
        <w:jc w:val="both"/>
        <w:rPr>
          <w:rFonts w:ascii="Arial" w:hAnsi="Arial" w:cs="Arial"/>
          <w:color w:val="auto"/>
          <w:sz w:val="22"/>
          <w:szCs w:val="22"/>
        </w:rPr>
      </w:pPr>
      <w:r w:rsidRPr="007528E0">
        <w:rPr>
          <w:rFonts w:ascii="Arial" w:eastAsia="Arial" w:hAnsi="Arial" w:cs="Arial"/>
          <w:color w:val="auto"/>
          <w:sz w:val="22"/>
          <w:szCs w:val="22"/>
        </w:rPr>
        <w:t>Las manifestaciones aparecen muy rápidamente, inicialmente hay cefalea, ansiedad, agitación, confusión, letargia, convulsiones, coma, taquipnea o bradipnea, hipotensión, taquicardia, arritmias y por último bradicardia e hipotensión con el consiguiente colapso cardiovascular y paro cardio-respiratorio</w:t>
      </w:r>
      <w:r w:rsidRPr="007528E0">
        <w:rPr>
          <w:rFonts w:ascii="Arial" w:eastAsia="Arial" w:hAnsi="Arial" w:cs="Arial"/>
          <w:color w:val="auto"/>
          <w:sz w:val="22"/>
          <w:szCs w:val="22"/>
        </w:rPr>
        <w:fldChar w:fldCharType="begin" w:fldLock="1"/>
      </w:r>
      <w:r w:rsidRPr="007528E0">
        <w:rPr>
          <w:rFonts w:ascii="Arial" w:eastAsia="Arial" w:hAnsi="Arial" w:cs="Arial"/>
          <w:color w:val="auto"/>
          <w:sz w:val="22"/>
          <w:szCs w:val="22"/>
        </w:rPr>
        <w:instrText>ADDIN CSL_CITATION { "citationItems" : [ { "id" : "ITEM-1", "itemData" : { "author" : [ { "dropping-particle" : "", "family" : "Borron", "given" : "S.", "non-dropping-particle" : "", "parse-names" : false, "suffix" : "" } ], "container-title" : "EmergNurs", "id" : "ITEM-1", "issued" : { "date-parts" : [ [ "2006" ] ] }, "page" : "8-12", "title" : "Recognition and treatment of acute cyanide poisoning.", "type" : "article-journal", "volume" : "32" }, "uris" : [ "http://www.mendeley.com/documents/?uuid=6b062416-11dd-4b73-abc1-acfd342214ae" ] } ], "mendeley" : { "formattedCitation" : "(69)", "plainTextFormattedCitation" : "(69)", "previouslyFormattedCitation" : "(69)" }, "properties" : { "noteIndex" : 0 }, "schema" : "https://github.com/citation-style-language/schema/raw/master/csl-citation.json" }</w:instrText>
      </w:r>
      <w:r w:rsidRPr="007528E0">
        <w:rPr>
          <w:rFonts w:ascii="Arial" w:eastAsia="Arial" w:hAnsi="Arial" w:cs="Arial"/>
          <w:color w:val="auto"/>
          <w:sz w:val="22"/>
          <w:szCs w:val="22"/>
        </w:rPr>
        <w:fldChar w:fldCharType="separate"/>
      </w:r>
      <w:r w:rsidRPr="007528E0">
        <w:rPr>
          <w:rFonts w:ascii="Arial" w:eastAsia="Arial" w:hAnsi="Arial" w:cs="Arial"/>
          <w:noProof/>
          <w:color w:val="auto"/>
          <w:sz w:val="22"/>
          <w:szCs w:val="22"/>
        </w:rPr>
        <w:t>(69)</w:t>
      </w:r>
      <w:r w:rsidRPr="007528E0">
        <w:rPr>
          <w:rFonts w:ascii="Arial" w:eastAsia="Arial" w:hAnsi="Arial" w:cs="Arial"/>
          <w:color w:val="auto"/>
          <w:sz w:val="22"/>
          <w:szCs w:val="22"/>
        </w:rPr>
        <w:fldChar w:fldCharType="end"/>
      </w:r>
      <w:r w:rsidRPr="007528E0">
        <w:rPr>
          <w:rFonts w:ascii="Arial" w:eastAsia="Arial" w:hAnsi="Arial" w:cs="Arial"/>
          <w:color w:val="auto"/>
          <w:sz w:val="22"/>
          <w:szCs w:val="22"/>
        </w:rPr>
        <w:t>. Los que sobreviven pueden desarrollar encefalopatía hipóxico-isquémica y manifestaciones de parkinsonismo</w:t>
      </w:r>
      <w:r w:rsidRPr="007528E0">
        <w:rPr>
          <w:rFonts w:ascii="Arial" w:eastAsia="Arial" w:hAnsi="Arial" w:cs="Arial"/>
          <w:color w:val="auto"/>
          <w:sz w:val="22"/>
          <w:szCs w:val="22"/>
        </w:rPr>
        <w:fldChar w:fldCharType="begin" w:fldLock="1"/>
      </w:r>
      <w:r w:rsidRPr="007528E0">
        <w:rPr>
          <w:rFonts w:ascii="Arial" w:eastAsia="Arial" w:hAnsi="Arial" w:cs="Arial"/>
          <w:color w:val="auto"/>
          <w:sz w:val="22"/>
          <w:szCs w:val="22"/>
        </w:rPr>
        <w:instrText>ADDIN CSL_CITATION { "citationItems" : [ { "id" : "ITEM-1", "itemData" : { "author" : [ { "dropping-particle" : "", "family" : "Bhatt, M., J. Obeso", "given" : "and C. Marsden", "non-dropping-particle" : "", "parse-names" : false, "suffix" : "" } ], "container-title" : "Neurology,", "id" : "ITEM-1", "issued" : { "date-parts" : [ [ "1993" ] ] }, "page" : "314-317", "title" : "Time course of postanoxicakinetic-rigid and dystonic syndromes", "type" : "article-journal", "volume" : "43" }, "uris" : [ "http://www.mendeley.com/documents/?uuid=c08f5ef1-16b5-4938-b788-f9708fd81168" ] } ], "mendeley" : { "formattedCitation" : "(70)", "plainTextFormattedCitation" : "(70)", "previouslyFormattedCitation" : "(70)" }, "properties" : { "noteIndex" : 0 }, "schema" : "https://github.com/citation-style-language/schema/raw/master/csl-citation.json" }</w:instrText>
      </w:r>
      <w:r w:rsidRPr="007528E0">
        <w:rPr>
          <w:rFonts w:ascii="Arial" w:eastAsia="Arial" w:hAnsi="Arial" w:cs="Arial"/>
          <w:color w:val="auto"/>
          <w:sz w:val="22"/>
          <w:szCs w:val="22"/>
        </w:rPr>
        <w:fldChar w:fldCharType="separate"/>
      </w:r>
      <w:r w:rsidRPr="007528E0">
        <w:rPr>
          <w:rFonts w:ascii="Arial" w:eastAsia="Arial" w:hAnsi="Arial" w:cs="Arial"/>
          <w:noProof/>
          <w:color w:val="auto"/>
          <w:sz w:val="22"/>
          <w:szCs w:val="22"/>
        </w:rPr>
        <w:t>(70)</w:t>
      </w:r>
      <w:r w:rsidRPr="007528E0">
        <w:rPr>
          <w:rFonts w:ascii="Arial" w:eastAsia="Arial" w:hAnsi="Arial" w:cs="Arial"/>
          <w:color w:val="auto"/>
          <w:sz w:val="22"/>
          <w:szCs w:val="22"/>
        </w:rPr>
        <w:fldChar w:fldCharType="end"/>
      </w:r>
      <w:r w:rsidRPr="007528E0">
        <w:rPr>
          <w:rFonts w:ascii="Arial" w:eastAsia="Arial" w:hAnsi="Arial" w:cs="Arial"/>
          <w:color w:val="auto"/>
          <w:sz w:val="22"/>
          <w:szCs w:val="22"/>
        </w:rPr>
        <w:t>.</w:t>
      </w:r>
    </w:p>
    <w:p w14:paraId="18894599" w14:textId="77777777" w:rsidR="0037398A" w:rsidRPr="007528E0" w:rsidRDefault="0037398A" w:rsidP="0037398A">
      <w:pPr>
        <w:pStyle w:val="Normal1"/>
        <w:spacing w:before="100" w:beforeAutospacing="1" w:after="100" w:afterAutospacing="1"/>
        <w:jc w:val="both"/>
        <w:rPr>
          <w:rFonts w:ascii="Arial" w:eastAsia="Arial" w:hAnsi="Arial" w:cs="Arial"/>
          <w:color w:val="auto"/>
          <w:sz w:val="22"/>
          <w:szCs w:val="22"/>
        </w:rPr>
      </w:pPr>
      <w:r w:rsidRPr="007528E0">
        <w:rPr>
          <w:rFonts w:ascii="Arial" w:eastAsia="Arial" w:hAnsi="Arial" w:cs="Arial"/>
          <w:color w:val="auto"/>
          <w:sz w:val="22"/>
          <w:szCs w:val="22"/>
        </w:rPr>
        <w:t>Se estima que la muerte por exposición a 300 ppm de ácido cianhídrico se da en pocos minutos, mientras que la exposición a 100 ppm causa la muerte en un lapso de 30 a 60 minutos. Para las sales inorgánicas la ingesta de 50 mg causa la muerte en el transcurso de pocas horas y 200 mg de cianuro de potasio son letales en minutos.</w:t>
      </w:r>
    </w:p>
    <w:p w14:paraId="653FB6ED" w14:textId="77777777" w:rsidR="0037398A" w:rsidRPr="007528E0" w:rsidRDefault="0037398A" w:rsidP="0037398A">
      <w:pPr>
        <w:pStyle w:val="Normal1"/>
        <w:spacing w:before="100" w:beforeAutospacing="1" w:after="100" w:afterAutospacing="1"/>
        <w:jc w:val="both"/>
        <w:rPr>
          <w:rFonts w:ascii="Arial" w:hAnsi="Arial" w:cs="Arial"/>
          <w:b/>
          <w:color w:val="auto"/>
          <w:sz w:val="22"/>
          <w:szCs w:val="22"/>
          <w:u w:val="single"/>
        </w:rPr>
      </w:pPr>
      <w:r w:rsidRPr="007528E0">
        <w:rPr>
          <w:rFonts w:ascii="Arial" w:hAnsi="Arial" w:cs="Arial"/>
          <w:b/>
          <w:color w:val="auto"/>
          <w:sz w:val="22"/>
          <w:szCs w:val="22"/>
          <w:u w:val="single"/>
        </w:rPr>
        <w:t xml:space="preserve">Toma de muestras </w:t>
      </w:r>
    </w:p>
    <w:p w14:paraId="585992B7" w14:textId="77777777" w:rsidR="0037398A" w:rsidRPr="007528E0" w:rsidRDefault="0037398A" w:rsidP="0037398A">
      <w:pPr>
        <w:pStyle w:val="Descripcin"/>
        <w:keepNext/>
        <w:spacing w:before="100" w:beforeAutospacing="1" w:after="100" w:afterAutospacing="1"/>
        <w:jc w:val="center"/>
        <w:rPr>
          <w:rFonts w:cs="Arial"/>
          <w:color w:val="auto"/>
          <w:sz w:val="22"/>
          <w:szCs w:val="22"/>
        </w:rPr>
      </w:pPr>
      <w:bookmarkStart w:id="34" w:name="_Toc505456261"/>
      <w:r w:rsidRPr="007528E0">
        <w:rPr>
          <w:rFonts w:cs="Arial"/>
          <w:b/>
          <w:color w:val="auto"/>
          <w:sz w:val="22"/>
          <w:szCs w:val="22"/>
        </w:rPr>
        <w:t xml:space="preserve">Tabla </w:t>
      </w:r>
      <w:r w:rsidRPr="007528E0">
        <w:rPr>
          <w:rFonts w:cs="Arial"/>
          <w:b/>
          <w:color w:val="auto"/>
          <w:sz w:val="22"/>
          <w:szCs w:val="22"/>
        </w:rPr>
        <w:fldChar w:fldCharType="begin"/>
      </w:r>
      <w:r w:rsidRPr="007528E0">
        <w:rPr>
          <w:rFonts w:cs="Arial"/>
          <w:b/>
          <w:color w:val="auto"/>
          <w:sz w:val="22"/>
          <w:szCs w:val="22"/>
        </w:rPr>
        <w:instrText xml:space="preserve"> SEQ Tabla \* ARABIC </w:instrText>
      </w:r>
      <w:r w:rsidRPr="007528E0">
        <w:rPr>
          <w:rFonts w:cs="Arial"/>
          <w:b/>
          <w:color w:val="auto"/>
          <w:sz w:val="22"/>
          <w:szCs w:val="22"/>
        </w:rPr>
        <w:fldChar w:fldCharType="separate"/>
      </w:r>
      <w:r w:rsidRPr="007528E0">
        <w:rPr>
          <w:rFonts w:cs="Arial"/>
          <w:b/>
          <w:noProof/>
          <w:color w:val="auto"/>
          <w:sz w:val="22"/>
          <w:szCs w:val="22"/>
        </w:rPr>
        <w:t>15</w:t>
      </w:r>
      <w:r w:rsidRPr="007528E0">
        <w:rPr>
          <w:rFonts w:cs="Arial"/>
          <w:b/>
          <w:color w:val="auto"/>
          <w:sz w:val="22"/>
          <w:szCs w:val="22"/>
        </w:rPr>
        <w:fldChar w:fldCharType="end"/>
      </w:r>
      <w:r w:rsidRPr="007528E0">
        <w:rPr>
          <w:rFonts w:cs="Arial"/>
          <w:b/>
          <w:color w:val="auto"/>
          <w:sz w:val="22"/>
          <w:szCs w:val="22"/>
        </w:rPr>
        <w:t>.</w:t>
      </w:r>
      <w:r w:rsidRPr="007528E0">
        <w:rPr>
          <w:rFonts w:cs="Arial"/>
          <w:color w:val="auto"/>
          <w:sz w:val="22"/>
          <w:szCs w:val="22"/>
        </w:rPr>
        <w:t xml:space="preserve"> Análisis a realizar en intoxicación con cianuro</w:t>
      </w:r>
      <w:bookmarkEnd w:id="34"/>
    </w:p>
    <w:tbl>
      <w:tblPr>
        <w:tblStyle w:val="Tablaconcuadrcula"/>
        <w:tblW w:w="0" w:type="auto"/>
        <w:tblLook w:val="04A0" w:firstRow="1" w:lastRow="0" w:firstColumn="1" w:lastColumn="0" w:noHBand="0" w:noVBand="1"/>
      </w:tblPr>
      <w:tblGrid>
        <w:gridCol w:w="1161"/>
        <w:gridCol w:w="1842"/>
        <w:gridCol w:w="5812"/>
      </w:tblGrid>
      <w:tr w:rsidR="007528E0" w:rsidRPr="007528E0" w14:paraId="1742ADAF" w14:textId="77777777" w:rsidTr="007528E0">
        <w:tc>
          <w:tcPr>
            <w:tcW w:w="1101" w:type="dxa"/>
          </w:tcPr>
          <w:p w14:paraId="7F5E508A" w14:textId="77777777" w:rsidR="0037398A" w:rsidRPr="007528E0" w:rsidRDefault="0037398A" w:rsidP="007528E0">
            <w:pPr>
              <w:spacing w:before="100" w:beforeAutospacing="1" w:after="100" w:afterAutospacing="1"/>
              <w:jc w:val="center"/>
              <w:rPr>
                <w:rFonts w:eastAsia="Arial" w:cs="Arial"/>
                <w:b/>
                <w:sz w:val="20"/>
                <w:szCs w:val="20"/>
                <w:lang w:val="es-CO" w:eastAsia="es-CO"/>
              </w:rPr>
            </w:pPr>
            <w:r w:rsidRPr="007528E0">
              <w:rPr>
                <w:rFonts w:eastAsia="Arial" w:cs="Arial"/>
                <w:b/>
                <w:sz w:val="20"/>
                <w:szCs w:val="20"/>
                <w:lang w:val="es-CO" w:eastAsia="es-CO"/>
              </w:rPr>
              <w:t>Sustancia</w:t>
            </w:r>
          </w:p>
        </w:tc>
        <w:tc>
          <w:tcPr>
            <w:tcW w:w="1842" w:type="dxa"/>
          </w:tcPr>
          <w:p w14:paraId="6044CB12" w14:textId="77777777" w:rsidR="0037398A" w:rsidRPr="007528E0" w:rsidRDefault="0037398A" w:rsidP="007528E0">
            <w:pPr>
              <w:spacing w:before="100" w:beforeAutospacing="1" w:after="100" w:afterAutospacing="1"/>
              <w:jc w:val="center"/>
              <w:rPr>
                <w:rFonts w:eastAsia="Arial" w:cs="Arial"/>
                <w:b/>
                <w:sz w:val="20"/>
                <w:szCs w:val="20"/>
                <w:lang w:val="es-CO" w:eastAsia="es-CO"/>
              </w:rPr>
            </w:pPr>
            <w:r w:rsidRPr="007528E0">
              <w:rPr>
                <w:rFonts w:eastAsia="Arial" w:cs="Arial"/>
                <w:b/>
                <w:sz w:val="20"/>
                <w:szCs w:val="20"/>
                <w:lang w:val="es-CO" w:eastAsia="es-CO"/>
              </w:rPr>
              <w:t>Tipo de muestra</w:t>
            </w:r>
          </w:p>
        </w:tc>
        <w:tc>
          <w:tcPr>
            <w:tcW w:w="5812" w:type="dxa"/>
          </w:tcPr>
          <w:p w14:paraId="4A2F6501" w14:textId="77777777" w:rsidR="0037398A" w:rsidRPr="007528E0" w:rsidRDefault="0037398A" w:rsidP="007528E0">
            <w:pPr>
              <w:spacing w:before="100" w:beforeAutospacing="1" w:after="100" w:afterAutospacing="1"/>
              <w:jc w:val="center"/>
              <w:rPr>
                <w:rFonts w:eastAsia="Arial" w:cs="Arial"/>
                <w:b/>
                <w:sz w:val="20"/>
                <w:szCs w:val="20"/>
                <w:lang w:val="es-CO" w:eastAsia="es-CO"/>
              </w:rPr>
            </w:pPr>
            <w:r w:rsidRPr="007528E0">
              <w:rPr>
                <w:rFonts w:eastAsia="Arial" w:cs="Arial"/>
                <w:b/>
                <w:sz w:val="20"/>
                <w:szCs w:val="20"/>
                <w:lang w:val="es-CO" w:eastAsia="es-CO"/>
              </w:rPr>
              <w:t>Fundamento/técnica</w:t>
            </w:r>
          </w:p>
        </w:tc>
      </w:tr>
      <w:tr w:rsidR="007528E0" w:rsidRPr="007528E0" w14:paraId="5C111B8C" w14:textId="77777777" w:rsidTr="007528E0">
        <w:tc>
          <w:tcPr>
            <w:tcW w:w="1101" w:type="dxa"/>
          </w:tcPr>
          <w:p w14:paraId="740DCFA3" w14:textId="77777777" w:rsidR="0037398A" w:rsidRPr="007528E0" w:rsidRDefault="0037398A" w:rsidP="007528E0">
            <w:pPr>
              <w:spacing w:before="100" w:beforeAutospacing="1" w:after="100" w:afterAutospacing="1"/>
              <w:rPr>
                <w:rFonts w:eastAsia="Arial" w:cs="Arial"/>
                <w:sz w:val="20"/>
                <w:szCs w:val="20"/>
                <w:lang w:val="es-CO" w:eastAsia="es-CO"/>
              </w:rPr>
            </w:pPr>
            <w:r w:rsidRPr="007528E0">
              <w:rPr>
                <w:rFonts w:eastAsia="Arial" w:cs="Arial"/>
                <w:sz w:val="20"/>
                <w:szCs w:val="20"/>
                <w:lang w:val="es-CO" w:eastAsia="es-CO"/>
              </w:rPr>
              <w:t>Cianuro</w:t>
            </w:r>
          </w:p>
        </w:tc>
        <w:tc>
          <w:tcPr>
            <w:tcW w:w="1842" w:type="dxa"/>
          </w:tcPr>
          <w:p w14:paraId="50E3A1D7" w14:textId="77777777" w:rsidR="0037398A" w:rsidRPr="007528E0" w:rsidRDefault="0037398A" w:rsidP="007528E0">
            <w:pPr>
              <w:spacing w:before="100" w:beforeAutospacing="1" w:after="100" w:afterAutospacing="1"/>
              <w:rPr>
                <w:rFonts w:eastAsia="Arial" w:cs="Arial"/>
                <w:sz w:val="20"/>
                <w:szCs w:val="20"/>
                <w:lang w:val="es-CO" w:eastAsia="es-CO"/>
              </w:rPr>
            </w:pPr>
            <w:r w:rsidRPr="007528E0">
              <w:rPr>
                <w:rFonts w:eastAsia="Arial" w:cs="Arial"/>
                <w:sz w:val="20"/>
                <w:szCs w:val="20"/>
                <w:lang w:val="es-CO" w:eastAsia="es-CO"/>
              </w:rPr>
              <w:t>Destilado de matrices biológicas</w:t>
            </w:r>
          </w:p>
        </w:tc>
        <w:tc>
          <w:tcPr>
            <w:tcW w:w="5812" w:type="dxa"/>
          </w:tcPr>
          <w:p w14:paraId="47C4983C" w14:textId="77777777" w:rsidR="0037398A" w:rsidRPr="007528E0" w:rsidRDefault="0037398A" w:rsidP="007528E0">
            <w:pPr>
              <w:spacing w:before="100" w:beforeAutospacing="1" w:after="100" w:afterAutospacing="1"/>
              <w:rPr>
                <w:rFonts w:eastAsia="Arial" w:cs="Arial"/>
                <w:sz w:val="20"/>
                <w:szCs w:val="20"/>
                <w:lang w:val="es-CO" w:eastAsia="es-CO"/>
              </w:rPr>
            </w:pPr>
            <w:r w:rsidRPr="007528E0">
              <w:rPr>
                <w:rFonts w:eastAsia="Arial" w:cs="Arial"/>
                <w:sz w:val="20"/>
                <w:szCs w:val="20"/>
                <w:lang w:val="es-CO" w:eastAsia="es-CO"/>
              </w:rPr>
              <w:t xml:space="preserve">Prueba de </w:t>
            </w:r>
            <w:proofErr w:type="spellStart"/>
            <w:r w:rsidRPr="007528E0">
              <w:rPr>
                <w:rFonts w:eastAsia="Arial" w:cs="Arial"/>
                <w:sz w:val="20"/>
                <w:szCs w:val="20"/>
                <w:lang w:val="es-CO" w:eastAsia="es-CO"/>
              </w:rPr>
              <w:t>Chellen-Klassen</w:t>
            </w:r>
            <w:proofErr w:type="spellEnd"/>
            <w:r w:rsidRPr="007528E0">
              <w:rPr>
                <w:rFonts w:eastAsia="Arial" w:cs="Arial"/>
                <w:sz w:val="20"/>
                <w:szCs w:val="20"/>
                <w:lang w:val="es-CO" w:eastAsia="es-CO"/>
              </w:rPr>
              <w:t xml:space="preserve"> (Azul de Prusia modificado): se forma un precipitado color azul de Prusia ajustando el pH a 8 para favorecer la precipitación. Se puede detectar hasta 10 µg de cianuro </w:t>
            </w:r>
            <w:r w:rsidRPr="007528E0">
              <w:rPr>
                <w:rFonts w:eastAsia="Arial" w:cs="Arial"/>
                <w:sz w:val="20"/>
                <w:szCs w:val="20"/>
                <w:lang w:val="es-CO" w:eastAsia="es-CO"/>
              </w:rPr>
              <w:fldChar w:fldCharType="begin" w:fldLock="1"/>
            </w:r>
            <w:r w:rsidRPr="007528E0">
              <w:rPr>
                <w:rFonts w:eastAsia="Arial" w:cs="Arial"/>
                <w:sz w:val="20"/>
                <w:szCs w:val="20"/>
                <w:lang w:val="es-CO" w:eastAsia="es-CO"/>
              </w:rPr>
              <w:instrText>ADDIN CSL_CITATION { "citationItems" : [ { "id" : "ITEM-1", "itemData" : { "author" : [ { "dropping-particle" : "", "family" : "Perez Hernandez, T. and N. Patino Reyes", "given" : "", "non-dropping-particle" : "", "parse-names" : false, "suffix" : "" } ], "id" : "ITEM-1", "issued" : { "date-parts" : [ [ "2009" ] ] }, "title" : "Manual para el analisis toxicologico en el laboratorio de urgencias", "type" : "report" }, "uris" : [ "http://www.mendeley.com/documents/?uuid=b2c78aaf-1abb-40cf-bead-b44c77c85669" ] } ], "mendeley" : { "formattedCitation" : "(68)", "plainTextFormattedCitation" : "(68)", "previouslyFormattedCitation" : "(68)" }, "properties" : { "noteIndex" : 0 }, "schema" : "https://github.com/citation-style-language/schema/raw/master/csl-citation.json" }</w:instrText>
            </w:r>
            <w:r w:rsidRPr="007528E0">
              <w:rPr>
                <w:rFonts w:eastAsia="Arial" w:cs="Arial"/>
                <w:sz w:val="20"/>
                <w:szCs w:val="20"/>
                <w:lang w:val="es-CO" w:eastAsia="es-CO"/>
              </w:rPr>
              <w:fldChar w:fldCharType="end"/>
            </w:r>
            <w:r w:rsidRPr="007528E0">
              <w:rPr>
                <w:rFonts w:eastAsia="Arial" w:cs="Arial"/>
                <w:sz w:val="20"/>
                <w:szCs w:val="20"/>
                <w:lang w:val="es-CO" w:eastAsia="es-CO"/>
              </w:rPr>
              <w:t>(68).</w:t>
            </w:r>
          </w:p>
        </w:tc>
      </w:tr>
    </w:tbl>
    <w:p w14:paraId="175ABD54" w14:textId="77777777" w:rsidR="0037398A" w:rsidRPr="007528E0" w:rsidRDefault="0037398A" w:rsidP="0037398A">
      <w:pPr>
        <w:pStyle w:val="Prrafodelista"/>
        <w:spacing w:before="100" w:beforeAutospacing="1" w:after="100" w:afterAutospacing="1" w:line="240" w:lineRule="auto"/>
        <w:ind w:left="0"/>
        <w:rPr>
          <w:rFonts w:cs="Arial"/>
          <w:b/>
          <w:szCs w:val="22"/>
        </w:rPr>
      </w:pPr>
      <w:r w:rsidRPr="007528E0">
        <w:rPr>
          <w:rFonts w:cs="Arial"/>
          <w:b/>
          <w:szCs w:val="22"/>
        </w:rPr>
        <w:t>Cáusticos</w:t>
      </w:r>
    </w:p>
    <w:p w14:paraId="0F1DEF79" w14:textId="77777777" w:rsidR="0037398A" w:rsidRPr="007528E0" w:rsidRDefault="0037398A" w:rsidP="0037398A">
      <w:pPr>
        <w:pStyle w:val="Normal1"/>
        <w:spacing w:before="100" w:beforeAutospacing="1" w:after="100" w:afterAutospacing="1"/>
        <w:jc w:val="both"/>
        <w:rPr>
          <w:rFonts w:ascii="Arial" w:eastAsia="Arial" w:hAnsi="Arial" w:cs="Arial"/>
          <w:color w:val="auto"/>
          <w:sz w:val="22"/>
          <w:szCs w:val="22"/>
        </w:rPr>
      </w:pPr>
      <w:r w:rsidRPr="007528E0">
        <w:rPr>
          <w:rFonts w:ascii="Arial" w:eastAsia="Arial" w:hAnsi="Arial" w:cs="Arial"/>
          <w:color w:val="auto"/>
          <w:sz w:val="22"/>
          <w:szCs w:val="22"/>
        </w:rPr>
        <w:lastRenderedPageBreak/>
        <w:t xml:space="preserve">Los cáusticos son sustancias capaces de producir daño al reaccionar químicamente con un tejido, se dividen en ácidos (donadores de protones, causan lesión a pH &lt;3) y álcalis (aceptores de protones, causan daño a pH &gt;11). La gravedad de la lesión depende de la  cantidad, pH y concentración de sustancia; y de la duración del contacto y la capacidad de penetrar en los tejidos </w:t>
      </w:r>
      <w:r w:rsidRPr="007528E0">
        <w:rPr>
          <w:rFonts w:ascii="Arial" w:eastAsia="Arial" w:hAnsi="Arial" w:cs="Arial"/>
          <w:color w:val="auto"/>
          <w:sz w:val="22"/>
          <w:szCs w:val="22"/>
        </w:rPr>
        <w:fldChar w:fldCharType="begin" w:fldLock="1"/>
      </w:r>
      <w:r w:rsidRPr="007528E0">
        <w:rPr>
          <w:rFonts w:ascii="Arial" w:eastAsia="Arial" w:hAnsi="Arial" w:cs="Arial"/>
          <w:color w:val="auto"/>
          <w:sz w:val="22"/>
          <w:szCs w:val="22"/>
        </w:rPr>
        <w:instrText>ADDIN CSL_CITATION { "citationItems" : [ { "id" : "ITEM-1", "itemData" : { "author" : [ { "dropping-particle" : "", "family" : "Kardon", "given" : "E.", "non-dropping-particle" : "", "parse-names" : false, "suffix" : "" } ], "id" : "ITEM-1", "issued" : { "date-parts" : [ [ "2010" ] ] }, "title" : "Caustic ingestions. In. Medscape Reference", "type" : "report" }, "uris" : [ "http://www.mendeley.com/documents/?uuid=4bb5d997-1328-4e7e-b3a1-f8187175674f" ] } ], "mendeley" : { "formattedCitation" : "(71)", "plainTextFormattedCitation" : "(71)", "previouslyFormattedCitation" : "(71)" }, "properties" : { "noteIndex" : 0 }, "schema" : "https://github.com/citation-style-language/schema/raw/master/csl-citation.json" }</w:instrText>
      </w:r>
      <w:r w:rsidRPr="007528E0">
        <w:rPr>
          <w:rFonts w:ascii="Arial" w:eastAsia="Arial" w:hAnsi="Arial" w:cs="Arial"/>
          <w:color w:val="auto"/>
          <w:sz w:val="22"/>
          <w:szCs w:val="22"/>
        </w:rPr>
        <w:fldChar w:fldCharType="separate"/>
      </w:r>
      <w:r w:rsidRPr="007528E0">
        <w:rPr>
          <w:rFonts w:ascii="Arial" w:eastAsia="Arial" w:hAnsi="Arial" w:cs="Arial"/>
          <w:noProof/>
          <w:color w:val="auto"/>
          <w:sz w:val="22"/>
          <w:szCs w:val="22"/>
        </w:rPr>
        <w:t>(71)</w:t>
      </w:r>
      <w:r w:rsidRPr="007528E0">
        <w:rPr>
          <w:rFonts w:ascii="Arial" w:eastAsia="Arial" w:hAnsi="Arial" w:cs="Arial"/>
          <w:color w:val="auto"/>
          <w:sz w:val="22"/>
          <w:szCs w:val="22"/>
        </w:rPr>
        <w:fldChar w:fldCharType="end"/>
      </w:r>
      <w:r w:rsidRPr="007528E0">
        <w:rPr>
          <w:rFonts w:ascii="Arial" w:eastAsia="Arial" w:hAnsi="Arial" w:cs="Arial"/>
          <w:color w:val="auto"/>
          <w:sz w:val="22"/>
          <w:szCs w:val="22"/>
        </w:rPr>
        <w:fldChar w:fldCharType="begin" w:fldLock="1"/>
      </w:r>
      <w:r w:rsidRPr="007528E0">
        <w:rPr>
          <w:rFonts w:ascii="Arial" w:eastAsia="Arial" w:hAnsi="Arial" w:cs="Arial"/>
          <w:color w:val="auto"/>
          <w:sz w:val="22"/>
          <w:szCs w:val="22"/>
        </w:rPr>
        <w:instrText>ADDIN CSL_CITATION { "citationItems" : [ { "id" : "ITEM-1", "itemData" : { "author" : [ { "dropping-particle" : "", "family" : "Kay", "given" : "M. and R. Wyllie", "non-dropping-particle" : "", "parse-names" : false, "suffix" : "" } ], "container-title" : "pediatrics", "id" : "ITEM-1", "issue" : "20", "issued" : { "date-parts" : [ [ "2010" ] ] }, "page" : "651-654", "title" : "Caustic ingestions in children Current opinion in pediatrics", "type" : "article-journal", "volume" : "5" }, "uris" : [ "http://www.mendeley.com/documents/?uuid=416140b2-27f1-453f-8421-be3350811f63" ] } ], "mendeley" : { "formattedCitation" : "(72)", "plainTextFormattedCitation" : "(72)", "previouslyFormattedCitation" : "(72)" }, "properties" : { "noteIndex" : 0 }, "schema" : "https://github.com/citation-style-language/schema/raw/master/csl-citation.json" }</w:instrText>
      </w:r>
      <w:r w:rsidRPr="007528E0">
        <w:rPr>
          <w:rFonts w:ascii="Arial" w:eastAsia="Arial" w:hAnsi="Arial" w:cs="Arial"/>
          <w:color w:val="auto"/>
          <w:sz w:val="22"/>
          <w:szCs w:val="22"/>
        </w:rPr>
        <w:fldChar w:fldCharType="separate"/>
      </w:r>
      <w:r w:rsidRPr="007528E0">
        <w:rPr>
          <w:rFonts w:ascii="Arial" w:eastAsia="Arial" w:hAnsi="Arial" w:cs="Arial"/>
          <w:noProof/>
          <w:color w:val="auto"/>
          <w:sz w:val="22"/>
          <w:szCs w:val="22"/>
        </w:rPr>
        <w:t>(72)</w:t>
      </w:r>
      <w:r w:rsidRPr="007528E0">
        <w:rPr>
          <w:rFonts w:ascii="Arial" w:eastAsia="Arial" w:hAnsi="Arial" w:cs="Arial"/>
          <w:color w:val="auto"/>
          <w:sz w:val="22"/>
          <w:szCs w:val="22"/>
        </w:rPr>
        <w:fldChar w:fldCharType="end"/>
      </w:r>
      <w:r w:rsidRPr="007528E0">
        <w:rPr>
          <w:rFonts w:ascii="Arial" w:eastAsia="Arial" w:hAnsi="Arial" w:cs="Arial"/>
          <w:color w:val="auto"/>
          <w:sz w:val="22"/>
          <w:szCs w:val="22"/>
        </w:rPr>
        <w:t xml:space="preserve">. Generalmente los niños se exponen a estos productos de manera accidental en el ambiente doméstico y los adultos de manera intencional, con productos  de uso industrial o doméstico, la exposición se puede dar por cualquier ruta, siendo la más peligrosa la oral </w:t>
      </w:r>
      <w:r w:rsidRPr="007528E0">
        <w:rPr>
          <w:rFonts w:ascii="Arial" w:eastAsia="Arial" w:hAnsi="Arial" w:cs="Arial"/>
          <w:color w:val="auto"/>
          <w:sz w:val="22"/>
          <w:szCs w:val="22"/>
        </w:rPr>
        <w:fldChar w:fldCharType="begin" w:fldLock="1"/>
      </w:r>
      <w:r w:rsidRPr="007528E0">
        <w:rPr>
          <w:rFonts w:ascii="Arial" w:eastAsia="Arial" w:hAnsi="Arial" w:cs="Arial"/>
          <w:color w:val="auto"/>
          <w:sz w:val="22"/>
          <w:szCs w:val="22"/>
        </w:rPr>
        <w:instrText>ADDIN CSL_CITATION { "citationItems" : [ { "id" : "ITEM-1", "itemData" : { "author" : [ { "dropping-particle" : "", "family" : "Salzman", "given" : "M. and R. O'Malley", "non-dropping-particle" : "", "parse-names" : false, "suffix" : "" } ], "container-title" : "medicine clinics of North America,", "id" : "ITEM-1", "issue" : "25", "issued" : { "date-parts" : [ [ "2007" ] ] }, "page" : "459-476", "title" : "Updates on the evaluation and management of caustic exposures", "type" : "article-journal", "volume" : "2" }, "uris" : [ "http://www.mendeley.com/documents/?uuid=726ff401-fd4e-4f94-b884-7cec8d4c5689" ] } ], "mendeley" : { "formattedCitation" : "(73)", "plainTextFormattedCitation" : "(73)", "previouslyFormattedCitation" : "(73)" }, "properties" : { "noteIndex" : 0 }, "schema" : "https://github.com/citation-style-language/schema/raw/master/csl-citation.json" }</w:instrText>
      </w:r>
      <w:r w:rsidRPr="007528E0">
        <w:rPr>
          <w:rFonts w:ascii="Arial" w:eastAsia="Arial" w:hAnsi="Arial" w:cs="Arial"/>
          <w:color w:val="auto"/>
          <w:sz w:val="22"/>
          <w:szCs w:val="22"/>
        </w:rPr>
        <w:fldChar w:fldCharType="separate"/>
      </w:r>
      <w:r w:rsidRPr="007528E0">
        <w:rPr>
          <w:rFonts w:ascii="Arial" w:eastAsia="Arial" w:hAnsi="Arial" w:cs="Arial"/>
          <w:noProof/>
          <w:color w:val="auto"/>
          <w:sz w:val="22"/>
          <w:szCs w:val="22"/>
        </w:rPr>
        <w:t>(73)</w:t>
      </w:r>
      <w:r w:rsidRPr="007528E0">
        <w:rPr>
          <w:rFonts w:ascii="Arial" w:eastAsia="Arial" w:hAnsi="Arial" w:cs="Arial"/>
          <w:color w:val="auto"/>
          <w:sz w:val="22"/>
          <w:szCs w:val="22"/>
        </w:rPr>
        <w:fldChar w:fldCharType="end"/>
      </w:r>
      <w:r w:rsidRPr="007528E0">
        <w:rPr>
          <w:rFonts w:ascii="Arial" w:eastAsia="Arial" w:hAnsi="Arial" w:cs="Arial"/>
          <w:color w:val="auto"/>
          <w:sz w:val="22"/>
          <w:szCs w:val="22"/>
        </w:rPr>
        <w:t>. En los últimos años se han presentado en el país casos de quemaduras cutáneas por cáusticos en personas que son agredidas por un tercero.</w:t>
      </w:r>
    </w:p>
    <w:p w14:paraId="0A78B207" w14:textId="77777777" w:rsidR="0037398A" w:rsidRPr="007528E0" w:rsidRDefault="0037398A" w:rsidP="0037398A">
      <w:pPr>
        <w:pStyle w:val="Descripcin"/>
        <w:spacing w:before="100" w:beforeAutospacing="1" w:after="100" w:afterAutospacing="1"/>
        <w:jc w:val="center"/>
        <w:rPr>
          <w:rFonts w:cs="Arial"/>
          <w:color w:val="auto"/>
          <w:sz w:val="22"/>
          <w:szCs w:val="22"/>
        </w:rPr>
      </w:pPr>
      <w:bookmarkStart w:id="35" w:name="_Toc505456262"/>
      <w:r w:rsidRPr="007528E0">
        <w:rPr>
          <w:rFonts w:cs="Arial"/>
          <w:b/>
          <w:color w:val="auto"/>
          <w:sz w:val="22"/>
          <w:szCs w:val="22"/>
        </w:rPr>
        <w:t xml:space="preserve">Tabla </w:t>
      </w:r>
      <w:r w:rsidRPr="007528E0">
        <w:rPr>
          <w:rFonts w:cs="Arial"/>
          <w:b/>
          <w:color w:val="auto"/>
          <w:sz w:val="22"/>
          <w:szCs w:val="22"/>
        </w:rPr>
        <w:fldChar w:fldCharType="begin"/>
      </w:r>
      <w:r w:rsidRPr="007528E0">
        <w:rPr>
          <w:rFonts w:cs="Arial"/>
          <w:b/>
          <w:color w:val="auto"/>
          <w:sz w:val="22"/>
          <w:szCs w:val="22"/>
        </w:rPr>
        <w:instrText xml:space="preserve"> SEQ Tabla \* ARABIC </w:instrText>
      </w:r>
      <w:r w:rsidRPr="007528E0">
        <w:rPr>
          <w:rFonts w:cs="Arial"/>
          <w:b/>
          <w:color w:val="auto"/>
          <w:sz w:val="22"/>
          <w:szCs w:val="22"/>
        </w:rPr>
        <w:fldChar w:fldCharType="separate"/>
      </w:r>
      <w:r w:rsidRPr="007528E0">
        <w:rPr>
          <w:rFonts w:cs="Arial"/>
          <w:b/>
          <w:noProof/>
          <w:color w:val="auto"/>
          <w:sz w:val="22"/>
          <w:szCs w:val="22"/>
        </w:rPr>
        <w:t>16</w:t>
      </w:r>
      <w:r w:rsidRPr="007528E0">
        <w:rPr>
          <w:rFonts w:cs="Arial"/>
          <w:b/>
          <w:color w:val="auto"/>
          <w:sz w:val="22"/>
          <w:szCs w:val="22"/>
        </w:rPr>
        <w:fldChar w:fldCharType="end"/>
      </w:r>
      <w:r w:rsidRPr="007528E0">
        <w:rPr>
          <w:rFonts w:cs="Arial"/>
          <w:b/>
          <w:color w:val="auto"/>
          <w:sz w:val="22"/>
          <w:szCs w:val="22"/>
        </w:rPr>
        <w:t>.</w:t>
      </w:r>
      <w:r w:rsidRPr="007528E0">
        <w:rPr>
          <w:rFonts w:cs="Arial"/>
          <w:color w:val="auto"/>
          <w:sz w:val="22"/>
          <w:szCs w:val="22"/>
        </w:rPr>
        <w:t xml:space="preserve"> Tipos de cáusticos y manifestaciones clínicas.</w:t>
      </w:r>
      <w:bookmarkEnd w:id="35"/>
    </w:p>
    <w:tbl>
      <w:tblPr>
        <w:tblStyle w:val="Tablaconcuadrcula"/>
        <w:tblW w:w="0" w:type="auto"/>
        <w:jc w:val="center"/>
        <w:tblLook w:val="04A0" w:firstRow="1" w:lastRow="0" w:firstColumn="1" w:lastColumn="0" w:noHBand="0" w:noVBand="1"/>
      </w:tblPr>
      <w:tblGrid>
        <w:gridCol w:w="1109"/>
        <w:gridCol w:w="2835"/>
        <w:gridCol w:w="4708"/>
      </w:tblGrid>
      <w:tr w:rsidR="007528E0" w:rsidRPr="007528E0" w14:paraId="3666298D" w14:textId="77777777" w:rsidTr="007528E0">
        <w:trPr>
          <w:jc w:val="center"/>
        </w:trPr>
        <w:tc>
          <w:tcPr>
            <w:tcW w:w="1109" w:type="dxa"/>
          </w:tcPr>
          <w:p w14:paraId="53526B71" w14:textId="77777777" w:rsidR="0037398A" w:rsidRPr="007528E0" w:rsidRDefault="0037398A" w:rsidP="007528E0">
            <w:pPr>
              <w:pStyle w:val="Normal1"/>
              <w:spacing w:before="100" w:beforeAutospacing="1" w:after="100" w:afterAutospacing="1"/>
              <w:jc w:val="center"/>
              <w:rPr>
                <w:rFonts w:ascii="Arial" w:eastAsia="Arial" w:hAnsi="Arial" w:cs="Arial"/>
                <w:b/>
                <w:color w:val="auto"/>
                <w:sz w:val="20"/>
                <w:szCs w:val="20"/>
              </w:rPr>
            </w:pPr>
            <w:r w:rsidRPr="007528E0">
              <w:rPr>
                <w:rFonts w:ascii="Arial" w:eastAsia="Arial" w:hAnsi="Arial" w:cs="Arial"/>
                <w:b/>
                <w:color w:val="auto"/>
                <w:sz w:val="20"/>
                <w:szCs w:val="20"/>
              </w:rPr>
              <w:t>Tipo de cáustico</w:t>
            </w:r>
          </w:p>
        </w:tc>
        <w:tc>
          <w:tcPr>
            <w:tcW w:w="2835" w:type="dxa"/>
          </w:tcPr>
          <w:p w14:paraId="1BF0B109" w14:textId="77777777" w:rsidR="0037398A" w:rsidRPr="007528E0" w:rsidRDefault="0037398A" w:rsidP="007528E0">
            <w:pPr>
              <w:pStyle w:val="Normal1"/>
              <w:spacing w:before="100" w:beforeAutospacing="1" w:after="100" w:afterAutospacing="1"/>
              <w:jc w:val="center"/>
              <w:rPr>
                <w:rFonts w:ascii="Arial" w:eastAsia="Arial" w:hAnsi="Arial" w:cs="Arial"/>
                <w:b/>
                <w:color w:val="auto"/>
                <w:sz w:val="20"/>
                <w:szCs w:val="20"/>
              </w:rPr>
            </w:pPr>
            <w:r w:rsidRPr="007528E0">
              <w:rPr>
                <w:rFonts w:ascii="Arial" w:eastAsia="Arial" w:hAnsi="Arial" w:cs="Arial"/>
                <w:b/>
                <w:color w:val="auto"/>
                <w:sz w:val="20"/>
                <w:szCs w:val="20"/>
              </w:rPr>
              <w:t>Ejemplos</w:t>
            </w:r>
          </w:p>
        </w:tc>
        <w:tc>
          <w:tcPr>
            <w:tcW w:w="4708" w:type="dxa"/>
          </w:tcPr>
          <w:p w14:paraId="7BC457B8" w14:textId="77777777" w:rsidR="0037398A" w:rsidRPr="007528E0" w:rsidRDefault="0037398A" w:rsidP="007528E0">
            <w:pPr>
              <w:pStyle w:val="Normal1"/>
              <w:spacing w:before="100" w:beforeAutospacing="1" w:after="100" w:afterAutospacing="1"/>
              <w:jc w:val="center"/>
              <w:rPr>
                <w:rFonts w:ascii="Arial" w:eastAsia="Arial" w:hAnsi="Arial" w:cs="Arial"/>
                <w:b/>
                <w:color w:val="auto"/>
                <w:sz w:val="20"/>
                <w:szCs w:val="20"/>
              </w:rPr>
            </w:pPr>
            <w:r w:rsidRPr="007528E0">
              <w:rPr>
                <w:rFonts w:ascii="Arial" w:eastAsia="Arial" w:hAnsi="Arial" w:cs="Arial"/>
                <w:b/>
                <w:color w:val="auto"/>
                <w:sz w:val="20"/>
                <w:szCs w:val="20"/>
              </w:rPr>
              <w:t>Manifestaciones clínicas</w:t>
            </w:r>
          </w:p>
        </w:tc>
      </w:tr>
      <w:tr w:rsidR="007528E0" w:rsidRPr="007528E0" w14:paraId="6CFC810E" w14:textId="77777777" w:rsidTr="007528E0">
        <w:trPr>
          <w:jc w:val="center"/>
        </w:trPr>
        <w:tc>
          <w:tcPr>
            <w:tcW w:w="1109" w:type="dxa"/>
          </w:tcPr>
          <w:p w14:paraId="0854DBDF" w14:textId="77777777" w:rsidR="0037398A" w:rsidRPr="007528E0" w:rsidRDefault="0037398A" w:rsidP="007528E0">
            <w:pPr>
              <w:pStyle w:val="Normal1"/>
              <w:spacing w:before="100" w:beforeAutospacing="1" w:after="100" w:afterAutospacing="1"/>
              <w:jc w:val="center"/>
              <w:rPr>
                <w:rFonts w:ascii="Arial" w:eastAsia="Arial" w:hAnsi="Arial" w:cs="Arial"/>
                <w:color w:val="auto"/>
                <w:sz w:val="20"/>
                <w:szCs w:val="20"/>
              </w:rPr>
            </w:pPr>
            <w:r w:rsidRPr="007528E0">
              <w:rPr>
                <w:rFonts w:ascii="Arial" w:eastAsia="Arial" w:hAnsi="Arial" w:cs="Arial"/>
                <w:color w:val="auto"/>
                <w:sz w:val="20"/>
                <w:szCs w:val="20"/>
              </w:rPr>
              <w:t>Ácidos</w:t>
            </w:r>
          </w:p>
        </w:tc>
        <w:tc>
          <w:tcPr>
            <w:tcW w:w="2835" w:type="dxa"/>
          </w:tcPr>
          <w:p w14:paraId="3A839EBA" w14:textId="77777777" w:rsidR="0037398A" w:rsidRPr="007528E0" w:rsidRDefault="0037398A" w:rsidP="007528E0">
            <w:pPr>
              <w:pStyle w:val="Normal1"/>
              <w:spacing w:before="100" w:beforeAutospacing="1" w:after="100" w:afterAutospacing="1"/>
              <w:jc w:val="both"/>
              <w:rPr>
                <w:rFonts w:ascii="Arial" w:hAnsi="Arial" w:cs="Arial"/>
                <w:color w:val="auto"/>
                <w:sz w:val="20"/>
                <w:szCs w:val="20"/>
              </w:rPr>
            </w:pPr>
            <w:r w:rsidRPr="007528E0">
              <w:rPr>
                <w:rFonts w:ascii="Arial" w:eastAsia="Arial" w:hAnsi="Arial" w:cs="Arial"/>
                <w:color w:val="auto"/>
                <w:sz w:val="20"/>
                <w:szCs w:val="20"/>
              </w:rPr>
              <w:t>Ácido clorhídrico o muriático (limpiador de sanitarios y óxido), sulfúrico (líquido de baterías), oxálico (limpiador de metales y madera) y acético (vinagre).</w:t>
            </w:r>
          </w:p>
          <w:p w14:paraId="666D1F8F" w14:textId="77777777" w:rsidR="0037398A" w:rsidRPr="007528E0" w:rsidRDefault="0037398A" w:rsidP="007528E0">
            <w:pPr>
              <w:pStyle w:val="Normal1"/>
              <w:spacing w:before="100" w:beforeAutospacing="1" w:after="100" w:afterAutospacing="1"/>
              <w:jc w:val="both"/>
              <w:rPr>
                <w:rFonts w:ascii="Arial" w:eastAsia="Arial" w:hAnsi="Arial" w:cs="Arial"/>
                <w:color w:val="auto"/>
                <w:sz w:val="20"/>
                <w:szCs w:val="20"/>
              </w:rPr>
            </w:pPr>
          </w:p>
        </w:tc>
        <w:tc>
          <w:tcPr>
            <w:tcW w:w="4708" w:type="dxa"/>
          </w:tcPr>
          <w:p w14:paraId="03609090" w14:textId="77777777" w:rsidR="0037398A" w:rsidRPr="007528E0" w:rsidRDefault="0037398A" w:rsidP="007528E0">
            <w:pPr>
              <w:pStyle w:val="Normal1"/>
              <w:spacing w:before="100" w:beforeAutospacing="1" w:after="100" w:afterAutospacing="1"/>
              <w:jc w:val="both"/>
              <w:rPr>
                <w:rFonts w:ascii="Arial" w:eastAsia="Arial" w:hAnsi="Arial" w:cs="Arial"/>
                <w:color w:val="auto"/>
                <w:sz w:val="20"/>
                <w:szCs w:val="20"/>
              </w:rPr>
            </w:pPr>
            <w:r w:rsidRPr="007528E0">
              <w:rPr>
                <w:rFonts w:ascii="Arial" w:eastAsia="Arial" w:hAnsi="Arial" w:cs="Arial"/>
                <w:color w:val="auto"/>
                <w:sz w:val="20"/>
                <w:szCs w:val="20"/>
              </w:rPr>
              <w:t>Producen edema, eritema y úlceras por necrosis de coagulación. Se aprecian quemaduras de mucosas, piel y cualquier tejido en contacto con el ácido. La ingestión produce sialorrea, sed, odinofagia, disfagia, hematemesis y dolor abdominal. La muerte puede sobrevenir por shock, broncoaspiración o infecciones.</w:t>
            </w:r>
          </w:p>
          <w:p w14:paraId="2A968F19" w14:textId="77777777" w:rsidR="0037398A" w:rsidRPr="007528E0" w:rsidRDefault="0037398A" w:rsidP="007528E0">
            <w:pPr>
              <w:pStyle w:val="Normal1"/>
              <w:spacing w:before="100" w:beforeAutospacing="1" w:after="100" w:afterAutospacing="1"/>
              <w:jc w:val="both"/>
              <w:rPr>
                <w:rFonts w:ascii="Arial" w:eastAsia="Arial" w:hAnsi="Arial" w:cs="Arial"/>
                <w:color w:val="auto"/>
                <w:sz w:val="20"/>
                <w:szCs w:val="20"/>
              </w:rPr>
            </w:pPr>
            <w:r w:rsidRPr="007528E0">
              <w:rPr>
                <w:rFonts w:ascii="Arial" w:eastAsia="Arial" w:hAnsi="Arial" w:cs="Arial"/>
                <w:color w:val="auto"/>
                <w:sz w:val="20"/>
                <w:szCs w:val="20"/>
              </w:rPr>
              <w:t xml:space="preserve">La mezcla de ácido muriático (clorhídrico) con blanqueador (hipoclorito) con fines de limpieza, produce una reacción exotérmica con generación de vapores y toxicidad inhalatoria que se manifiesta por tos, disnea, dolor pleurítico, edema pulmonar, hipoxemia, broncoespasmo, neumonitis o </w:t>
            </w:r>
            <w:proofErr w:type="spellStart"/>
            <w:r w:rsidRPr="007528E0">
              <w:rPr>
                <w:rFonts w:ascii="Arial" w:eastAsia="Arial" w:hAnsi="Arial" w:cs="Arial"/>
                <w:color w:val="auto"/>
                <w:sz w:val="20"/>
                <w:szCs w:val="20"/>
              </w:rPr>
              <w:t>traqueobronquitis</w:t>
            </w:r>
            <w:proofErr w:type="spellEnd"/>
            <w:r w:rsidRPr="007528E0">
              <w:rPr>
                <w:rFonts w:ascii="Arial" w:eastAsia="Arial" w:hAnsi="Arial" w:cs="Arial"/>
                <w:color w:val="auto"/>
                <w:sz w:val="20"/>
                <w:szCs w:val="20"/>
              </w:rPr>
              <w:t>.</w:t>
            </w:r>
          </w:p>
        </w:tc>
      </w:tr>
      <w:tr w:rsidR="007528E0" w:rsidRPr="007528E0" w14:paraId="777AEBC1" w14:textId="77777777" w:rsidTr="007528E0">
        <w:trPr>
          <w:jc w:val="center"/>
        </w:trPr>
        <w:tc>
          <w:tcPr>
            <w:tcW w:w="1109" w:type="dxa"/>
          </w:tcPr>
          <w:p w14:paraId="2DEFE129" w14:textId="77777777" w:rsidR="0037398A" w:rsidRPr="007528E0" w:rsidRDefault="0037398A" w:rsidP="007528E0">
            <w:pPr>
              <w:pStyle w:val="Normal1"/>
              <w:spacing w:before="100" w:beforeAutospacing="1" w:after="100" w:afterAutospacing="1"/>
              <w:jc w:val="center"/>
              <w:rPr>
                <w:rFonts w:ascii="Arial" w:hAnsi="Arial" w:cs="Arial"/>
                <w:color w:val="auto"/>
                <w:sz w:val="20"/>
                <w:szCs w:val="20"/>
              </w:rPr>
            </w:pPr>
            <w:r w:rsidRPr="007528E0">
              <w:rPr>
                <w:rFonts w:ascii="Arial" w:eastAsia="Arial" w:hAnsi="Arial" w:cs="Arial"/>
                <w:color w:val="auto"/>
                <w:sz w:val="20"/>
                <w:szCs w:val="20"/>
              </w:rPr>
              <w:t>Álcalis (bases)</w:t>
            </w:r>
          </w:p>
        </w:tc>
        <w:tc>
          <w:tcPr>
            <w:tcW w:w="2835" w:type="dxa"/>
          </w:tcPr>
          <w:p w14:paraId="669DAB19" w14:textId="77777777" w:rsidR="0037398A" w:rsidRPr="007528E0" w:rsidRDefault="0037398A" w:rsidP="007528E0">
            <w:pPr>
              <w:pStyle w:val="Normal1"/>
              <w:spacing w:before="100" w:beforeAutospacing="1" w:after="100" w:afterAutospacing="1"/>
              <w:jc w:val="both"/>
              <w:rPr>
                <w:rFonts w:ascii="Arial" w:eastAsia="Arial" w:hAnsi="Arial" w:cs="Arial"/>
                <w:color w:val="auto"/>
                <w:sz w:val="20"/>
                <w:szCs w:val="20"/>
              </w:rPr>
            </w:pPr>
            <w:r w:rsidRPr="007528E0">
              <w:rPr>
                <w:rFonts w:ascii="Arial" w:eastAsia="Arial" w:hAnsi="Arial" w:cs="Arial"/>
                <w:color w:val="auto"/>
                <w:sz w:val="20"/>
                <w:szCs w:val="20"/>
              </w:rPr>
              <w:t>Hipoclorito de sodio (blanqueadores de ropa, desinfectantes), el hidróxido de sodio, soda cáustica o lejía (limpiador de hornos, destapa cañerías, removedor de pinturas) y el hidróxido de potasio (limpia hornos, desengrasante, pilas de reloj), amoniaco (desengrasante), hidróxido de amonio (quitamanchas).</w:t>
            </w:r>
          </w:p>
        </w:tc>
        <w:tc>
          <w:tcPr>
            <w:tcW w:w="4708" w:type="dxa"/>
          </w:tcPr>
          <w:p w14:paraId="49B9C9AE" w14:textId="77777777" w:rsidR="0037398A" w:rsidRPr="007528E0" w:rsidRDefault="0037398A" w:rsidP="007528E0">
            <w:pPr>
              <w:pStyle w:val="Normal1"/>
              <w:spacing w:before="100" w:beforeAutospacing="1" w:after="100" w:afterAutospacing="1"/>
              <w:jc w:val="both"/>
              <w:rPr>
                <w:rFonts w:ascii="Arial" w:hAnsi="Arial" w:cs="Arial"/>
                <w:color w:val="auto"/>
                <w:sz w:val="20"/>
                <w:szCs w:val="20"/>
              </w:rPr>
            </w:pPr>
            <w:r w:rsidRPr="007528E0">
              <w:rPr>
                <w:rFonts w:ascii="Arial" w:eastAsia="Arial" w:hAnsi="Arial" w:cs="Arial"/>
                <w:color w:val="auto"/>
                <w:sz w:val="20"/>
                <w:szCs w:val="20"/>
              </w:rPr>
              <w:t>Los iones OH</w:t>
            </w:r>
            <w:r w:rsidRPr="007528E0">
              <w:rPr>
                <w:rFonts w:ascii="Arial" w:eastAsia="Arial" w:hAnsi="Arial" w:cs="Arial"/>
                <w:color w:val="auto"/>
                <w:sz w:val="20"/>
                <w:szCs w:val="20"/>
                <w:vertAlign w:val="superscript"/>
              </w:rPr>
              <w:t>-</w:t>
            </w:r>
            <w:r w:rsidRPr="007528E0">
              <w:rPr>
                <w:rFonts w:ascii="Arial" w:eastAsia="Arial" w:hAnsi="Arial" w:cs="Arial"/>
                <w:color w:val="auto"/>
                <w:sz w:val="20"/>
                <w:szCs w:val="20"/>
              </w:rPr>
              <w:t xml:space="preserve"> disociados penetran en el tejido y causan necrosis de licuefacción. Los corrosivos alcalinos pueden producir quemaduras de la orofaringe, vía aérea superior, esófago y estómago (la ausencia de quemaduras visibles orales no excluye la presencia de lesiones internas). Usualmente los pacientes presentan sialorrea, odinofagia, disfagia, estridor laríngeo, vómito y hematemesis. El aspecto de la mucosa oral es inicialmente blanquecino, luego oscuro, edematoso y ulcerado.  La muerte puede sobrevenir por shock o broncoaspiración.</w:t>
            </w:r>
          </w:p>
        </w:tc>
      </w:tr>
    </w:tbl>
    <w:p w14:paraId="41B33942" w14:textId="77777777" w:rsidR="0037398A" w:rsidRPr="007528E0" w:rsidRDefault="0037398A" w:rsidP="0037398A">
      <w:pPr>
        <w:pStyle w:val="Normal1"/>
        <w:spacing w:before="100" w:beforeAutospacing="1" w:after="100" w:afterAutospacing="1"/>
        <w:jc w:val="center"/>
        <w:rPr>
          <w:rFonts w:ascii="Arial" w:eastAsia="Arial" w:hAnsi="Arial" w:cs="Arial"/>
          <w:color w:val="auto"/>
          <w:sz w:val="16"/>
          <w:szCs w:val="16"/>
        </w:rPr>
      </w:pPr>
      <w:r w:rsidRPr="007528E0">
        <w:rPr>
          <w:rFonts w:ascii="Arial" w:eastAsia="Arial" w:hAnsi="Arial" w:cs="Arial"/>
          <w:color w:val="auto"/>
          <w:sz w:val="16"/>
          <w:szCs w:val="16"/>
        </w:rPr>
        <w:t xml:space="preserve">Fuente: Elaborada a partir de las referencias </w:t>
      </w:r>
      <w:r w:rsidRPr="007528E0">
        <w:rPr>
          <w:rFonts w:ascii="Arial" w:eastAsia="Arial" w:hAnsi="Arial" w:cs="Arial"/>
          <w:color w:val="auto"/>
          <w:sz w:val="16"/>
          <w:szCs w:val="16"/>
        </w:rPr>
        <w:fldChar w:fldCharType="begin" w:fldLock="1"/>
      </w:r>
      <w:r w:rsidRPr="007528E0">
        <w:rPr>
          <w:rFonts w:ascii="Arial" w:eastAsia="Arial" w:hAnsi="Arial" w:cs="Arial"/>
          <w:color w:val="auto"/>
          <w:sz w:val="16"/>
          <w:szCs w:val="16"/>
        </w:rPr>
        <w:instrText>ADDIN CSL_CITATION { "citationItems" : [ { "id" : "ITEM-1", "itemData" : { "author" : [ { "dropping-particle" : "", "family" : "Kardon", "given" : "E.", "non-dropping-particle" : "", "parse-names" : false, "suffix" : "" } ], "id" : "ITEM-1", "issued" : { "date-parts" : [ [ "2010" ] ] }, "title" : "Caustic ingestions. In. Medscape Reference", "type" : "report" }, "uris" : [ "http://www.mendeley.com/documents/?uuid=4bb5d997-1328-4e7e-b3a1-f8187175674f" ] } ], "mendeley" : { "formattedCitation" : "(71)", "plainTextFormattedCitation" : "(71)", "previouslyFormattedCitation" : "(71)" }, "properties" : { "noteIndex" : 0 }, "schema" : "https://github.com/citation-style-language/schema/raw/master/csl-citation.json" }</w:instrText>
      </w:r>
      <w:r w:rsidRPr="007528E0">
        <w:rPr>
          <w:rFonts w:ascii="Arial" w:eastAsia="Arial" w:hAnsi="Arial" w:cs="Arial"/>
          <w:color w:val="auto"/>
          <w:sz w:val="16"/>
          <w:szCs w:val="16"/>
        </w:rPr>
        <w:fldChar w:fldCharType="separate"/>
      </w:r>
      <w:r w:rsidRPr="007528E0">
        <w:rPr>
          <w:rFonts w:ascii="Arial" w:eastAsia="Arial" w:hAnsi="Arial" w:cs="Arial"/>
          <w:noProof/>
          <w:color w:val="auto"/>
          <w:sz w:val="16"/>
          <w:szCs w:val="16"/>
        </w:rPr>
        <w:t>(71)</w:t>
      </w:r>
      <w:r w:rsidRPr="007528E0">
        <w:rPr>
          <w:rFonts w:ascii="Arial" w:eastAsia="Arial" w:hAnsi="Arial" w:cs="Arial"/>
          <w:color w:val="auto"/>
          <w:sz w:val="16"/>
          <w:szCs w:val="16"/>
        </w:rPr>
        <w:fldChar w:fldCharType="end"/>
      </w:r>
      <w:r w:rsidRPr="007528E0">
        <w:rPr>
          <w:rFonts w:ascii="Arial" w:eastAsia="Arial" w:hAnsi="Arial" w:cs="Arial"/>
          <w:color w:val="auto"/>
          <w:sz w:val="16"/>
          <w:szCs w:val="16"/>
        </w:rPr>
        <w:fldChar w:fldCharType="begin" w:fldLock="1"/>
      </w:r>
      <w:r w:rsidRPr="007528E0">
        <w:rPr>
          <w:rFonts w:ascii="Arial" w:eastAsia="Arial" w:hAnsi="Arial" w:cs="Arial"/>
          <w:color w:val="auto"/>
          <w:sz w:val="16"/>
          <w:szCs w:val="16"/>
        </w:rPr>
        <w:instrText>ADDIN CSL_CITATION { "citationItems" : [ { "id" : "ITEM-1", "itemData" : { "author" : [ { "dropping-particle" : "", "family" : "Alzate", "given" : "L M.", "non-dropping-particle" : "", "parse-names" : false, "suffix" : "" } ], "id" : "ITEM-1", "issued" : { "date-parts" : [ [ "0" ] ] }, "publisher" : "Universidad de Antioquia. Medell\u00edn.1996.", "title" : "Intoxicaci\u00f3n cr\u00f3nica con mercurio en mineros del oro y frecuencia de malformaciones cong\u00e9nitas, abortos y muertes perinatales en el municipio de Quinch\u00eca, Departamento de Risaralda", "type" : "thesis" }, "uris" : [ "http://www.mendeley.com/documents/?uuid=24af2c66-80e9-48fd-9794-c56c2854cb5d" ] } ], "mendeley" : { "formattedCitation" : "(74)", "plainTextFormattedCitation" : "(74)", "previouslyFormattedCitation" : "(74)" }, "properties" : { "noteIndex" : 0 }, "schema" : "https://github.com/citation-style-language/schema/raw/master/csl-citation.json" }</w:instrText>
      </w:r>
      <w:r w:rsidRPr="007528E0">
        <w:rPr>
          <w:rFonts w:ascii="Arial" w:eastAsia="Arial" w:hAnsi="Arial" w:cs="Arial"/>
          <w:color w:val="auto"/>
          <w:sz w:val="16"/>
          <w:szCs w:val="16"/>
        </w:rPr>
        <w:fldChar w:fldCharType="separate"/>
      </w:r>
      <w:r w:rsidRPr="007528E0">
        <w:rPr>
          <w:rFonts w:ascii="Arial" w:eastAsia="Arial" w:hAnsi="Arial" w:cs="Arial"/>
          <w:noProof/>
          <w:color w:val="auto"/>
          <w:sz w:val="16"/>
          <w:szCs w:val="16"/>
        </w:rPr>
        <w:t>(74)</w:t>
      </w:r>
      <w:r w:rsidRPr="007528E0">
        <w:rPr>
          <w:rFonts w:ascii="Arial" w:eastAsia="Arial" w:hAnsi="Arial" w:cs="Arial"/>
          <w:color w:val="auto"/>
          <w:sz w:val="16"/>
          <w:szCs w:val="16"/>
        </w:rPr>
        <w:fldChar w:fldCharType="end"/>
      </w:r>
      <w:r w:rsidRPr="007528E0">
        <w:rPr>
          <w:rFonts w:ascii="Arial" w:eastAsia="Arial" w:hAnsi="Arial" w:cs="Arial"/>
          <w:color w:val="auto"/>
          <w:sz w:val="16"/>
          <w:szCs w:val="16"/>
        </w:rPr>
        <w:fldChar w:fldCharType="begin" w:fldLock="1"/>
      </w:r>
      <w:r w:rsidRPr="007528E0">
        <w:rPr>
          <w:rFonts w:ascii="Arial" w:eastAsia="Arial" w:hAnsi="Arial" w:cs="Arial"/>
          <w:color w:val="auto"/>
          <w:sz w:val="16"/>
          <w:szCs w:val="16"/>
        </w:rPr>
        <w:instrText>ADDIN CSL_CITATION { "citationItems" : [ { "id" : "ITEM-1", "itemData" : { "author" : [ { "dropping-particle" : "", "family" : "Havanond", "given" : "C. and P. Havanond", "non-dropping-particle" : "", "parse-names" : false, "suffix" : "" } ], "container-title" : "The Journal of emergency medicine", "id" : "ITEM-1", "issue" : "33", "issued" : { "date-parts" : [ [ "2007" ] ] }, "page" : "349-353", "title" : "Initial signs and symptoms as prognostic indicators of severe gastrointestinal tract injury due to corrosive ingestion.", "type" : "article-journal", "volume" : "4" }, "uris" : [ "http://www.mendeley.com/documents/?uuid=34a45e4f-c6ea-4ad3-9849-e502bb30997d" ] } ], "mendeley" : { "formattedCitation" : "(75)", "plainTextFormattedCitation" : "(75)", "previouslyFormattedCitation" : "(75)" }, "properties" : { "noteIndex" : 0 }, "schema" : "https://github.com/citation-style-language/schema/raw/master/csl-citation.json" }</w:instrText>
      </w:r>
      <w:r w:rsidRPr="007528E0">
        <w:rPr>
          <w:rFonts w:ascii="Arial" w:eastAsia="Arial" w:hAnsi="Arial" w:cs="Arial"/>
          <w:color w:val="auto"/>
          <w:sz w:val="16"/>
          <w:szCs w:val="16"/>
        </w:rPr>
        <w:fldChar w:fldCharType="separate"/>
      </w:r>
      <w:r w:rsidRPr="007528E0">
        <w:rPr>
          <w:rFonts w:ascii="Arial" w:eastAsia="Arial" w:hAnsi="Arial" w:cs="Arial"/>
          <w:noProof/>
          <w:color w:val="auto"/>
          <w:sz w:val="16"/>
          <w:szCs w:val="16"/>
        </w:rPr>
        <w:t>(75)</w:t>
      </w:r>
      <w:r w:rsidRPr="007528E0">
        <w:rPr>
          <w:rFonts w:ascii="Arial" w:eastAsia="Arial" w:hAnsi="Arial" w:cs="Arial"/>
          <w:color w:val="auto"/>
          <w:sz w:val="16"/>
          <w:szCs w:val="16"/>
        </w:rPr>
        <w:fldChar w:fldCharType="end"/>
      </w:r>
      <w:r w:rsidRPr="007528E0">
        <w:rPr>
          <w:rFonts w:ascii="Arial" w:eastAsia="Arial" w:hAnsi="Arial" w:cs="Arial"/>
          <w:color w:val="auto"/>
          <w:sz w:val="16"/>
          <w:szCs w:val="16"/>
        </w:rPr>
        <w:t xml:space="preserve"> </w:t>
      </w:r>
    </w:p>
    <w:p w14:paraId="13A8736B" w14:textId="77777777" w:rsidR="0037398A" w:rsidRPr="007528E0" w:rsidRDefault="0037398A" w:rsidP="0037398A">
      <w:pPr>
        <w:pStyle w:val="Prrafodelista"/>
        <w:spacing w:before="100" w:beforeAutospacing="1" w:after="100" w:afterAutospacing="1" w:line="240" w:lineRule="auto"/>
        <w:ind w:left="0"/>
        <w:rPr>
          <w:rFonts w:cs="Arial"/>
          <w:b/>
          <w:szCs w:val="22"/>
        </w:rPr>
      </w:pPr>
      <w:r w:rsidRPr="007528E0">
        <w:rPr>
          <w:rFonts w:cs="Arial"/>
          <w:b/>
          <w:szCs w:val="22"/>
        </w:rPr>
        <w:t>Plantas</w:t>
      </w:r>
    </w:p>
    <w:p w14:paraId="40608C90" w14:textId="77777777" w:rsidR="0037398A" w:rsidRPr="007528E0" w:rsidRDefault="0037398A" w:rsidP="0037398A">
      <w:pPr>
        <w:pStyle w:val="Normal1"/>
        <w:spacing w:before="100" w:beforeAutospacing="1" w:after="100" w:afterAutospacing="1"/>
        <w:jc w:val="both"/>
        <w:rPr>
          <w:rFonts w:ascii="Arial" w:hAnsi="Arial" w:cs="Arial"/>
          <w:color w:val="auto"/>
          <w:sz w:val="22"/>
          <w:szCs w:val="22"/>
        </w:rPr>
      </w:pPr>
      <w:r w:rsidRPr="007528E0">
        <w:rPr>
          <w:rFonts w:ascii="Arial" w:eastAsia="Arial" w:hAnsi="Arial" w:cs="Arial"/>
          <w:color w:val="auto"/>
          <w:sz w:val="22"/>
          <w:szCs w:val="22"/>
        </w:rPr>
        <w:lastRenderedPageBreak/>
        <w:t>Las plantas medicinales se han usado durante cientos de años, en sus formas primarias o en mezclas. El objetivo de la medicina herbaria puede variar en las diferentes culturas, para mejorar la salud o aliviar las enfermedades. Usualmente las personas consideran las plantas como no tóxicas, o poco peligrosas por su origen natural, sin embargo pueden producir efectos adversos e intoxicaciones.</w:t>
      </w:r>
    </w:p>
    <w:p w14:paraId="52FD4F19" w14:textId="77777777" w:rsidR="0037398A" w:rsidRPr="007528E0" w:rsidRDefault="0037398A" w:rsidP="0037398A">
      <w:pPr>
        <w:pStyle w:val="Normal1"/>
        <w:spacing w:before="100" w:beforeAutospacing="1" w:after="100" w:afterAutospacing="1"/>
        <w:jc w:val="both"/>
        <w:rPr>
          <w:rFonts w:ascii="Arial" w:eastAsia="Arial" w:hAnsi="Arial" w:cs="Arial"/>
          <w:color w:val="auto"/>
          <w:sz w:val="22"/>
          <w:szCs w:val="22"/>
        </w:rPr>
      </w:pPr>
      <w:r w:rsidRPr="007528E0">
        <w:rPr>
          <w:rFonts w:ascii="Arial" w:eastAsia="Arial" w:hAnsi="Arial" w:cs="Arial"/>
          <w:color w:val="auto"/>
          <w:sz w:val="22"/>
          <w:szCs w:val="22"/>
        </w:rPr>
        <w:t xml:space="preserve">Para efectos de la notificación se considerará intoxicación por plantas cuando se desarrollen manifestaciones clínicas o alteraciones de laboratorio después de la exposición a una planta (completa o una de sus partes) y que no se encuentre dentro de la categoría de producto </w:t>
      </w:r>
      <w:proofErr w:type="spellStart"/>
      <w:r w:rsidRPr="007528E0">
        <w:rPr>
          <w:rFonts w:ascii="Arial" w:eastAsia="Arial" w:hAnsi="Arial" w:cs="Arial"/>
          <w:color w:val="auto"/>
          <w:sz w:val="22"/>
          <w:szCs w:val="22"/>
        </w:rPr>
        <w:t>fitoterapéutico</w:t>
      </w:r>
      <w:proofErr w:type="spellEnd"/>
      <w:r w:rsidRPr="007528E0">
        <w:rPr>
          <w:rFonts w:ascii="Arial" w:eastAsia="Arial" w:hAnsi="Arial" w:cs="Arial"/>
          <w:color w:val="auto"/>
          <w:sz w:val="22"/>
          <w:szCs w:val="22"/>
        </w:rPr>
        <w:t xml:space="preserve"> que tenga registro Invima. Las intoxicaciones por plantas puede ser por exposición única o repetida, y afectar uno o varios órganos y sistemas como: el hígado, riñón y vías urinarias, tracto gastrointestinal, sistema nervioso central, cardiovascular o la piel.</w:t>
      </w:r>
    </w:p>
    <w:p w14:paraId="5AD0434E" w14:textId="77777777" w:rsidR="0037398A" w:rsidRPr="007528E0" w:rsidRDefault="0037398A" w:rsidP="0037398A">
      <w:pPr>
        <w:pStyle w:val="Normal1"/>
        <w:spacing w:before="100" w:beforeAutospacing="1" w:after="100" w:afterAutospacing="1"/>
        <w:jc w:val="both"/>
        <w:rPr>
          <w:rFonts w:ascii="Arial" w:eastAsia="Arial" w:hAnsi="Arial" w:cs="Arial"/>
          <w:color w:val="auto"/>
          <w:sz w:val="22"/>
          <w:szCs w:val="22"/>
        </w:rPr>
      </w:pPr>
      <w:r w:rsidRPr="007528E0">
        <w:rPr>
          <w:rFonts w:ascii="Arial" w:eastAsia="Arial" w:hAnsi="Arial" w:cs="Arial"/>
          <w:color w:val="auto"/>
          <w:sz w:val="22"/>
          <w:szCs w:val="22"/>
        </w:rPr>
        <w:t>De acuerdo a su mecanismo de acción pueden clasificarse en los siguientes grupos:</w:t>
      </w:r>
    </w:p>
    <w:p w14:paraId="02B2DD48" w14:textId="77777777" w:rsidR="0037398A" w:rsidRPr="007528E0" w:rsidRDefault="0037398A" w:rsidP="0037398A">
      <w:pPr>
        <w:pStyle w:val="Descripcin"/>
        <w:spacing w:before="100" w:beforeAutospacing="1" w:after="100" w:afterAutospacing="1"/>
        <w:jc w:val="center"/>
        <w:rPr>
          <w:rFonts w:eastAsia="Arial" w:cs="Arial"/>
          <w:color w:val="auto"/>
          <w:sz w:val="22"/>
          <w:szCs w:val="22"/>
        </w:rPr>
      </w:pPr>
      <w:bookmarkStart w:id="36" w:name="_Toc505456263"/>
      <w:r w:rsidRPr="007528E0">
        <w:rPr>
          <w:rFonts w:cs="Arial"/>
          <w:b/>
          <w:color w:val="auto"/>
          <w:sz w:val="22"/>
          <w:szCs w:val="22"/>
        </w:rPr>
        <w:t xml:space="preserve">Tabla </w:t>
      </w:r>
      <w:r w:rsidRPr="007528E0">
        <w:rPr>
          <w:rFonts w:cs="Arial"/>
          <w:b/>
          <w:color w:val="auto"/>
          <w:sz w:val="22"/>
          <w:szCs w:val="22"/>
        </w:rPr>
        <w:fldChar w:fldCharType="begin"/>
      </w:r>
      <w:r w:rsidRPr="007528E0">
        <w:rPr>
          <w:rFonts w:cs="Arial"/>
          <w:b/>
          <w:color w:val="auto"/>
          <w:sz w:val="22"/>
          <w:szCs w:val="22"/>
        </w:rPr>
        <w:instrText xml:space="preserve"> SEQ Tabla \* ARABIC </w:instrText>
      </w:r>
      <w:r w:rsidRPr="007528E0">
        <w:rPr>
          <w:rFonts w:cs="Arial"/>
          <w:b/>
          <w:color w:val="auto"/>
          <w:sz w:val="22"/>
          <w:szCs w:val="22"/>
        </w:rPr>
        <w:fldChar w:fldCharType="separate"/>
      </w:r>
      <w:r w:rsidRPr="007528E0">
        <w:rPr>
          <w:rFonts w:cs="Arial"/>
          <w:b/>
          <w:noProof/>
          <w:color w:val="auto"/>
          <w:sz w:val="22"/>
          <w:szCs w:val="22"/>
        </w:rPr>
        <w:t>17</w:t>
      </w:r>
      <w:r w:rsidRPr="007528E0">
        <w:rPr>
          <w:rFonts w:cs="Arial"/>
          <w:b/>
          <w:color w:val="auto"/>
          <w:sz w:val="22"/>
          <w:szCs w:val="22"/>
        </w:rPr>
        <w:fldChar w:fldCharType="end"/>
      </w:r>
      <w:r w:rsidRPr="007528E0">
        <w:rPr>
          <w:rFonts w:cs="Arial"/>
          <w:color w:val="auto"/>
          <w:sz w:val="22"/>
          <w:szCs w:val="22"/>
        </w:rPr>
        <w:t>. Clasificación de plantas toxicas de acuerdo al mecanismo de acción</w:t>
      </w:r>
      <w:bookmarkEnd w:id="36"/>
    </w:p>
    <w:tbl>
      <w:tblPr>
        <w:tblStyle w:val="Tablaconcuadrcula"/>
        <w:tblW w:w="9606" w:type="dxa"/>
        <w:tblLook w:val="04A0" w:firstRow="1" w:lastRow="0" w:firstColumn="1" w:lastColumn="0" w:noHBand="0" w:noVBand="1"/>
      </w:tblPr>
      <w:tblGrid>
        <w:gridCol w:w="1023"/>
        <w:gridCol w:w="2551"/>
        <w:gridCol w:w="3808"/>
        <w:gridCol w:w="2224"/>
      </w:tblGrid>
      <w:tr w:rsidR="007528E0" w:rsidRPr="007528E0" w14:paraId="3D97BCD6" w14:textId="77777777" w:rsidTr="007528E0">
        <w:tc>
          <w:tcPr>
            <w:tcW w:w="1023" w:type="dxa"/>
          </w:tcPr>
          <w:p w14:paraId="22DFD3BF" w14:textId="77777777" w:rsidR="0037398A" w:rsidRPr="007528E0" w:rsidRDefault="0037398A" w:rsidP="007528E0">
            <w:pPr>
              <w:pStyle w:val="Normal1"/>
              <w:spacing w:before="100" w:beforeAutospacing="1" w:after="100" w:afterAutospacing="1"/>
              <w:jc w:val="center"/>
              <w:rPr>
                <w:rFonts w:ascii="Arial" w:eastAsia="Arial" w:hAnsi="Arial" w:cs="Arial"/>
                <w:b/>
                <w:color w:val="auto"/>
                <w:sz w:val="20"/>
                <w:szCs w:val="20"/>
              </w:rPr>
            </w:pPr>
            <w:r w:rsidRPr="007528E0">
              <w:rPr>
                <w:rFonts w:ascii="Arial" w:eastAsia="Arial" w:hAnsi="Arial" w:cs="Arial"/>
                <w:b/>
                <w:color w:val="auto"/>
                <w:sz w:val="20"/>
                <w:szCs w:val="20"/>
              </w:rPr>
              <w:t>Grupo</w:t>
            </w:r>
          </w:p>
        </w:tc>
        <w:tc>
          <w:tcPr>
            <w:tcW w:w="2551" w:type="dxa"/>
          </w:tcPr>
          <w:p w14:paraId="7FCB0FE4" w14:textId="77777777" w:rsidR="0037398A" w:rsidRPr="007528E0" w:rsidRDefault="0037398A" w:rsidP="007528E0">
            <w:pPr>
              <w:pStyle w:val="Normal1"/>
              <w:spacing w:before="100" w:beforeAutospacing="1" w:after="100" w:afterAutospacing="1"/>
              <w:jc w:val="center"/>
              <w:rPr>
                <w:rFonts w:ascii="Arial" w:eastAsia="Arial" w:hAnsi="Arial" w:cs="Arial"/>
                <w:b/>
                <w:color w:val="auto"/>
                <w:sz w:val="20"/>
                <w:szCs w:val="20"/>
              </w:rPr>
            </w:pPr>
            <w:r w:rsidRPr="007528E0">
              <w:rPr>
                <w:rFonts w:ascii="Arial" w:eastAsia="Arial" w:hAnsi="Arial" w:cs="Arial"/>
                <w:b/>
                <w:color w:val="auto"/>
                <w:sz w:val="20"/>
                <w:szCs w:val="20"/>
              </w:rPr>
              <w:t>Mecanismo</w:t>
            </w:r>
          </w:p>
        </w:tc>
        <w:tc>
          <w:tcPr>
            <w:tcW w:w="3808" w:type="dxa"/>
          </w:tcPr>
          <w:p w14:paraId="2C2D95F1" w14:textId="77777777" w:rsidR="0037398A" w:rsidRPr="007528E0" w:rsidRDefault="0037398A" w:rsidP="007528E0">
            <w:pPr>
              <w:pStyle w:val="Normal1"/>
              <w:spacing w:before="100" w:beforeAutospacing="1" w:after="100" w:afterAutospacing="1"/>
              <w:jc w:val="center"/>
              <w:rPr>
                <w:rFonts w:ascii="Arial" w:eastAsia="Arial" w:hAnsi="Arial" w:cs="Arial"/>
                <w:b/>
                <w:color w:val="auto"/>
                <w:sz w:val="20"/>
                <w:szCs w:val="20"/>
              </w:rPr>
            </w:pPr>
            <w:r w:rsidRPr="007528E0">
              <w:rPr>
                <w:rFonts w:ascii="Arial" w:eastAsia="Arial" w:hAnsi="Arial" w:cs="Arial"/>
                <w:b/>
                <w:color w:val="auto"/>
                <w:sz w:val="20"/>
                <w:szCs w:val="20"/>
              </w:rPr>
              <w:t>Efectos</w:t>
            </w:r>
          </w:p>
        </w:tc>
        <w:tc>
          <w:tcPr>
            <w:tcW w:w="2224" w:type="dxa"/>
          </w:tcPr>
          <w:p w14:paraId="6BDDF89E" w14:textId="77777777" w:rsidR="0037398A" w:rsidRPr="007528E0" w:rsidRDefault="0037398A" w:rsidP="007528E0">
            <w:pPr>
              <w:pStyle w:val="Normal1"/>
              <w:spacing w:before="100" w:beforeAutospacing="1" w:after="100" w:afterAutospacing="1"/>
              <w:jc w:val="center"/>
              <w:rPr>
                <w:rFonts w:ascii="Arial" w:eastAsia="Arial" w:hAnsi="Arial" w:cs="Arial"/>
                <w:b/>
                <w:color w:val="auto"/>
                <w:sz w:val="20"/>
                <w:szCs w:val="20"/>
              </w:rPr>
            </w:pPr>
            <w:r w:rsidRPr="007528E0">
              <w:rPr>
                <w:rFonts w:ascii="Arial" w:eastAsia="Arial" w:hAnsi="Arial" w:cs="Arial"/>
                <w:b/>
                <w:color w:val="auto"/>
                <w:sz w:val="20"/>
                <w:szCs w:val="20"/>
              </w:rPr>
              <w:t>Especies – Nombre común</w:t>
            </w:r>
          </w:p>
        </w:tc>
      </w:tr>
      <w:tr w:rsidR="007528E0" w:rsidRPr="007528E0" w14:paraId="2850D1D0" w14:textId="77777777" w:rsidTr="007528E0">
        <w:tc>
          <w:tcPr>
            <w:tcW w:w="1023" w:type="dxa"/>
          </w:tcPr>
          <w:p w14:paraId="013425E7" w14:textId="77777777" w:rsidR="0037398A" w:rsidRPr="007528E0" w:rsidRDefault="0037398A" w:rsidP="007528E0">
            <w:pPr>
              <w:pStyle w:val="Normal1"/>
              <w:spacing w:before="100" w:beforeAutospacing="1" w:after="100" w:afterAutospacing="1"/>
              <w:jc w:val="center"/>
              <w:rPr>
                <w:rFonts w:ascii="Arial" w:eastAsia="Arial" w:hAnsi="Arial" w:cs="Arial"/>
                <w:color w:val="auto"/>
                <w:sz w:val="20"/>
                <w:szCs w:val="20"/>
              </w:rPr>
            </w:pPr>
            <w:r w:rsidRPr="007528E0">
              <w:rPr>
                <w:rFonts w:ascii="Arial" w:eastAsia="Arial" w:hAnsi="Arial" w:cs="Arial"/>
                <w:color w:val="auto"/>
                <w:sz w:val="20"/>
                <w:szCs w:val="20"/>
              </w:rPr>
              <w:t>Grupo 1</w:t>
            </w:r>
          </w:p>
        </w:tc>
        <w:tc>
          <w:tcPr>
            <w:tcW w:w="2551" w:type="dxa"/>
          </w:tcPr>
          <w:p w14:paraId="489EBF52" w14:textId="77777777" w:rsidR="0037398A" w:rsidRPr="007528E0" w:rsidRDefault="0037398A" w:rsidP="007528E0">
            <w:pPr>
              <w:pStyle w:val="Normal1"/>
              <w:spacing w:before="100" w:beforeAutospacing="1" w:after="100" w:afterAutospacing="1"/>
              <w:jc w:val="both"/>
              <w:rPr>
                <w:rFonts w:ascii="Arial" w:eastAsia="Arial" w:hAnsi="Arial" w:cs="Arial"/>
                <w:color w:val="auto"/>
                <w:sz w:val="20"/>
                <w:szCs w:val="20"/>
              </w:rPr>
            </w:pPr>
            <w:r w:rsidRPr="007528E0">
              <w:rPr>
                <w:rFonts w:ascii="Arial" w:eastAsia="Arial" w:hAnsi="Arial" w:cs="Arial"/>
                <w:color w:val="auto"/>
                <w:sz w:val="20"/>
                <w:szCs w:val="20"/>
              </w:rPr>
              <w:t>Plantas que contienen toxinas sistémicas activas que pueden causar cuadros serios de toxicidad y muerte.</w:t>
            </w:r>
          </w:p>
        </w:tc>
        <w:tc>
          <w:tcPr>
            <w:tcW w:w="3808" w:type="dxa"/>
          </w:tcPr>
          <w:p w14:paraId="0D1E93AC" w14:textId="77777777" w:rsidR="0037398A" w:rsidRPr="007528E0" w:rsidRDefault="0037398A" w:rsidP="007528E0">
            <w:pPr>
              <w:pStyle w:val="Normal1"/>
              <w:spacing w:before="100" w:beforeAutospacing="1" w:after="100" w:afterAutospacing="1"/>
              <w:jc w:val="both"/>
              <w:rPr>
                <w:rFonts w:ascii="Arial" w:eastAsia="Arial" w:hAnsi="Arial" w:cs="Arial"/>
                <w:color w:val="auto"/>
                <w:sz w:val="20"/>
                <w:szCs w:val="20"/>
              </w:rPr>
            </w:pPr>
            <w:r w:rsidRPr="007528E0">
              <w:rPr>
                <w:rFonts w:ascii="Arial" w:eastAsia="Arial" w:hAnsi="Arial" w:cs="Arial"/>
                <w:color w:val="auto"/>
                <w:sz w:val="20"/>
                <w:szCs w:val="20"/>
              </w:rPr>
              <w:t>En la mayoría de los casos, el paciente puede presentar vómito, dolor abdominal o diarrea en los primeros 60 a 90 minutos de la ingesta.</w:t>
            </w:r>
          </w:p>
          <w:p w14:paraId="6913D51F" w14:textId="77777777" w:rsidR="0037398A" w:rsidRPr="007528E0" w:rsidRDefault="0037398A" w:rsidP="007528E0">
            <w:pPr>
              <w:pStyle w:val="Normal1"/>
              <w:spacing w:before="100" w:beforeAutospacing="1" w:after="100" w:afterAutospacing="1"/>
              <w:jc w:val="both"/>
              <w:rPr>
                <w:rFonts w:ascii="Arial" w:eastAsia="Arial" w:hAnsi="Arial" w:cs="Arial"/>
                <w:color w:val="auto"/>
                <w:sz w:val="20"/>
                <w:szCs w:val="20"/>
              </w:rPr>
            </w:pPr>
            <w:r w:rsidRPr="007528E0">
              <w:rPr>
                <w:rFonts w:ascii="Arial" w:eastAsia="Arial" w:hAnsi="Arial" w:cs="Arial"/>
                <w:color w:val="auto"/>
                <w:sz w:val="20"/>
                <w:szCs w:val="20"/>
              </w:rPr>
              <w:t>Sin embargo, los síntomas sistémicos pueden tardar varias horas mientras son activadas en el tracto gastrointestinal.</w:t>
            </w:r>
          </w:p>
          <w:p w14:paraId="38E3E379" w14:textId="77777777" w:rsidR="0037398A" w:rsidRPr="007528E0" w:rsidRDefault="0037398A" w:rsidP="007528E0">
            <w:pPr>
              <w:pStyle w:val="Normal1"/>
              <w:spacing w:before="100" w:beforeAutospacing="1" w:after="100" w:afterAutospacing="1"/>
              <w:jc w:val="both"/>
              <w:rPr>
                <w:rFonts w:ascii="Arial" w:eastAsia="Arial" w:hAnsi="Arial" w:cs="Arial"/>
                <w:color w:val="auto"/>
                <w:sz w:val="20"/>
                <w:szCs w:val="20"/>
              </w:rPr>
            </w:pPr>
            <w:r w:rsidRPr="007528E0">
              <w:rPr>
                <w:rFonts w:ascii="Arial" w:eastAsia="Arial" w:hAnsi="Arial" w:cs="Arial"/>
                <w:color w:val="auto"/>
                <w:sz w:val="20"/>
                <w:szCs w:val="20"/>
              </w:rPr>
              <w:t>En caso de la Adelfa posee glicósidos cardiacos, por lo cual puede generar arritmias ventriculares.</w:t>
            </w:r>
          </w:p>
        </w:tc>
        <w:tc>
          <w:tcPr>
            <w:tcW w:w="2224" w:type="dxa"/>
          </w:tcPr>
          <w:p w14:paraId="199A714D" w14:textId="77777777" w:rsidR="0037398A" w:rsidRPr="007528E0" w:rsidRDefault="0037398A" w:rsidP="007528E0">
            <w:pPr>
              <w:pStyle w:val="Normal1"/>
              <w:spacing w:before="100" w:beforeAutospacing="1" w:after="100" w:afterAutospacing="1"/>
              <w:jc w:val="both"/>
              <w:rPr>
                <w:rFonts w:ascii="Arial" w:eastAsia="Arial" w:hAnsi="Arial" w:cs="Arial"/>
                <w:color w:val="auto"/>
                <w:sz w:val="20"/>
                <w:szCs w:val="20"/>
              </w:rPr>
            </w:pPr>
            <w:proofErr w:type="spellStart"/>
            <w:r w:rsidRPr="007528E0">
              <w:rPr>
                <w:rFonts w:ascii="Arial" w:eastAsia="Arial" w:hAnsi="Arial" w:cs="Arial"/>
                <w:color w:val="auto"/>
                <w:sz w:val="20"/>
                <w:szCs w:val="20"/>
              </w:rPr>
              <w:t>Nerium</w:t>
            </w:r>
            <w:proofErr w:type="spellEnd"/>
            <w:r w:rsidRPr="007528E0">
              <w:rPr>
                <w:rFonts w:ascii="Arial" w:eastAsia="Arial" w:hAnsi="Arial" w:cs="Arial"/>
                <w:color w:val="auto"/>
                <w:sz w:val="20"/>
                <w:szCs w:val="20"/>
              </w:rPr>
              <w:t xml:space="preserve"> </w:t>
            </w:r>
            <w:proofErr w:type="spellStart"/>
            <w:r w:rsidRPr="007528E0">
              <w:rPr>
                <w:rFonts w:ascii="Arial" w:eastAsia="Arial" w:hAnsi="Arial" w:cs="Arial"/>
                <w:color w:val="auto"/>
                <w:sz w:val="20"/>
                <w:szCs w:val="20"/>
              </w:rPr>
              <w:t>oleander</w:t>
            </w:r>
            <w:proofErr w:type="spellEnd"/>
            <w:r w:rsidRPr="007528E0">
              <w:rPr>
                <w:rFonts w:ascii="Arial" w:eastAsia="Arial" w:hAnsi="Arial" w:cs="Arial"/>
                <w:color w:val="auto"/>
                <w:sz w:val="20"/>
                <w:szCs w:val="20"/>
              </w:rPr>
              <w:t xml:space="preserve"> (Adelfa, laurel de jardín, rosa laurel, baladre o trinitaria).</w:t>
            </w:r>
          </w:p>
          <w:p w14:paraId="54F9505E" w14:textId="77777777" w:rsidR="0037398A" w:rsidRPr="007528E0" w:rsidRDefault="0037398A" w:rsidP="007528E0">
            <w:pPr>
              <w:pStyle w:val="Normal1"/>
              <w:spacing w:before="100" w:beforeAutospacing="1" w:after="100" w:afterAutospacing="1"/>
              <w:jc w:val="both"/>
              <w:rPr>
                <w:rFonts w:ascii="Arial" w:eastAsia="Arial" w:hAnsi="Arial" w:cs="Arial"/>
                <w:color w:val="auto"/>
                <w:sz w:val="20"/>
                <w:szCs w:val="20"/>
              </w:rPr>
            </w:pPr>
            <w:proofErr w:type="spellStart"/>
            <w:r w:rsidRPr="007528E0">
              <w:rPr>
                <w:rFonts w:ascii="Arial" w:eastAsia="Arial" w:hAnsi="Arial" w:cs="Arial"/>
                <w:color w:val="auto"/>
                <w:sz w:val="20"/>
                <w:szCs w:val="20"/>
              </w:rPr>
              <w:t>Conium</w:t>
            </w:r>
            <w:proofErr w:type="spellEnd"/>
            <w:r w:rsidRPr="007528E0">
              <w:rPr>
                <w:rFonts w:ascii="Arial" w:eastAsia="Arial" w:hAnsi="Arial" w:cs="Arial"/>
                <w:color w:val="auto"/>
                <w:sz w:val="20"/>
                <w:szCs w:val="20"/>
              </w:rPr>
              <w:t xml:space="preserve"> </w:t>
            </w:r>
            <w:proofErr w:type="spellStart"/>
            <w:r w:rsidRPr="007528E0">
              <w:rPr>
                <w:rFonts w:ascii="Arial" w:eastAsia="Arial" w:hAnsi="Arial" w:cs="Arial"/>
                <w:color w:val="auto"/>
                <w:sz w:val="20"/>
                <w:szCs w:val="20"/>
              </w:rPr>
              <w:t>maculatum</w:t>
            </w:r>
            <w:proofErr w:type="spellEnd"/>
            <w:r w:rsidRPr="007528E0">
              <w:rPr>
                <w:rFonts w:ascii="Arial" w:eastAsia="Arial" w:hAnsi="Arial" w:cs="Arial"/>
                <w:color w:val="auto"/>
                <w:sz w:val="20"/>
                <w:szCs w:val="20"/>
              </w:rPr>
              <w:t xml:space="preserve"> (Cicuta),</w:t>
            </w:r>
          </w:p>
          <w:p w14:paraId="7B8D053B" w14:textId="77777777" w:rsidR="0037398A" w:rsidRPr="007528E0" w:rsidRDefault="0037398A" w:rsidP="007528E0">
            <w:pPr>
              <w:pStyle w:val="Normal1"/>
              <w:spacing w:before="100" w:beforeAutospacing="1" w:after="100" w:afterAutospacing="1"/>
              <w:jc w:val="both"/>
              <w:rPr>
                <w:rFonts w:ascii="Arial" w:eastAsia="Arial" w:hAnsi="Arial" w:cs="Arial"/>
                <w:color w:val="auto"/>
                <w:sz w:val="20"/>
                <w:szCs w:val="20"/>
              </w:rPr>
            </w:pPr>
            <w:proofErr w:type="spellStart"/>
            <w:r w:rsidRPr="007528E0">
              <w:rPr>
                <w:rFonts w:ascii="Arial" w:eastAsia="Arial" w:hAnsi="Arial" w:cs="Arial"/>
                <w:color w:val="auto"/>
                <w:sz w:val="20"/>
                <w:szCs w:val="20"/>
              </w:rPr>
              <w:t>Ricinus</w:t>
            </w:r>
            <w:proofErr w:type="spellEnd"/>
            <w:r w:rsidRPr="007528E0">
              <w:rPr>
                <w:rFonts w:ascii="Arial" w:eastAsia="Arial" w:hAnsi="Arial" w:cs="Arial"/>
                <w:color w:val="auto"/>
                <w:sz w:val="20"/>
                <w:szCs w:val="20"/>
              </w:rPr>
              <w:t xml:space="preserve"> </w:t>
            </w:r>
            <w:proofErr w:type="spellStart"/>
            <w:r w:rsidRPr="007528E0">
              <w:rPr>
                <w:rFonts w:ascii="Arial" w:eastAsia="Arial" w:hAnsi="Arial" w:cs="Arial"/>
                <w:color w:val="auto"/>
                <w:sz w:val="20"/>
                <w:szCs w:val="20"/>
              </w:rPr>
              <w:t>communi</w:t>
            </w:r>
            <w:proofErr w:type="spellEnd"/>
            <w:r w:rsidRPr="007528E0">
              <w:rPr>
                <w:rFonts w:ascii="Arial" w:eastAsia="Arial" w:hAnsi="Arial" w:cs="Arial"/>
                <w:color w:val="auto"/>
                <w:sz w:val="20"/>
                <w:szCs w:val="20"/>
              </w:rPr>
              <w:t xml:space="preserve"> (Ricino).</w:t>
            </w:r>
          </w:p>
          <w:p w14:paraId="6C0E9587" w14:textId="77777777" w:rsidR="0037398A" w:rsidRPr="007528E0" w:rsidRDefault="0037398A" w:rsidP="007528E0">
            <w:pPr>
              <w:pStyle w:val="Normal1"/>
              <w:spacing w:before="100" w:beforeAutospacing="1" w:after="100" w:afterAutospacing="1"/>
              <w:jc w:val="both"/>
              <w:rPr>
                <w:rFonts w:ascii="Arial" w:eastAsia="Arial" w:hAnsi="Arial" w:cs="Arial"/>
                <w:color w:val="auto"/>
                <w:sz w:val="20"/>
                <w:szCs w:val="20"/>
              </w:rPr>
            </w:pPr>
            <w:proofErr w:type="spellStart"/>
            <w:r w:rsidRPr="007528E0">
              <w:rPr>
                <w:rFonts w:ascii="Arial" w:eastAsia="Arial" w:hAnsi="Arial" w:cs="Arial"/>
                <w:color w:val="auto"/>
                <w:sz w:val="20"/>
                <w:szCs w:val="20"/>
              </w:rPr>
              <w:t>Abrus</w:t>
            </w:r>
            <w:proofErr w:type="spellEnd"/>
            <w:r w:rsidRPr="007528E0">
              <w:rPr>
                <w:rFonts w:ascii="Arial" w:eastAsia="Arial" w:hAnsi="Arial" w:cs="Arial"/>
                <w:color w:val="auto"/>
                <w:sz w:val="20"/>
                <w:szCs w:val="20"/>
              </w:rPr>
              <w:t xml:space="preserve"> </w:t>
            </w:r>
            <w:proofErr w:type="spellStart"/>
            <w:r w:rsidRPr="007528E0">
              <w:rPr>
                <w:rFonts w:ascii="Arial" w:eastAsia="Arial" w:hAnsi="Arial" w:cs="Arial"/>
                <w:color w:val="auto"/>
                <w:sz w:val="20"/>
                <w:szCs w:val="20"/>
              </w:rPr>
              <w:t>precatorius</w:t>
            </w:r>
            <w:proofErr w:type="spellEnd"/>
            <w:r w:rsidRPr="007528E0">
              <w:rPr>
                <w:rFonts w:ascii="Arial" w:eastAsia="Arial" w:hAnsi="Arial" w:cs="Arial"/>
                <w:color w:val="auto"/>
                <w:sz w:val="20"/>
                <w:szCs w:val="20"/>
              </w:rPr>
              <w:t xml:space="preserve"> (Regaliz americano)</w:t>
            </w:r>
          </w:p>
          <w:p w14:paraId="068B47DE" w14:textId="77777777" w:rsidR="0037398A" w:rsidRPr="007528E0" w:rsidRDefault="0037398A" w:rsidP="007528E0">
            <w:pPr>
              <w:pStyle w:val="Normal1"/>
              <w:spacing w:before="100" w:beforeAutospacing="1" w:after="100" w:afterAutospacing="1"/>
              <w:jc w:val="both"/>
              <w:rPr>
                <w:rFonts w:ascii="Arial" w:eastAsia="Arial" w:hAnsi="Arial" w:cs="Arial"/>
                <w:color w:val="auto"/>
                <w:sz w:val="20"/>
                <w:szCs w:val="20"/>
              </w:rPr>
            </w:pPr>
            <w:r w:rsidRPr="007528E0">
              <w:rPr>
                <w:rFonts w:ascii="Arial" w:eastAsia="Arial" w:hAnsi="Arial" w:cs="Arial"/>
                <w:color w:val="auto"/>
                <w:sz w:val="20"/>
                <w:szCs w:val="20"/>
              </w:rPr>
              <w:t>Atropa Belladona (Belladona)</w:t>
            </w:r>
          </w:p>
        </w:tc>
      </w:tr>
      <w:tr w:rsidR="007528E0" w:rsidRPr="00F87462" w14:paraId="4AB86BEC" w14:textId="77777777" w:rsidTr="007528E0">
        <w:tc>
          <w:tcPr>
            <w:tcW w:w="1023" w:type="dxa"/>
          </w:tcPr>
          <w:p w14:paraId="3F8DDAF3" w14:textId="77777777" w:rsidR="0037398A" w:rsidRPr="007528E0" w:rsidRDefault="0037398A" w:rsidP="007528E0">
            <w:pPr>
              <w:pStyle w:val="Normal1"/>
              <w:spacing w:before="100" w:beforeAutospacing="1" w:after="100" w:afterAutospacing="1"/>
              <w:jc w:val="center"/>
              <w:rPr>
                <w:rFonts w:ascii="Arial" w:eastAsia="Arial" w:hAnsi="Arial" w:cs="Arial"/>
                <w:color w:val="auto"/>
                <w:sz w:val="20"/>
                <w:szCs w:val="20"/>
              </w:rPr>
            </w:pPr>
            <w:r w:rsidRPr="007528E0">
              <w:rPr>
                <w:rFonts w:ascii="Arial" w:eastAsia="Arial" w:hAnsi="Arial" w:cs="Arial"/>
                <w:color w:val="auto"/>
                <w:sz w:val="20"/>
                <w:szCs w:val="20"/>
              </w:rPr>
              <w:t>Grupo 2a</w:t>
            </w:r>
          </w:p>
        </w:tc>
        <w:tc>
          <w:tcPr>
            <w:tcW w:w="2551" w:type="dxa"/>
          </w:tcPr>
          <w:p w14:paraId="40157392" w14:textId="77777777" w:rsidR="0037398A" w:rsidRPr="007528E0" w:rsidRDefault="0037398A" w:rsidP="007528E0">
            <w:pPr>
              <w:pStyle w:val="Normal1"/>
              <w:spacing w:before="100" w:beforeAutospacing="1" w:after="100" w:afterAutospacing="1"/>
              <w:jc w:val="both"/>
              <w:rPr>
                <w:rFonts w:ascii="Arial" w:eastAsia="Arial" w:hAnsi="Arial" w:cs="Arial"/>
                <w:color w:val="auto"/>
                <w:sz w:val="20"/>
                <w:szCs w:val="20"/>
              </w:rPr>
            </w:pPr>
            <w:r w:rsidRPr="007528E0">
              <w:rPr>
                <w:rFonts w:ascii="Arial" w:eastAsia="Arial" w:hAnsi="Arial" w:cs="Arial"/>
                <w:color w:val="auto"/>
                <w:sz w:val="20"/>
                <w:szCs w:val="20"/>
              </w:rPr>
              <w:t xml:space="preserve">Plantas que contienen cristales insolubles de oxalato de calcio, los cuales pueden producir quemaduras e inflamación sobre las membranas mucosas. Diversas plantas </w:t>
            </w:r>
            <w:r w:rsidRPr="007528E0">
              <w:rPr>
                <w:rFonts w:ascii="Arial" w:eastAsia="Arial" w:hAnsi="Arial" w:cs="Arial"/>
                <w:color w:val="auto"/>
                <w:sz w:val="20"/>
                <w:szCs w:val="20"/>
              </w:rPr>
              <w:lastRenderedPageBreak/>
              <w:t>ornamentales se encuentran dentro de este grupo.</w:t>
            </w:r>
          </w:p>
        </w:tc>
        <w:tc>
          <w:tcPr>
            <w:tcW w:w="3808" w:type="dxa"/>
          </w:tcPr>
          <w:p w14:paraId="11FF72F8" w14:textId="77777777" w:rsidR="0037398A" w:rsidRPr="007528E0" w:rsidRDefault="0037398A" w:rsidP="007528E0">
            <w:pPr>
              <w:pStyle w:val="Normal1"/>
              <w:spacing w:before="100" w:beforeAutospacing="1" w:after="100" w:afterAutospacing="1"/>
              <w:jc w:val="both"/>
              <w:rPr>
                <w:rFonts w:ascii="Arial" w:eastAsia="Arial" w:hAnsi="Arial" w:cs="Arial"/>
                <w:color w:val="auto"/>
                <w:sz w:val="20"/>
                <w:szCs w:val="20"/>
              </w:rPr>
            </w:pPr>
            <w:r w:rsidRPr="007528E0">
              <w:rPr>
                <w:rFonts w:ascii="Arial" w:eastAsia="Arial" w:hAnsi="Arial" w:cs="Arial"/>
                <w:color w:val="auto"/>
                <w:sz w:val="20"/>
                <w:szCs w:val="20"/>
              </w:rPr>
              <w:lastRenderedPageBreak/>
              <w:t xml:space="preserve">Los cristales de oxalato de calcio pueden causar quemaduras en cavidad oral y dolor al entrar en contacto con la mucosa. Además, pueden generar inflamación y edema de los labios, lengua y faringe. En casos raros se puede presentar edema glótico y complicarse con obstrucción de la vía </w:t>
            </w:r>
            <w:r w:rsidRPr="007528E0">
              <w:rPr>
                <w:rFonts w:ascii="Arial" w:eastAsia="Arial" w:hAnsi="Arial" w:cs="Arial"/>
                <w:color w:val="auto"/>
                <w:sz w:val="20"/>
                <w:szCs w:val="20"/>
              </w:rPr>
              <w:lastRenderedPageBreak/>
              <w:t>aérea. Los síntomas usualmente se resuelven en unas pocas horas.</w:t>
            </w:r>
          </w:p>
          <w:p w14:paraId="0FEA6026" w14:textId="77777777" w:rsidR="0037398A" w:rsidRPr="007528E0" w:rsidRDefault="0037398A" w:rsidP="007528E0">
            <w:pPr>
              <w:pStyle w:val="Normal1"/>
              <w:spacing w:before="100" w:beforeAutospacing="1" w:after="100" w:afterAutospacing="1"/>
              <w:jc w:val="both"/>
              <w:rPr>
                <w:rFonts w:ascii="Arial" w:eastAsia="Arial" w:hAnsi="Arial" w:cs="Arial"/>
                <w:color w:val="auto"/>
                <w:sz w:val="20"/>
                <w:szCs w:val="20"/>
              </w:rPr>
            </w:pPr>
            <w:r w:rsidRPr="007528E0">
              <w:rPr>
                <w:rFonts w:ascii="Arial" w:hAnsi="Arial" w:cs="Arial"/>
                <w:color w:val="auto"/>
                <w:sz w:val="20"/>
                <w:szCs w:val="20"/>
              </w:rPr>
              <w:t>Con el tiempo, los cristales de oxalato de calcio se van a depositar en los riñones y podrían obstaculizar los conductos renales</w:t>
            </w:r>
          </w:p>
        </w:tc>
        <w:tc>
          <w:tcPr>
            <w:tcW w:w="2224" w:type="dxa"/>
          </w:tcPr>
          <w:p w14:paraId="2D77534B" w14:textId="77777777" w:rsidR="0037398A" w:rsidRPr="007528E0" w:rsidRDefault="0037398A" w:rsidP="007528E0">
            <w:pPr>
              <w:pStyle w:val="Normal1"/>
              <w:spacing w:before="100" w:beforeAutospacing="1" w:after="100" w:afterAutospacing="1"/>
              <w:jc w:val="both"/>
              <w:rPr>
                <w:rFonts w:ascii="Arial" w:eastAsia="Arial" w:hAnsi="Arial" w:cs="Arial"/>
                <w:color w:val="auto"/>
                <w:sz w:val="20"/>
                <w:szCs w:val="20"/>
                <w:lang w:val="en-US"/>
              </w:rPr>
            </w:pPr>
            <w:r w:rsidRPr="007528E0">
              <w:rPr>
                <w:rFonts w:ascii="Arial" w:eastAsia="Arial" w:hAnsi="Arial" w:cs="Arial"/>
                <w:color w:val="auto"/>
                <w:sz w:val="20"/>
                <w:szCs w:val="20"/>
                <w:lang w:val="en-US"/>
              </w:rPr>
              <w:lastRenderedPageBreak/>
              <w:t>Dieffenbachia (</w:t>
            </w:r>
            <w:proofErr w:type="spellStart"/>
            <w:r w:rsidRPr="007528E0">
              <w:rPr>
                <w:rFonts w:ascii="Arial" w:eastAsia="Arial" w:hAnsi="Arial" w:cs="Arial"/>
                <w:color w:val="auto"/>
                <w:sz w:val="20"/>
                <w:szCs w:val="20"/>
                <w:lang w:val="en-US"/>
              </w:rPr>
              <w:t>lotería</w:t>
            </w:r>
            <w:proofErr w:type="spellEnd"/>
            <w:r w:rsidRPr="007528E0">
              <w:rPr>
                <w:rFonts w:ascii="Arial" w:eastAsia="Arial" w:hAnsi="Arial" w:cs="Arial"/>
                <w:color w:val="auto"/>
                <w:sz w:val="20"/>
                <w:szCs w:val="20"/>
                <w:lang w:val="en-US"/>
              </w:rPr>
              <w:t>).</w:t>
            </w:r>
          </w:p>
          <w:p w14:paraId="55C334A5" w14:textId="77777777" w:rsidR="0037398A" w:rsidRPr="007528E0" w:rsidRDefault="0037398A" w:rsidP="007528E0">
            <w:pPr>
              <w:pStyle w:val="Normal1"/>
              <w:spacing w:before="100" w:beforeAutospacing="1" w:after="100" w:afterAutospacing="1"/>
              <w:jc w:val="both"/>
              <w:rPr>
                <w:rFonts w:ascii="Arial" w:eastAsia="Arial" w:hAnsi="Arial" w:cs="Arial"/>
                <w:color w:val="auto"/>
                <w:sz w:val="20"/>
                <w:szCs w:val="20"/>
                <w:lang w:val="en-US"/>
              </w:rPr>
            </w:pPr>
            <w:r w:rsidRPr="007528E0">
              <w:rPr>
                <w:rFonts w:ascii="Arial" w:eastAsia="Arial" w:hAnsi="Arial" w:cs="Arial"/>
                <w:color w:val="auto"/>
                <w:sz w:val="20"/>
                <w:szCs w:val="20"/>
                <w:lang w:val="en-US"/>
              </w:rPr>
              <w:t>Begonia rex (Begonia).</w:t>
            </w:r>
          </w:p>
          <w:p w14:paraId="3CC773F6" w14:textId="77777777" w:rsidR="0037398A" w:rsidRPr="007528E0" w:rsidRDefault="0037398A" w:rsidP="007528E0">
            <w:pPr>
              <w:pStyle w:val="Normal1"/>
              <w:spacing w:before="100" w:beforeAutospacing="1" w:after="100" w:afterAutospacing="1"/>
              <w:jc w:val="both"/>
              <w:rPr>
                <w:rFonts w:ascii="Arial" w:eastAsia="Arial" w:hAnsi="Arial" w:cs="Arial"/>
                <w:color w:val="auto"/>
                <w:sz w:val="20"/>
                <w:szCs w:val="20"/>
                <w:lang w:val="en-US"/>
              </w:rPr>
            </w:pPr>
          </w:p>
        </w:tc>
      </w:tr>
      <w:tr w:rsidR="007528E0" w:rsidRPr="007528E0" w14:paraId="4265F2E6" w14:textId="77777777" w:rsidTr="007528E0">
        <w:tc>
          <w:tcPr>
            <w:tcW w:w="1023" w:type="dxa"/>
          </w:tcPr>
          <w:p w14:paraId="2011287C" w14:textId="77777777" w:rsidR="0037398A" w:rsidRPr="007528E0" w:rsidRDefault="0037398A" w:rsidP="007528E0">
            <w:pPr>
              <w:pStyle w:val="Normal1"/>
              <w:spacing w:before="100" w:beforeAutospacing="1" w:after="100" w:afterAutospacing="1"/>
              <w:jc w:val="center"/>
              <w:rPr>
                <w:rFonts w:ascii="Arial" w:eastAsia="Arial" w:hAnsi="Arial" w:cs="Arial"/>
                <w:color w:val="auto"/>
                <w:sz w:val="20"/>
                <w:szCs w:val="20"/>
              </w:rPr>
            </w:pPr>
            <w:r w:rsidRPr="007528E0">
              <w:rPr>
                <w:rFonts w:ascii="Arial" w:eastAsia="Arial" w:hAnsi="Arial" w:cs="Arial"/>
                <w:color w:val="auto"/>
                <w:sz w:val="20"/>
                <w:szCs w:val="20"/>
              </w:rPr>
              <w:t>Grupo 2b</w:t>
            </w:r>
          </w:p>
        </w:tc>
        <w:tc>
          <w:tcPr>
            <w:tcW w:w="2551" w:type="dxa"/>
          </w:tcPr>
          <w:p w14:paraId="4D4AD82A" w14:textId="77777777" w:rsidR="0037398A" w:rsidRPr="007528E0" w:rsidRDefault="0037398A" w:rsidP="007528E0">
            <w:pPr>
              <w:pStyle w:val="Normal1"/>
              <w:spacing w:before="100" w:beforeAutospacing="1" w:after="100" w:afterAutospacing="1"/>
              <w:jc w:val="both"/>
              <w:rPr>
                <w:rFonts w:ascii="Arial" w:eastAsia="Arial" w:hAnsi="Arial" w:cs="Arial"/>
                <w:color w:val="auto"/>
                <w:sz w:val="20"/>
                <w:szCs w:val="20"/>
              </w:rPr>
            </w:pPr>
            <w:r w:rsidRPr="007528E0">
              <w:rPr>
                <w:rFonts w:ascii="Arial" w:eastAsia="Arial" w:hAnsi="Arial" w:cs="Arial"/>
                <w:color w:val="auto"/>
                <w:sz w:val="20"/>
                <w:szCs w:val="20"/>
              </w:rPr>
              <w:t>Plantas que contienen sales solubles de oxalato (sódico o potásico), las cuales pueden producir hipocalcemia, compromiso renal y daño a otros órganos blandos por precipitación de oxalato de calcio.</w:t>
            </w:r>
          </w:p>
        </w:tc>
        <w:tc>
          <w:tcPr>
            <w:tcW w:w="3808" w:type="dxa"/>
          </w:tcPr>
          <w:p w14:paraId="4B53A929" w14:textId="77777777" w:rsidR="0037398A" w:rsidRPr="007528E0" w:rsidRDefault="0037398A" w:rsidP="007528E0">
            <w:pPr>
              <w:pStyle w:val="Normal1"/>
              <w:spacing w:before="100" w:beforeAutospacing="1" w:after="100" w:afterAutospacing="1"/>
              <w:jc w:val="both"/>
              <w:rPr>
                <w:rFonts w:ascii="Arial" w:eastAsia="Arial" w:hAnsi="Arial" w:cs="Arial"/>
                <w:color w:val="auto"/>
                <w:sz w:val="20"/>
                <w:szCs w:val="20"/>
              </w:rPr>
            </w:pPr>
            <w:r w:rsidRPr="007528E0">
              <w:rPr>
                <w:rFonts w:ascii="Arial" w:eastAsia="Arial" w:hAnsi="Arial" w:cs="Arial"/>
                <w:color w:val="auto"/>
                <w:sz w:val="20"/>
                <w:szCs w:val="20"/>
              </w:rPr>
              <w:t xml:space="preserve">Los cristales solubles de oxalato pueden ser absorbidos hacia la circulación, en donde se precipitan con el calcio. Puede presentarse hipocalcemia y disfunción multiorgánica, incluyendo necrosis tubular renal. Poco frecuente irritación mucosa oral, causando principalmente gastroenteritis.  </w:t>
            </w:r>
          </w:p>
        </w:tc>
        <w:tc>
          <w:tcPr>
            <w:tcW w:w="2224" w:type="dxa"/>
          </w:tcPr>
          <w:p w14:paraId="638D64EE" w14:textId="77777777" w:rsidR="0037398A" w:rsidRPr="007528E0" w:rsidRDefault="0037398A" w:rsidP="007528E0">
            <w:pPr>
              <w:pStyle w:val="Normal1"/>
              <w:spacing w:before="100" w:beforeAutospacing="1" w:after="100" w:afterAutospacing="1"/>
              <w:jc w:val="both"/>
              <w:rPr>
                <w:rFonts w:ascii="Arial" w:eastAsia="Arial" w:hAnsi="Arial" w:cs="Arial"/>
                <w:color w:val="auto"/>
                <w:sz w:val="20"/>
                <w:szCs w:val="20"/>
              </w:rPr>
            </w:pPr>
            <w:r w:rsidRPr="007528E0">
              <w:rPr>
                <w:rFonts w:ascii="Arial" w:eastAsia="Arial" w:hAnsi="Arial" w:cs="Arial"/>
                <w:color w:val="auto"/>
                <w:sz w:val="20"/>
                <w:szCs w:val="20"/>
              </w:rPr>
              <w:t>Ruibarbo</w:t>
            </w:r>
          </w:p>
        </w:tc>
      </w:tr>
      <w:tr w:rsidR="007528E0" w:rsidRPr="007528E0" w14:paraId="4F93CAA0" w14:textId="77777777" w:rsidTr="007528E0">
        <w:tc>
          <w:tcPr>
            <w:tcW w:w="1023" w:type="dxa"/>
          </w:tcPr>
          <w:p w14:paraId="5C2445BB" w14:textId="77777777" w:rsidR="0037398A" w:rsidRPr="007528E0" w:rsidRDefault="0037398A" w:rsidP="007528E0">
            <w:pPr>
              <w:pStyle w:val="Normal1"/>
              <w:spacing w:before="100" w:beforeAutospacing="1" w:after="100" w:afterAutospacing="1"/>
              <w:jc w:val="both"/>
              <w:rPr>
                <w:rFonts w:ascii="Arial" w:eastAsia="Arial" w:hAnsi="Arial" w:cs="Arial"/>
                <w:color w:val="auto"/>
                <w:sz w:val="20"/>
                <w:szCs w:val="20"/>
              </w:rPr>
            </w:pPr>
            <w:r w:rsidRPr="007528E0">
              <w:rPr>
                <w:rFonts w:ascii="Arial" w:eastAsia="Arial" w:hAnsi="Arial" w:cs="Arial"/>
                <w:color w:val="auto"/>
                <w:sz w:val="20"/>
                <w:szCs w:val="20"/>
              </w:rPr>
              <w:t>Grupo 3</w:t>
            </w:r>
          </w:p>
        </w:tc>
        <w:tc>
          <w:tcPr>
            <w:tcW w:w="2551" w:type="dxa"/>
          </w:tcPr>
          <w:p w14:paraId="76941183" w14:textId="77777777" w:rsidR="0037398A" w:rsidRPr="007528E0" w:rsidRDefault="0037398A" w:rsidP="007528E0">
            <w:pPr>
              <w:pStyle w:val="Normal1"/>
              <w:spacing w:before="100" w:beforeAutospacing="1" w:after="100" w:afterAutospacing="1"/>
              <w:jc w:val="both"/>
              <w:rPr>
                <w:rFonts w:ascii="Arial" w:eastAsia="Arial" w:hAnsi="Arial" w:cs="Arial"/>
                <w:color w:val="auto"/>
                <w:sz w:val="20"/>
                <w:szCs w:val="20"/>
              </w:rPr>
            </w:pPr>
            <w:r w:rsidRPr="007528E0">
              <w:rPr>
                <w:rFonts w:ascii="Arial" w:eastAsia="Arial" w:hAnsi="Arial" w:cs="Arial"/>
                <w:color w:val="auto"/>
                <w:sz w:val="20"/>
                <w:szCs w:val="20"/>
              </w:rPr>
              <w:t>Plantas que contienen diversas toxinas que producen irritación gastrointestinal leve a moderada y dermatitis de contacto.</w:t>
            </w:r>
          </w:p>
        </w:tc>
        <w:tc>
          <w:tcPr>
            <w:tcW w:w="3808" w:type="dxa"/>
          </w:tcPr>
          <w:p w14:paraId="2970D516" w14:textId="77777777" w:rsidR="0037398A" w:rsidRPr="007528E0" w:rsidRDefault="0037398A" w:rsidP="007528E0">
            <w:pPr>
              <w:pStyle w:val="Normal1"/>
              <w:spacing w:before="100" w:beforeAutospacing="1" w:after="100" w:afterAutospacing="1"/>
              <w:jc w:val="both"/>
              <w:rPr>
                <w:rFonts w:ascii="Arial" w:eastAsia="Arial" w:hAnsi="Arial" w:cs="Arial"/>
                <w:color w:val="auto"/>
                <w:sz w:val="20"/>
                <w:szCs w:val="20"/>
              </w:rPr>
            </w:pPr>
            <w:r w:rsidRPr="007528E0">
              <w:rPr>
                <w:rFonts w:ascii="Arial" w:eastAsia="Arial" w:hAnsi="Arial" w:cs="Arial"/>
                <w:color w:val="auto"/>
                <w:sz w:val="20"/>
                <w:szCs w:val="20"/>
              </w:rPr>
              <w:t xml:space="preserve">Puede presentarse irritación de piel y mucosas, aunque normalmente es menos severa que con las plantas del grupo 2. Además gastroenteritis leve a moderada aunque esta se autolimita. Los </w:t>
            </w:r>
            <w:proofErr w:type="spellStart"/>
            <w:r w:rsidRPr="007528E0">
              <w:rPr>
                <w:rFonts w:ascii="Arial" w:eastAsia="Arial" w:hAnsi="Arial" w:cs="Arial"/>
                <w:color w:val="auto"/>
                <w:sz w:val="20"/>
                <w:szCs w:val="20"/>
              </w:rPr>
              <w:t>disbalances</w:t>
            </w:r>
            <w:proofErr w:type="spellEnd"/>
            <w:r w:rsidRPr="007528E0">
              <w:rPr>
                <w:rFonts w:ascii="Arial" w:eastAsia="Arial" w:hAnsi="Arial" w:cs="Arial"/>
                <w:color w:val="auto"/>
                <w:sz w:val="20"/>
                <w:szCs w:val="20"/>
              </w:rPr>
              <w:t xml:space="preserve"> hidroelectrolíticos generados por gastroenteritis severa son muy raros</w:t>
            </w:r>
          </w:p>
        </w:tc>
        <w:tc>
          <w:tcPr>
            <w:tcW w:w="2224" w:type="dxa"/>
          </w:tcPr>
          <w:p w14:paraId="68AB88A1" w14:textId="77777777" w:rsidR="0037398A" w:rsidRPr="007528E0" w:rsidRDefault="0037398A" w:rsidP="007528E0">
            <w:pPr>
              <w:pStyle w:val="Normal1"/>
              <w:spacing w:before="100" w:beforeAutospacing="1" w:after="100" w:afterAutospacing="1"/>
              <w:jc w:val="both"/>
              <w:rPr>
                <w:rFonts w:ascii="Arial" w:eastAsia="Arial" w:hAnsi="Arial" w:cs="Arial"/>
                <w:color w:val="auto"/>
                <w:sz w:val="20"/>
                <w:szCs w:val="20"/>
              </w:rPr>
            </w:pPr>
            <w:proofErr w:type="spellStart"/>
            <w:r w:rsidRPr="007528E0">
              <w:rPr>
                <w:rFonts w:ascii="Arial" w:eastAsia="Arial" w:hAnsi="Arial" w:cs="Arial"/>
                <w:color w:val="auto"/>
                <w:sz w:val="20"/>
                <w:szCs w:val="20"/>
              </w:rPr>
              <w:t>Euforbia</w:t>
            </w:r>
            <w:proofErr w:type="spellEnd"/>
            <w:r w:rsidRPr="007528E0">
              <w:rPr>
                <w:rFonts w:ascii="Arial" w:eastAsia="Arial" w:hAnsi="Arial" w:cs="Arial"/>
                <w:color w:val="auto"/>
                <w:sz w:val="20"/>
                <w:szCs w:val="20"/>
              </w:rPr>
              <w:t xml:space="preserve"> </w:t>
            </w:r>
            <w:proofErr w:type="spellStart"/>
            <w:r w:rsidRPr="007528E0">
              <w:rPr>
                <w:rFonts w:ascii="Arial" w:eastAsia="Arial" w:hAnsi="Arial" w:cs="Arial"/>
                <w:color w:val="auto"/>
                <w:sz w:val="20"/>
                <w:szCs w:val="20"/>
              </w:rPr>
              <w:t>pulcherrima</w:t>
            </w:r>
            <w:proofErr w:type="spellEnd"/>
            <w:r w:rsidRPr="007528E0">
              <w:rPr>
                <w:rFonts w:ascii="Arial" w:eastAsia="Arial" w:hAnsi="Arial" w:cs="Arial"/>
                <w:color w:val="auto"/>
                <w:sz w:val="20"/>
                <w:szCs w:val="20"/>
              </w:rPr>
              <w:t xml:space="preserve"> (Flor de pascua).</w:t>
            </w:r>
          </w:p>
          <w:p w14:paraId="17A567F3" w14:textId="77777777" w:rsidR="0037398A" w:rsidRPr="007528E0" w:rsidRDefault="0037398A" w:rsidP="007528E0">
            <w:pPr>
              <w:pStyle w:val="Normal1"/>
              <w:spacing w:before="100" w:beforeAutospacing="1" w:after="100" w:afterAutospacing="1"/>
              <w:jc w:val="both"/>
              <w:rPr>
                <w:rFonts w:ascii="Arial" w:eastAsia="Arial" w:hAnsi="Arial" w:cs="Arial"/>
                <w:color w:val="auto"/>
                <w:sz w:val="20"/>
                <w:szCs w:val="20"/>
              </w:rPr>
            </w:pPr>
            <w:proofErr w:type="spellStart"/>
            <w:r w:rsidRPr="007528E0">
              <w:rPr>
                <w:rFonts w:ascii="Arial" w:eastAsia="Arial" w:hAnsi="Arial" w:cs="Arial"/>
                <w:color w:val="auto"/>
                <w:sz w:val="20"/>
                <w:szCs w:val="20"/>
              </w:rPr>
              <w:t>Hedera</w:t>
            </w:r>
            <w:proofErr w:type="spellEnd"/>
            <w:r w:rsidRPr="007528E0">
              <w:rPr>
                <w:rFonts w:ascii="Arial" w:eastAsia="Arial" w:hAnsi="Arial" w:cs="Arial"/>
                <w:color w:val="auto"/>
                <w:sz w:val="20"/>
                <w:szCs w:val="20"/>
              </w:rPr>
              <w:t xml:space="preserve"> hélix – Hiedra.</w:t>
            </w:r>
          </w:p>
          <w:p w14:paraId="3F91987D" w14:textId="77777777" w:rsidR="0037398A" w:rsidRPr="007528E0" w:rsidRDefault="0037398A" w:rsidP="007528E0">
            <w:pPr>
              <w:pStyle w:val="Normal1"/>
              <w:spacing w:before="100" w:beforeAutospacing="1" w:after="100" w:afterAutospacing="1"/>
              <w:jc w:val="both"/>
              <w:rPr>
                <w:rFonts w:ascii="Arial" w:eastAsia="Arial" w:hAnsi="Arial" w:cs="Arial"/>
                <w:color w:val="auto"/>
                <w:sz w:val="20"/>
                <w:szCs w:val="20"/>
              </w:rPr>
            </w:pPr>
            <w:proofErr w:type="spellStart"/>
            <w:r w:rsidRPr="007528E0">
              <w:rPr>
                <w:rFonts w:ascii="Arial" w:eastAsia="Arial" w:hAnsi="Arial" w:cs="Arial"/>
                <w:color w:val="auto"/>
                <w:sz w:val="20"/>
                <w:szCs w:val="20"/>
              </w:rPr>
              <w:t>Toxicodendron</w:t>
            </w:r>
            <w:proofErr w:type="spellEnd"/>
            <w:r w:rsidRPr="007528E0">
              <w:rPr>
                <w:rFonts w:ascii="Arial" w:eastAsia="Arial" w:hAnsi="Arial" w:cs="Arial"/>
                <w:color w:val="auto"/>
                <w:sz w:val="20"/>
                <w:szCs w:val="20"/>
              </w:rPr>
              <w:t xml:space="preserve"> </w:t>
            </w:r>
            <w:proofErr w:type="spellStart"/>
            <w:r w:rsidRPr="007528E0">
              <w:rPr>
                <w:rFonts w:ascii="Arial" w:eastAsia="Arial" w:hAnsi="Arial" w:cs="Arial"/>
                <w:color w:val="auto"/>
                <w:sz w:val="20"/>
                <w:szCs w:val="20"/>
              </w:rPr>
              <w:t>striatum</w:t>
            </w:r>
            <w:proofErr w:type="spellEnd"/>
            <w:r w:rsidRPr="007528E0">
              <w:rPr>
                <w:rFonts w:ascii="Arial" w:eastAsia="Arial" w:hAnsi="Arial" w:cs="Arial"/>
                <w:color w:val="auto"/>
                <w:sz w:val="20"/>
                <w:szCs w:val="20"/>
              </w:rPr>
              <w:t xml:space="preserve"> – Manzanillo.</w:t>
            </w:r>
          </w:p>
        </w:tc>
      </w:tr>
      <w:tr w:rsidR="007528E0" w:rsidRPr="007528E0" w14:paraId="74CC5E73" w14:textId="77777777" w:rsidTr="007528E0">
        <w:tc>
          <w:tcPr>
            <w:tcW w:w="1023" w:type="dxa"/>
          </w:tcPr>
          <w:p w14:paraId="73D14672" w14:textId="77777777" w:rsidR="0037398A" w:rsidRPr="007528E0" w:rsidRDefault="0037398A" w:rsidP="007528E0">
            <w:pPr>
              <w:pStyle w:val="Normal1"/>
              <w:spacing w:before="100" w:beforeAutospacing="1" w:after="100" w:afterAutospacing="1"/>
              <w:jc w:val="both"/>
              <w:rPr>
                <w:rFonts w:ascii="Arial" w:eastAsia="Arial" w:hAnsi="Arial" w:cs="Arial"/>
                <w:color w:val="auto"/>
                <w:sz w:val="20"/>
                <w:szCs w:val="20"/>
              </w:rPr>
            </w:pPr>
            <w:r w:rsidRPr="007528E0">
              <w:rPr>
                <w:rFonts w:ascii="Arial" w:eastAsia="Arial" w:hAnsi="Arial" w:cs="Arial"/>
                <w:color w:val="auto"/>
                <w:sz w:val="20"/>
                <w:szCs w:val="20"/>
              </w:rPr>
              <w:t>GRUPO 4</w:t>
            </w:r>
          </w:p>
        </w:tc>
        <w:tc>
          <w:tcPr>
            <w:tcW w:w="2551" w:type="dxa"/>
          </w:tcPr>
          <w:p w14:paraId="3E8879F3" w14:textId="77777777" w:rsidR="0037398A" w:rsidRPr="007528E0" w:rsidRDefault="0037398A" w:rsidP="007528E0">
            <w:pPr>
              <w:pStyle w:val="Normal1"/>
              <w:spacing w:before="100" w:beforeAutospacing="1" w:after="100" w:afterAutospacing="1"/>
              <w:jc w:val="both"/>
              <w:rPr>
                <w:rFonts w:ascii="Arial" w:eastAsia="Arial" w:hAnsi="Arial" w:cs="Arial"/>
                <w:color w:val="auto"/>
                <w:sz w:val="20"/>
                <w:szCs w:val="20"/>
              </w:rPr>
            </w:pPr>
            <w:r w:rsidRPr="007528E0">
              <w:rPr>
                <w:rFonts w:ascii="Arial" w:eastAsia="Arial" w:hAnsi="Arial" w:cs="Arial"/>
                <w:color w:val="auto"/>
                <w:sz w:val="20"/>
                <w:szCs w:val="20"/>
              </w:rPr>
              <w:t>Plantas que contienen derivados de DMT (</w:t>
            </w:r>
            <w:proofErr w:type="spellStart"/>
            <w:r w:rsidRPr="007528E0">
              <w:rPr>
                <w:rFonts w:ascii="Arial" w:eastAsia="Arial" w:hAnsi="Arial" w:cs="Arial"/>
                <w:color w:val="auto"/>
                <w:sz w:val="20"/>
                <w:szCs w:val="20"/>
              </w:rPr>
              <w:t>dimetil</w:t>
            </w:r>
            <w:proofErr w:type="spellEnd"/>
            <w:r w:rsidRPr="007528E0">
              <w:rPr>
                <w:rFonts w:ascii="Arial" w:eastAsia="Arial" w:hAnsi="Arial" w:cs="Arial"/>
                <w:color w:val="auto"/>
                <w:sz w:val="20"/>
                <w:szCs w:val="20"/>
              </w:rPr>
              <w:t xml:space="preserve"> </w:t>
            </w:r>
            <w:proofErr w:type="spellStart"/>
            <w:r w:rsidRPr="007528E0">
              <w:rPr>
                <w:rFonts w:ascii="Arial" w:eastAsia="Arial" w:hAnsi="Arial" w:cs="Arial"/>
                <w:color w:val="auto"/>
                <w:sz w:val="20"/>
                <w:szCs w:val="20"/>
              </w:rPr>
              <w:t>triptamina</w:t>
            </w:r>
            <w:proofErr w:type="spellEnd"/>
            <w:r w:rsidRPr="007528E0">
              <w:rPr>
                <w:rFonts w:ascii="Arial" w:eastAsia="Arial" w:hAnsi="Arial" w:cs="Arial"/>
                <w:color w:val="auto"/>
                <w:sz w:val="20"/>
                <w:szCs w:val="20"/>
              </w:rPr>
              <w:t>) y que son usadas con fines euforizantes.</w:t>
            </w:r>
          </w:p>
          <w:p w14:paraId="14BB46E8" w14:textId="77777777" w:rsidR="0037398A" w:rsidRPr="007528E0" w:rsidRDefault="0037398A" w:rsidP="007528E0">
            <w:pPr>
              <w:pStyle w:val="Normal1"/>
              <w:spacing w:before="100" w:beforeAutospacing="1" w:after="100" w:afterAutospacing="1"/>
              <w:jc w:val="both"/>
              <w:rPr>
                <w:rFonts w:ascii="Arial" w:eastAsia="Arial" w:hAnsi="Arial" w:cs="Arial"/>
                <w:color w:val="auto"/>
                <w:sz w:val="20"/>
                <w:szCs w:val="20"/>
              </w:rPr>
            </w:pPr>
            <w:r w:rsidRPr="007528E0">
              <w:rPr>
                <w:rFonts w:ascii="Arial" w:eastAsia="Arial" w:hAnsi="Arial" w:cs="Arial"/>
                <w:color w:val="auto"/>
                <w:sz w:val="20"/>
                <w:szCs w:val="20"/>
              </w:rPr>
              <w:t>Otras plantas con principios activos con efectos psicodélicos, euforizantes y recreativos.</w:t>
            </w:r>
          </w:p>
          <w:p w14:paraId="6F9BEDC6" w14:textId="77777777" w:rsidR="0037398A" w:rsidRPr="007528E0" w:rsidRDefault="0037398A" w:rsidP="007528E0">
            <w:pPr>
              <w:pStyle w:val="Normal1"/>
              <w:spacing w:before="100" w:beforeAutospacing="1" w:after="100" w:afterAutospacing="1"/>
              <w:jc w:val="both"/>
              <w:rPr>
                <w:rFonts w:ascii="Arial" w:eastAsia="Arial" w:hAnsi="Arial" w:cs="Arial"/>
                <w:color w:val="auto"/>
                <w:sz w:val="20"/>
                <w:szCs w:val="20"/>
              </w:rPr>
            </w:pPr>
          </w:p>
        </w:tc>
        <w:tc>
          <w:tcPr>
            <w:tcW w:w="3808" w:type="dxa"/>
          </w:tcPr>
          <w:p w14:paraId="4BFDA74F" w14:textId="77777777" w:rsidR="0037398A" w:rsidRPr="007528E0" w:rsidRDefault="0037398A" w:rsidP="007528E0">
            <w:pPr>
              <w:pStyle w:val="Normal1"/>
              <w:spacing w:before="100" w:beforeAutospacing="1" w:after="100" w:afterAutospacing="1"/>
              <w:jc w:val="both"/>
              <w:rPr>
                <w:rFonts w:ascii="Arial" w:eastAsia="Arial" w:hAnsi="Arial" w:cs="Arial"/>
                <w:color w:val="auto"/>
                <w:sz w:val="20"/>
                <w:szCs w:val="20"/>
              </w:rPr>
            </w:pPr>
            <w:r w:rsidRPr="007528E0">
              <w:rPr>
                <w:rFonts w:ascii="Arial" w:eastAsia="Arial" w:hAnsi="Arial" w:cs="Arial"/>
                <w:color w:val="auto"/>
                <w:sz w:val="20"/>
                <w:szCs w:val="20"/>
              </w:rPr>
              <w:t xml:space="preserve">Pueden presentarse casos de </w:t>
            </w:r>
            <w:proofErr w:type="spellStart"/>
            <w:r w:rsidRPr="007528E0">
              <w:rPr>
                <w:rFonts w:ascii="Arial" w:eastAsia="Arial" w:hAnsi="Arial" w:cs="Arial"/>
                <w:color w:val="auto"/>
                <w:sz w:val="20"/>
                <w:szCs w:val="20"/>
              </w:rPr>
              <w:t>alteracion</w:t>
            </w:r>
            <w:proofErr w:type="spellEnd"/>
            <w:r w:rsidRPr="007528E0">
              <w:rPr>
                <w:rFonts w:ascii="Arial" w:eastAsia="Arial" w:hAnsi="Arial" w:cs="Arial"/>
                <w:color w:val="auto"/>
                <w:sz w:val="20"/>
                <w:szCs w:val="20"/>
              </w:rPr>
              <w:t xml:space="preserve"> de la conciencia, alucinaciones visuales, auditivas y táctiles.</w:t>
            </w:r>
          </w:p>
          <w:p w14:paraId="5D086E92" w14:textId="77777777" w:rsidR="0037398A" w:rsidRPr="007528E0" w:rsidRDefault="0037398A" w:rsidP="007528E0">
            <w:pPr>
              <w:pStyle w:val="Normal1"/>
              <w:spacing w:before="100" w:beforeAutospacing="1" w:after="100" w:afterAutospacing="1"/>
              <w:jc w:val="both"/>
              <w:rPr>
                <w:rFonts w:ascii="Arial" w:eastAsia="Arial" w:hAnsi="Arial" w:cs="Arial"/>
                <w:color w:val="auto"/>
                <w:sz w:val="20"/>
                <w:szCs w:val="20"/>
              </w:rPr>
            </w:pPr>
            <w:r w:rsidRPr="007528E0">
              <w:rPr>
                <w:rFonts w:ascii="Arial" w:eastAsia="Arial" w:hAnsi="Arial" w:cs="Arial"/>
                <w:color w:val="auto"/>
                <w:sz w:val="20"/>
                <w:szCs w:val="20"/>
              </w:rPr>
              <w:t xml:space="preserve">Desequilibrio </w:t>
            </w:r>
            <w:proofErr w:type="spellStart"/>
            <w:r w:rsidRPr="007528E0">
              <w:rPr>
                <w:rFonts w:ascii="Arial" w:eastAsia="Arial" w:hAnsi="Arial" w:cs="Arial"/>
                <w:color w:val="auto"/>
                <w:sz w:val="20"/>
                <w:szCs w:val="20"/>
              </w:rPr>
              <w:t>hidroelectrolitico</w:t>
            </w:r>
            <w:proofErr w:type="spellEnd"/>
            <w:r w:rsidRPr="007528E0">
              <w:rPr>
                <w:rFonts w:ascii="Arial" w:eastAsia="Arial" w:hAnsi="Arial" w:cs="Arial"/>
                <w:color w:val="auto"/>
                <w:sz w:val="20"/>
                <w:szCs w:val="20"/>
              </w:rPr>
              <w:t xml:space="preserve"> consecuente con deshidratación por diarrea y vomito</w:t>
            </w:r>
          </w:p>
        </w:tc>
        <w:tc>
          <w:tcPr>
            <w:tcW w:w="2224" w:type="dxa"/>
          </w:tcPr>
          <w:p w14:paraId="2786ADF5" w14:textId="77777777" w:rsidR="0037398A" w:rsidRPr="007528E0" w:rsidRDefault="0037398A" w:rsidP="007528E0">
            <w:pPr>
              <w:pStyle w:val="Normal1"/>
              <w:spacing w:before="100" w:beforeAutospacing="1" w:after="100" w:afterAutospacing="1"/>
              <w:jc w:val="both"/>
              <w:rPr>
                <w:rFonts w:ascii="Arial" w:eastAsia="Arial" w:hAnsi="Arial" w:cs="Arial"/>
                <w:color w:val="auto"/>
                <w:sz w:val="20"/>
                <w:szCs w:val="20"/>
              </w:rPr>
            </w:pPr>
            <w:r w:rsidRPr="007528E0">
              <w:rPr>
                <w:rFonts w:ascii="Arial" w:eastAsia="Arial" w:hAnsi="Arial" w:cs="Arial"/>
                <w:color w:val="auto"/>
                <w:sz w:val="20"/>
                <w:szCs w:val="20"/>
              </w:rPr>
              <w:t xml:space="preserve">Hongos </w:t>
            </w:r>
            <w:proofErr w:type="spellStart"/>
            <w:r w:rsidRPr="007528E0">
              <w:rPr>
                <w:rFonts w:ascii="Arial" w:eastAsia="Arial" w:hAnsi="Arial" w:cs="Arial"/>
                <w:color w:val="auto"/>
                <w:sz w:val="20"/>
                <w:szCs w:val="20"/>
              </w:rPr>
              <w:t>psilocibe</w:t>
            </w:r>
            <w:proofErr w:type="spellEnd"/>
            <w:r w:rsidRPr="007528E0">
              <w:rPr>
                <w:rFonts w:ascii="Arial" w:eastAsia="Arial" w:hAnsi="Arial" w:cs="Arial"/>
                <w:color w:val="auto"/>
                <w:sz w:val="20"/>
                <w:szCs w:val="20"/>
              </w:rPr>
              <w:t xml:space="preserve">, </w:t>
            </w:r>
            <w:proofErr w:type="spellStart"/>
            <w:r w:rsidRPr="007528E0">
              <w:rPr>
                <w:rFonts w:ascii="Arial" w:eastAsia="Arial" w:hAnsi="Arial" w:cs="Arial"/>
                <w:color w:val="auto"/>
                <w:sz w:val="20"/>
                <w:szCs w:val="20"/>
              </w:rPr>
              <w:t>yaje</w:t>
            </w:r>
            <w:proofErr w:type="spellEnd"/>
            <w:r w:rsidRPr="007528E0">
              <w:rPr>
                <w:rFonts w:ascii="Arial" w:eastAsia="Arial" w:hAnsi="Arial" w:cs="Arial"/>
                <w:color w:val="auto"/>
                <w:sz w:val="20"/>
                <w:szCs w:val="20"/>
              </w:rPr>
              <w:t xml:space="preserve">, ayahuasca, </w:t>
            </w:r>
            <w:proofErr w:type="spellStart"/>
            <w:r w:rsidRPr="007528E0">
              <w:rPr>
                <w:rFonts w:ascii="Arial" w:eastAsia="Arial" w:hAnsi="Arial" w:cs="Arial"/>
                <w:color w:val="auto"/>
                <w:sz w:val="20"/>
                <w:szCs w:val="20"/>
              </w:rPr>
              <w:t>jurema</w:t>
            </w:r>
            <w:proofErr w:type="spellEnd"/>
            <w:r w:rsidRPr="007528E0">
              <w:rPr>
                <w:rFonts w:ascii="Arial" w:eastAsia="Arial" w:hAnsi="Arial" w:cs="Arial"/>
                <w:color w:val="auto"/>
                <w:sz w:val="20"/>
                <w:szCs w:val="20"/>
              </w:rPr>
              <w:t xml:space="preserve">, </w:t>
            </w:r>
            <w:proofErr w:type="spellStart"/>
            <w:r w:rsidRPr="007528E0">
              <w:rPr>
                <w:rFonts w:ascii="Arial" w:eastAsia="Arial" w:hAnsi="Arial" w:cs="Arial"/>
                <w:color w:val="auto"/>
                <w:sz w:val="20"/>
                <w:szCs w:val="20"/>
              </w:rPr>
              <w:t>iboga</w:t>
            </w:r>
            <w:proofErr w:type="spellEnd"/>
            <w:r w:rsidRPr="007528E0">
              <w:rPr>
                <w:rFonts w:ascii="Arial" w:eastAsia="Arial" w:hAnsi="Arial" w:cs="Arial"/>
                <w:color w:val="auto"/>
                <w:sz w:val="20"/>
                <w:szCs w:val="20"/>
              </w:rPr>
              <w:t>, cactus de san Pedro, yopo, marihuana, coca.</w:t>
            </w:r>
          </w:p>
        </w:tc>
      </w:tr>
    </w:tbl>
    <w:p w14:paraId="5F5068CC" w14:textId="77777777" w:rsidR="0037398A" w:rsidRPr="007528E0" w:rsidRDefault="0037398A" w:rsidP="0037398A">
      <w:pPr>
        <w:pStyle w:val="Normal1"/>
        <w:spacing w:before="100" w:beforeAutospacing="1" w:after="100" w:afterAutospacing="1"/>
        <w:jc w:val="center"/>
        <w:rPr>
          <w:rFonts w:ascii="Arial" w:eastAsia="Arial" w:hAnsi="Arial" w:cs="Arial"/>
          <w:color w:val="auto"/>
          <w:sz w:val="16"/>
          <w:szCs w:val="16"/>
        </w:rPr>
      </w:pPr>
      <w:r w:rsidRPr="007528E0">
        <w:rPr>
          <w:rFonts w:ascii="Arial" w:eastAsia="Arial" w:hAnsi="Arial" w:cs="Arial"/>
          <w:color w:val="auto"/>
          <w:sz w:val="16"/>
          <w:szCs w:val="16"/>
        </w:rPr>
        <w:t xml:space="preserve">Fuente: elaborado a partir referencias </w:t>
      </w:r>
      <w:r w:rsidRPr="007528E0">
        <w:rPr>
          <w:rFonts w:ascii="Arial" w:eastAsia="Arial" w:hAnsi="Arial" w:cs="Arial"/>
          <w:color w:val="auto"/>
          <w:sz w:val="16"/>
          <w:szCs w:val="16"/>
        </w:rPr>
        <w:fldChar w:fldCharType="begin" w:fldLock="1"/>
      </w:r>
      <w:r w:rsidRPr="007528E0">
        <w:rPr>
          <w:rFonts w:ascii="Arial" w:eastAsia="Arial" w:hAnsi="Arial" w:cs="Arial"/>
          <w:color w:val="auto"/>
          <w:sz w:val="16"/>
          <w:szCs w:val="16"/>
        </w:rPr>
        <w:instrText>ADDIN CSL_CITATION { "citationItems" : [ { "id" : "ITEM-1", "itemData" : { "URL" : "https://www.minsalud.gov.co/sites/rid/Lists/BibliotecaDigital/RIDE/DE/GT/Guia-manejo-urgencias-toxicologicas.pdf", "accessed" : { "date-parts" : [ [ "2017", "6", "5" ] ] }, "author" : [ { "dropping-particle" : "", "family" : "Ministerio de Salud y Protecci\u00f3n Social, Universidad Nacional de Colombia", "given" : "Centro De Informaci\u00f3n y Asesor\u00eda Toxicol\u00f3gica", "non-dropping-particle" : "", "parse-names" : false, "suffix" : "" } ], "id" : "ITEM-1", "issued" : { "date-parts" : [ [ "2008" ] ] }, "title" : "Gu\u00edas para el manejo de Urgencias Toxicol\u00f3gicas", "type" : "webpage" }, "uris" : [ "http://www.mendeley.com/documents/?uuid=09dd0fe0-84fe-47ec-b68a-9d78ff833790" ] } ], "mendeley" : { "formattedCitation" : "(14)", "plainTextFormattedCitation" : "(14)", "previouslyFormattedCitation" : "(14)" }, "properties" : { "noteIndex" : 0 }, "schema" : "https://github.com/citation-style-language/schema/raw/master/csl-citation.json" }</w:instrText>
      </w:r>
      <w:r w:rsidRPr="007528E0">
        <w:rPr>
          <w:rFonts w:ascii="Arial" w:eastAsia="Arial" w:hAnsi="Arial" w:cs="Arial"/>
          <w:color w:val="auto"/>
          <w:sz w:val="16"/>
          <w:szCs w:val="16"/>
        </w:rPr>
        <w:fldChar w:fldCharType="separate"/>
      </w:r>
      <w:r w:rsidRPr="007528E0">
        <w:rPr>
          <w:rFonts w:ascii="Arial" w:eastAsia="Arial" w:hAnsi="Arial" w:cs="Arial"/>
          <w:noProof/>
          <w:color w:val="auto"/>
          <w:sz w:val="16"/>
          <w:szCs w:val="16"/>
        </w:rPr>
        <w:t>(14)</w:t>
      </w:r>
      <w:r w:rsidRPr="007528E0">
        <w:rPr>
          <w:rFonts w:ascii="Arial" w:eastAsia="Arial" w:hAnsi="Arial" w:cs="Arial"/>
          <w:color w:val="auto"/>
          <w:sz w:val="16"/>
          <w:szCs w:val="16"/>
        </w:rPr>
        <w:fldChar w:fldCharType="end"/>
      </w:r>
      <w:r w:rsidRPr="007528E0">
        <w:rPr>
          <w:rFonts w:ascii="Arial" w:eastAsia="Arial" w:hAnsi="Arial" w:cs="Arial"/>
          <w:color w:val="auto"/>
          <w:sz w:val="16"/>
          <w:szCs w:val="16"/>
        </w:rPr>
        <w:fldChar w:fldCharType="begin" w:fldLock="1"/>
      </w:r>
      <w:r w:rsidRPr="007528E0">
        <w:rPr>
          <w:rFonts w:ascii="Arial" w:eastAsia="Arial" w:hAnsi="Arial" w:cs="Arial"/>
          <w:color w:val="auto"/>
          <w:sz w:val="16"/>
          <w:szCs w:val="16"/>
        </w:rPr>
        <w:instrText>ADDIN CSL_CITATION { "citationItems" : [ { "id" : "ITEM-1", "itemData" : { "author" : [ { "dropping-particle" : "", "family" : "Mc Graw-Hill. Olson K.", "given" : "", "non-dropping-particle" : "", "parse-names" : false, "suffix" : "" } ], "edition" : "Quinta Edi", "id" : "ITEM-1", "issued" : { "date-parts" : [ [ "2006" ] ] }, "title" : "Poisoning &amp; Drug Overdose", "type" : "book" }, "uris" : [ "http://www.mendeley.com/documents/?uuid=118b95c9-6e46-4361-8d56-df533571c246" ] } ], "mendeley" : { "formattedCitation" : "(25)", "plainTextFormattedCitation" : "(25)", "previouslyFormattedCitation" : "(25)" }, "properties" : { "noteIndex" : 0 }, "schema" : "https://github.com/citation-style-language/schema/raw/master/csl-citation.json" }</w:instrText>
      </w:r>
      <w:r w:rsidRPr="007528E0">
        <w:rPr>
          <w:rFonts w:ascii="Arial" w:eastAsia="Arial" w:hAnsi="Arial" w:cs="Arial"/>
          <w:color w:val="auto"/>
          <w:sz w:val="16"/>
          <w:szCs w:val="16"/>
        </w:rPr>
        <w:fldChar w:fldCharType="separate"/>
      </w:r>
      <w:r w:rsidRPr="007528E0">
        <w:rPr>
          <w:rFonts w:ascii="Arial" w:eastAsia="Arial" w:hAnsi="Arial" w:cs="Arial"/>
          <w:noProof/>
          <w:color w:val="auto"/>
          <w:sz w:val="16"/>
          <w:szCs w:val="16"/>
        </w:rPr>
        <w:t>(25)</w:t>
      </w:r>
      <w:r w:rsidRPr="007528E0">
        <w:rPr>
          <w:rFonts w:ascii="Arial" w:eastAsia="Arial" w:hAnsi="Arial" w:cs="Arial"/>
          <w:color w:val="auto"/>
          <w:sz w:val="16"/>
          <w:szCs w:val="16"/>
        </w:rPr>
        <w:fldChar w:fldCharType="end"/>
      </w:r>
      <w:r w:rsidRPr="007528E0">
        <w:rPr>
          <w:rFonts w:ascii="Arial" w:eastAsia="Arial" w:hAnsi="Arial" w:cs="Arial"/>
          <w:color w:val="auto"/>
          <w:sz w:val="16"/>
          <w:szCs w:val="16"/>
        </w:rPr>
        <w:fldChar w:fldCharType="begin" w:fldLock="1"/>
      </w:r>
      <w:r w:rsidRPr="007528E0">
        <w:rPr>
          <w:rFonts w:ascii="Arial" w:eastAsia="Arial" w:hAnsi="Arial" w:cs="Arial"/>
          <w:color w:val="auto"/>
          <w:sz w:val="16"/>
          <w:szCs w:val="16"/>
        </w:rPr>
        <w:instrText>ADDIN CSL_CITATION { "citationItems" : [ { "id" : "ITEM-1", "itemData" : { "author" : [ { "dropping-particle" : "", "family" : "C\u00f3rdoba, A., et al.", "given" : "", "non-dropping-particle" : "", "parse-names" : false, "suffix" : "" } ], "container-title" : "Biosalud. Revista de Ciencias B\u00e1sicas.", "id" : "ITEM-1", "issued" : { "date-parts" : [ [ "2003" ] ] }, "page" : "1-15", "title" : "Plantas t\u00f3xicas caseras en la ciudad de Manizales.", "type" : "article-journal" }, "uris" : [ "http://www.mendeley.com/documents/?uuid=855a1952-cf8c-4e1d-b13a-dccffba8f0c9" ] } ], "mendeley" : { "formattedCitation" : "(76)", "plainTextFormattedCitation" : "(76)", "previouslyFormattedCitation" : "(76)" }, "properties" : { "noteIndex" : 0 }, "schema" : "https://github.com/citation-style-language/schema/raw/master/csl-citation.json" }</w:instrText>
      </w:r>
      <w:r w:rsidRPr="007528E0">
        <w:rPr>
          <w:rFonts w:ascii="Arial" w:eastAsia="Arial" w:hAnsi="Arial" w:cs="Arial"/>
          <w:color w:val="auto"/>
          <w:sz w:val="16"/>
          <w:szCs w:val="16"/>
        </w:rPr>
        <w:fldChar w:fldCharType="separate"/>
      </w:r>
      <w:r w:rsidRPr="007528E0">
        <w:rPr>
          <w:rFonts w:ascii="Arial" w:eastAsia="Arial" w:hAnsi="Arial" w:cs="Arial"/>
          <w:noProof/>
          <w:color w:val="auto"/>
          <w:sz w:val="16"/>
          <w:szCs w:val="16"/>
        </w:rPr>
        <w:t>(76)</w:t>
      </w:r>
      <w:r w:rsidRPr="007528E0">
        <w:rPr>
          <w:rFonts w:ascii="Arial" w:eastAsia="Arial" w:hAnsi="Arial" w:cs="Arial"/>
          <w:color w:val="auto"/>
          <w:sz w:val="16"/>
          <w:szCs w:val="16"/>
        </w:rPr>
        <w:fldChar w:fldCharType="end"/>
      </w:r>
      <w:r w:rsidRPr="007528E0">
        <w:rPr>
          <w:rFonts w:ascii="Arial" w:eastAsia="Arial" w:hAnsi="Arial" w:cs="Arial"/>
          <w:color w:val="auto"/>
          <w:sz w:val="16"/>
          <w:szCs w:val="16"/>
        </w:rPr>
        <w:fldChar w:fldCharType="begin" w:fldLock="1"/>
      </w:r>
      <w:r w:rsidRPr="007528E0">
        <w:rPr>
          <w:rFonts w:ascii="Arial" w:eastAsia="Arial" w:hAnsi="Arial" w:cs="Arial"/>
          <w:color w:val="auto"/>
          <w:sz w:val="16"/>
          <w:szCs w:val="16"/>
        </w:rPr>
        <w:instrText>ADDIN CSL_CITATION { "citationItems" : [ { "id" : "ITEM-1", "itemData" : { "author" : [ { "dropping-particle" : "", "family" : "Fern\u00e1ndez Alonso, J.L., A. Galindo Bonilla", "given" : "and J.M. Idrobo", "non-dropping-particle" : "", "parse-names" : false, "suffix" : "" } ], "container-title" : "Revista de la Academia Colombiana de Ciencias Exactas, F\u00edsicas y Naturales", "id" : "ITEM-1", "issue" : "119", "issued" : { "date-parts" : [ [ "2007" ] ] }, "page" : "181-198", "title" : "Las plantas como evidencia legal. Desarrollo de la bot\u00e1nica forense en Colombia.", "type" : "article-journal", "volume" : "31" }, "uris" : [ "http://www.mendeley.com/documents/?uuid=e5f36710-d420-4d06-9305-025914b2d29e" ] } ], "mendeley" : { "formattedCitation" : "(77)", "plainTextFormattedCitation" : "(77)", "previouslyFormattedCitation" : "(77)" }, "properties" : { "noteIndex" : 0 }, "schema" : "https://github.com/citation-style-language/schema/raw/master/csl-citation.json" }</w:instrText>
      </w:r>
      <w:r w:rsidRPr="007528E0">
        <w:rPr>
          <w:rFonts w:ascii="Arial" w:eastAsia="Arial" w:hAnsi="Arial" w:cs="Arial"/>
          <w:color w:val="auto"/>
          <w:sz w:val="16"/>
          <w:szCs w:val="16"/>
        </w:rPr>
        <w:fldChar w:fldCharType="separate"/>
      </w:r>
      <w:r w:rsidRPr="007528E0">
        <w:rPr>
          <w:rFonts w:ascii="Arial" w:eastAsia="Arial" w:hAnsi="Arial" w:cs="Arial"/>
          <w:noProof/>
          <w:color w:val="auto"/>
          <w:sz w:val="16"/>
          <w:szCs w:val="16"/>
        </w:rPr>
        <w:t>(77)</w:t>
      </w:r>
      <w:r w:rsidRPr="007528E0">
        <w:rPr>
          <w:rFonts w:ascii="Arial" w:eastAsia="Arial" w:hAnsi="Arial" w:cs="Arial"/>
          <w:color w:val="auto"/>
          <w:sz w:val="16"/>
          <w:szCs w:val="16"/>
        </w:rPr>
        <w:fldChar w:fldCharType="end"/>
      </w:r>
      <w:r w:rsidRPr="007528E0">
        <w:rPr>
          <w:rFonts w:ascii="Arial" w:eastAsia="Arial" w:hAnsi="Arial" w:cs="Arial"/>
          <w:color w:val="auto"/>
          <w:sz w:val="16"/>
          <w:szCs w:val="16"/>
        </w:rPr>
        <w:t xml:space="preserve"> </w:t>
      </w:r>
    </w:p>
    <w:p w14:paraId="2AD1403D" w14:textId="77777777" w:rsidR="0037398A" w:rsidRPr="007528E0" w:rsidRDefault="0037398A" w:rsidP="0037398A">
      <w:pPr>
        <w:pStyle w:val="Ttulo2"/>
        <w:numPr>
          <w:ilvl w:val="0"/>
          <w:numId w:val="25"/>
        </w:numPr>
        <w:spacing w:before="100" w:beforeAutospacing="1" w:after="100" w:afterAutospacing="1"/>
        <w:jc w:val="left"/>
        <w:rPr>
          <w:sz w:val="22"/>
          <w:szCs w:val="22"/>
        </w:rPr>
      </w:pPr>
      <w:bookmarkStart w:id="37" w:name="_Toc505456661"/>
      <w:r w:rsidRPr="007528E0">
        <w:rPr>
          <w:sz w:val="22"/>
          <w:szCs w:val="22"/>
        </w:rPr>
        <w:t>Intoxicación por gases</w:t>
      </w:r>
      <w:bookmarkEnd w:id="32"/>
      <w:r w:rsidRPr="007528E0">
        <w:rPr>
          <w:sz w:val="22"/>
          <w:szCs w:val="22"/>
        </w:rPr>
        <w:t xml:space="preserve"> (Grupo de Sustancia 7)</w:t>
      </w:r>
      <w:bookmarkEnd w:id="37"/>
    </w:p>
    <w:p w14:paraId="389A2DBE" w14:textId="77777777" w:rsidR="0037398A" w:rsidRPr="007528E0" w:rsidRDefault="0037398A" w:rsidP="0037398A">
      <w:pPr>
        <w:spacing w:before="100" w:beforeAutospacing="1" w:after="100" w:afterAutospacing="1"/>
        <w:rPr>
          <w:rFonts w:cs="Arial"/>
          <w:sz w:val="22"/>
          <w:szCs w:val="22"/>
          <w:lang w:val="es-CO"/>
        </w:rPr>
      </w:pPr>
      <w:r w:rsidRPr="007528E0">
        <w:rPr>
          <w:rFonts w:cs="Arial"/>
          <w:sz w:val="22"/>
          <w:szCs w:val="22"/>
          <w:lang w:val="es-CO"/>
        </w:rPr>
        <w:t xml:space="preserve">Un gas es un fluido que en condiciones normales (temperatura de 25 </w:t>
      </w:r>
      <w:proofErr w:type="spellStart"/>
      <w:r w:rsidRPr="007528E0">
        <w:rPr>
          <w:rFonts w:cs="Arial"/>
          <w:sz w:val="22"/>
          <w:szCs w:val="22"/>
          <w:vertAlign w:val="superscript"/>
          <w:lang w:val="es-CO"/>
        </w:rPr>
        <w:t>o</w:t>
      </w:r>
      <w:r w:rsidRPr="007528E0">
        <w:rPr>
          <w:rFonts w:cs="Arial"/>
          <w:sz w:val="22"/>
          <w:szCs w:val="22"/>
          <w:lang w:val="es-CO"/>
        </w:rPr>
        <w:t>C</w:t>
      </w:r>
      <w:proofErr w:type="spellEnd"/>
      <w:r w:rsidRPr="007528E0">
        <w:rPr>
          <w:rFonts w:cs="Arial"/>
          <w:sz w:val="22"/>
          <w:szCs w:val="22"/>
          <w:lang w:val="es-CO"/>
        </w:rPr>
        <w:t xml:space="preserve"> y presión de 1 atmósfera) se encuentran en fase gaseosa, no tiene forma, ocupa el espacio del recipiente que los contiene y puede pasar al estado líquido o sólido por cambios en la presión o la temperatura. Los gases pueden ser irritantes y asfixiantes simples o sistémicos, la ruta de exposición es la vía respiratoria (ver tabla 23).</w:t>
      </w:r>
    </w:p>
    <w:p w14:paraId="0DD993BD" w14:textId="77777777" w:rsidR="0037398A" w:rsidRPr="007528E0" w:rsidRDefault="0037398A" w:rsidP="0037398A">
      <w:pPr>
        <w:spacing w:before="100" w:beforeAutospacing="1" w:after="100" w:afterAutospacing="1"/>
        <w:rPr>
          <w:rFonts w:cs="Arial"/>
          <w:sz w:val="22"/>
          <w:szCs w:val="22"/>
          <w:lang w:val="es-CO"/>
        </w:rPr>
      </w:pPr>
      <w:r w:rsidRPr="007528E0">
        <w:rPr>
          <w:rFonts w:cs="Arial"/>
          <w:sz w:val="22"/>
          <w:szCs w:val="22"/>
          <w:lang w:val="es-CO"/>
        </w:rPr>
        <w:lastRenderedPageBreak/>
        <w:t xml:space="preserve">Los gases asfixiantes simples desplazan el oxígeno del aire ambiente y de la hemoglobina, reduciendo la fracción de oxígeno en el aire a menos de 21% cuando se acumulan en espacios confinados causando hipoxia y asfixia </w:t>
      </w:r>
      <w:r w:rsidRPr="007528E0">
        <w:rPr>
          <w:rFonts w:cs="Arial"/>
          <w:sz w:val="22"/>
          <w:szCs w:val="22"/>
          <w:lang w:val="es-CO"/>
        </w:rPr>
        <w:fldChar w:fldCharType="begin" w:fldLock="1"/>
      </w:r>
      <w:r w:rsidRPr="007528E0">
        <w:rPr>
          <w:rFonts w:cs="Arial"/>
          <w:sz w:val="22"/>
          <w:szCs w:val="22"/>
          <w:lang w:val="es-CO"/>
        </w:rPr>
        <w:instrText>ADDIN CSL_CITATION { "citationItems" : [ { "id" : "ITEM-1", "itemData" : { "author" : [ { "dropping-particle" : "", "family" : "Hoffman, R.S., et al.", "given" : "", "non-dropping-particle" : "", "parse-names" : false, "suffix" : "" } ], "container-title" : "McGraw-Hill: New York", "id" : "ITEM-1", "issued" : { "date-parts" : [ [ "0" ] ] }, "title" : "Goldfrank\u00b4s. Manual of toxicologic emergencies. 2008", "type" : "article-journal" }, "uris" : [ "http://www.mendeley.com/documents/?uuid=6101ab90-992b-4bdb-b668-1473ce76ffb9" ] } ], "mendeley" : { "formattedCitation" : "(26)", "plainTextFormattedCitation" : "(26)", "previouslyFormattedCitation" : "(26)" }, "properties" : { "noteIndex" : 0 }, "schema" : "https://github.com/citation-style-language/schema/raw/master/csl-citation.json" }</w:instrText>
      </w:r>
      <w:r w:rsidRPr="007528E0">
        <w:rPr>
          <w:rFonts w:cs="Arial"/>
          <w:sz w:val="22"/>
          <w:szCs w:val="22"/>
          <w:lang w:val="es-CO"/>
        </w:rPr>
        <w:fldChar w:fldCharType="separate"/>
      </w:r>
      <w:r w:rsidRPr="007528E0">
        <w:rPr>
          <w:rFonts w:cs="Arial"/>
          <w:noProof/>
          <w:sz w:val="22"/>
          <w:szCs w:val="22"/>
          <w:lang w:val="es-CO"/>
        </w:rPr>
        <w:t>(26)</w:t>
      </w:r>
      <w:r w:rsidRPr="007528E0">
        <w:rPr>
          <w:rFonts w:cs="Arial"/>
          <w:sz w:val="22"/>
          <w:szCs w:val="22"/>
          <w:lang w:val="es-CO"/>
        </w:rPr>
        <w:fldChar w:fldCharType="end"/>
      </w:r>
      <w:r w:rsidRPr="007528E0">
        <w:rPr>
          <w:rFonts w:cs="Arial"/>
          <w:sz w:val="22"/>
          <w:szCs w:val="22"/>
          <w:lang w:val="es-CO"/>
        </w:rPr>
        <w:t>.</w:t>
      </w:r>
    </w:p>
    <w:p w14:paraId="6F057899" w14:textId="77777777" w:rsidR="0037398A" w:rsidRPr="007528E0" w:rsidRDefault="0037398A" w:rsidP="0037398A">
      <w:pPr>
        <w:spacing w:before="100" w:beforeAutospacing="1" w:after="100" w:afterAutospacing="1"/>
        <w:rPr>
          <w:rFonts w:cs="Arial"/>
          <w:sz w:val="22"/>
          <w:szCs w:val="22"/>
          <w:lang w:val="es-CO"/>
        </w:rPr>
      </w:pPr>
      <w:r w:rsidRPr="007528E0">
        <w:rPr>
          <w:rFonts w:cs="Arial"/>
          <w:sz w:val="22"/>
          <w:szCs w:val="22"/>
          <w:lang w:val="es-CO"/>
        </w:rPr>
        <w:t>Los gases de acción irritante se caracterizan por producir extensas y profundas lesiones a nivel de las mucosas de la vía aérea. El nivel de la lesión a lo largo del aparato respiratorio depende de la intensidad, duración de la exposición y factores como el tamaño de las partículas y el grado de hidrosolubilidad de los mismos.</w:t>
      </w:r>
    </w:p>
    <w:p w14:paraId="3FF0759A" w14:textId="583F7D5B" w:rsidR="0037398A" w:rsidRDefault="0037398A" w:rsidP="0037398A">
      <w:pPr>
        <w:pStyle w:val="Descripcin"/>
        <w:spacing w:before="100" w:beforeAutospacing="1" w:after="100" w:afterAutospacing="1"/>
        <w:jc w:val="center"/>
        <w:rPr>
          <w:rFonts w:cs="Arial"/>
          <w:color w:val="auto"/>
          <w:sz w:val="22"/>
          <w:szCs w:val="22"/>
        </w:rPr>
      </w:pPr>
      <w:bookmarkStart w:id="38" w:name="_Toc505456264"/>
      <w:r w:rsidRPr="007528E0">
        <w:rPr>
          <w:rFonts w:cs="Arial"/>
          <w:b/>
          <w:color w:val="auto"/>
          <w:sz w:val="22"/>
          <w:szCs w:val="22"/>
        </w:rPr>
        <w:t xml:space="preserve">Tabla </w:t>
      </w:r>
      <w:r w:rsidRPr="007528E0">
        <w:rPr>
          <w:rFonts w:cs="Arial"/>
          <w:b/>
          <w:color w:val="auto"/>
          <w:sz w:val="22"/>
          <w:szCs w:val="22"/>
        </w:rPr>
        <w:fldChar w:fldCharType="begin"/>
      </w:r>
      <w:r w:rsidRPr="007528E0">
        <w:rPr>
          <w:rFonts w:cs="Arial"/>
          <w:b/>
          <w:color w:val="auto"/>
          <w:sz w:val="22"/>
          <w:szCs w:val="22"/>
        </w:rPr>
        <w:instrText xml:space="preserve"> SEQ Tabla \* ARABIC </w:instrText>
      </w:r>
      <w:r w:rsidRPr="007528E0">
        <w:rPr>
          <w:rFonts w:cs="Arial"/>
          <w:b/>
          <w:color w:val="auto"/>
          <w:sz w:val="22"/>
          <w:szCs w:val="22"/>
        </w:rPr>
        <w:fldChar w:fldCharType="separate"/>
      </w:r>
      <w:r w:rsidRPr="007528E0">
        <w:rPr>
          <w:rFonts w:cs="Arial"/>
          <w:b/>
          <w:noProof/>
          <w:color w:val="auto"/>
          <w:sz w:val="22"/>
          <w:szCs w:val="22"/>
        </w:rPr>
        <w:t>18</w:t>
      </w:r>
      <w:r w:rsidRPr="007528E0">
        <w:rPr>
          <w:rFonts w:cs="Arial"/>
          <w:b/>
          <w:color w:val="auto"/>
          <w:sz w:val="22"/>
          <w:szCs w:val="22"/>
        </w:rPr>
        <w:fldChar w:fldCharType="end"/>
      </w:r>
      <w:r w:rsidRPr="007528E0">
        <w:rPr>
          <w:rFonts w:cs="Arial"/>
          <w:b/>
          <w:color w:val="auto"/>
          <w:sz w:val="22"/>
          <w:szCs w:val="22"/>
        </w:rPr>
        <w:t>.</w:t>
      </w:r>
      <w:r w:rsidRPr="007528E0">
        <w:rPr>
          <w:rFonts w:cs="Arial"/>
          <w:color w:val="auto"/>
          <w:sz w:val="22"/>
          <w:szCs w:val="22"/>
        </w:rPr>
        <w:t xml:space="preserve"> Descripción de las manifestaciones clínicas y laboratorio de toxicología de la intoxicación por gases.</w:t>
      </w:r>
      <w:bookmarkEnd w:id="38"/>
    </w:p>
    <w:p w14:paraId="16B8F855" w14:textId="69F5FDEB" w:rsidR="00F87462" w:rsidRDefault="00F87462" w:rsidP="00F87462"/>
    <w:p w14:paraId="1D1B01B5" w14:textId="301D2E5C" w:rsidR="004C3016" w:rsidRDefault="004C3016" w:rsidP="00F87462"/>
    <w:p w14:paraId="6A883C56" w14:textId="77777777" w:rsidR="004C3016" w:rsidRPr="00F87462" w:rsidRDefault="004C3016" w:rsidP="00F87462"/>
    <w:tbl>
      <w:tblPr>
        <w:tblStyle w:val="Tablaconcuadrcula"/>
        <w:tblW w:w="0" w:type="auto"/>
        <w:tblLayout w:type="fixed"/>
        <w:tblLook w:val="04A0" w:firstRow="1" w:lastRow="0" w:firstColumn="1" w:lastColumn="0" w:noHBand="0" w:noVBand="1"/>
      </w:tblPr>
      <w:tblGrid>
        <w:gridCol w:w="1101"/>
        <w:gridCol w:w="1527"/>
        <w:gridCol w:w="1449"/>
        <w:gridCol w:w="2622"/>
        <w:gridCol w:w="2015"/>
      </w:tblGrid>
      <w:tr w:rsidR="007528E0" w:rsidRPr="007528E0" w14:paraId="193DCFAB" w14:textId="77777777" w:rsidTr="007528E0">
        <w:tc>
          <w:tcPr>
            <w:tcW w:w="2628" w:type="dxa"/>
            <w:gridSpan w:val="2"/>
          </w:tcPr>
          <w:p w14:paraId="06DC5DB4" w14:textId="77777777" w:rsidR="0037398A" w:rsidRPr="007528E0" w:rsidRDefault="0037398A" w:rsidP="007528E0">
            <w:pPr>
              <w:pStyle w:val="Prrafodelista"/>
              <w:spacing w:before="100" w:beforeAutospacing="1" w:after="100" w:afterAutospacing="1" w:line="240" w:lineRule="auto"/>
              <w:ind w:left="0"/>
              <w:jc w:val="center"/>
              <w:rPr>
                <w:rFonts w:eastAsia="Calibri" w:cs="Arial"/>
                <w:b/>
                <w:sz w:val="20"/>
              </w:rPr>
            </w:pPr>
            <w:r w:rsidRPr="007528E0">
              <w:rPr>
                <w:rFonts w:eastAsia="Calibri" w:cs="Arial"/>
                <w:b/>
                <w:sz w:val="20"/>
              </w:rPr>
              <w:t>Tipo de gas</w:t>
            </w:r>
          </w:p>
        </w:tc>
        <w:tc>
          <w:tcPr>
            <w:tcW w:w="1449" w:type="dxa"/>
          </w:tcPr>
          <w:p w14:paraId="4F03842D" w14:textId="77777777" w:rsidR="0037398A" w:rsidRPr="007528E0" w:rsidRDefault="0037398A" w:rsidP="007528E0">
            <w:pPr>
              <w:pStyle w:val="Prrafodelista"/>
              <w:spacing w:before="100" w:beforeAutospacing="1" w:after="100" w:afterAutospacing="1" w:line="240" w:lineRule="auto"/>
              <w:ind w:left="0"/>
              <w:jc w:val="center"/>
              <w:rPr>
                <w:rFonts w:eastAsia="Calibri" w:cs="Arial"/>
                <w:b/>
                <w:sz w:val="20"/>
              </w:rPr>
            </w:pPr>
            <w:r w:rsidRPr="007528E0">
              <w:rPr>
                <w:rFonts w:eastAsia="Calibri" w:cs="Arial"/>
                <w:b/>
                <w:sz w:val="20"/>
              </w:rPr>
              <w:t>Productos</w:t>
            </w:r>
          </w:p>
        </w:tc>
        <w:tc>
          <w:tcPr>
            <w:tcW w:w="2622" w:type="dxa"/>
          </w:tcPr>
          <w:p w14:paraId="54F29E9E" w14:textId="77777777" w:rsidR="0037398A" w:rsidRPr="007528E0" w:rsidRDefault="0037398A" w:rsidP="007528E0">
            <w:pPr>
              <w:pStyle w:val="Prrafodelista"/>
              <w:spacing w:before="100" w:beforeAutospacing="1" w:after="100" w:afterAutospacing="1" w:line="240" w:lineRule="auto"/>
              <w:ind w:left="0"/>
              <w:jc w:val="center"/>
              <w:rPr>
                <w:rFonts w:eastAsia="Calibri" w:cs="Arial"/>
                <w:b/>
                <w:sz w:val="20"/>
              </w:rPr>
            </w:pPr>
            <w:r w:rsidRPr="007528E0">
              <w:rPr>
                <w:rFonts w:eastAsia="Calibri" w:cs="Arial"/>
                <w:b/>
                <w:sz w:val="20"/>
              </w:rPr>
              <w:t>Manifestaciones clínicas</w:t>
            </w:r>
          </w:p>
        </w:tc>
        <w:tc>
          <w:tcPr>
            <w:tcW w:w="2015" w:type="dxa"/>
          </w:tcPr>
          <w:p w14:paraId="7ABBFF4B" w14:textId="77777777" w:rsidR="0037398A" w:rsidRPr="007528E0" w:rsidRDefault="0037398A" w:rsidP="007528E0">
            <w:pPr>
              <w:pStyle w:val="Prrafodelista"/>
              <w:spacing w:before="100" w:beforeAutospacing="1" w:after="100" w:afterAutospacing="1" w:line="240" w:lineRule="auto"/>
              <w:ind w:left="0"/>
              <w:jc w:val="center"/>
              <w:rPr>
                <w:rFonts w:eastAsia="Calibri" w:cs="Arial"/>
                <w:b/>
                <w:sz w:val="20"/>
              </w:rPr>
            </w:pPr>
            <w:r w:rsidRPr="007528E0">
              <w:rPr>
                <w:rFonts w:eastAsia="Calibri" w:cs="Arial"/>
                <w:b/>
                <w:sz w:val="20"/>
              </w:rPr>
              <w:t>Laboratorio de toxicología</w:t>
            </w:r>
          </w:p>
        </w:tc>
      </w:tr>
      <w:tr w:rsidR="007528E0" w:rsidRPr="007528E0" w14:paraId="0C004B64" w14:textId="77777777" w:rsidTr="007528E0">
        <w:tc>
          <w:tcPr>
            <w:tcW w:w="1101" w:type="dxa"/>
            <w:vMerge w:val="restart"/>
          </w:tcPr>
          <w:p w14:paraId="73548A7E" w14:textId="77777777" w:rsidR="0037398A" w:rsidRPr="007528E0" w:rsidRDefault="0037398A" w:rsidP="007528E0">
            <w:pPr>
              <w:pStyle w:val="Prrafodelista"/>
              <w:spacing w:before="100" w:beforeAutospacing="1" w:after="100" w:afterAutospacing="1" w:line="240" w:lineRule="auto"/>
              <w:ind w:left="0"/>
              <w:jc w:val="center"/>
              <w:rPr>
                <w:rFonts w:eastAsia="Calibri" w:cs="Arial"/>
                <w:sz w:val="20"/>
              </w:rPr>
            </w:pPr>
            <w:r w:rsidRPr="007528E0">
              <w:rPr>
                <w:rFonts w:eastAsia="Calibri" w:cs="Arial"/>
                <w:sz w:val="20"/>
              </w:rPr>
              <w:t>Asfixiantes</w:t>
            </w:r>
          </w:p>
        </w:tc>
        <w:tc>
          <w:tcPr>
            <w:tcW w:w="1527" w:type="dxa"/>
          </w:tcPr>
          <w:p w14:paraId="0D51E688" w14:textId="77777777" w:rsidR="0037398A" w:rsidRPr="007528E0" w:rsidRDefault="0037398A" w:rsidP="007528E0">
            <w:pPr>
              <w:pStyle w:val="Prrafodelista"/>
              <w:spacing w:before="100" w:beforeAutospacing="1" w:after="100" w:afterAutospacing="1" w:line="240" w:lineRule="auto"/>
              <w:ind w:left="0"/>
              <w:jc w:val="center"/>
              <w:rPr>
                <w:rFonts w:eastAsia="Calibri" w:cs="Arial"/>
                <w:sz w:val="20"/>
              </w:rPr>
            </w:pPr>
            <w:r w:rsidRPr="007528E0">
              <w:rPr>
                <w:rFonts w:eastAsia="Calibri" w:cs="Arial"/>
                <w:sz w:val="20"/>
              </w:rPr>
              <w:t>Simples</w:t>
            </w:r>
          </w:p>
        </w:tc>
        <w:tc>
          <w:tcPr>
            <w:tcW w:w="1449" w:type="dxa"/>
          </w:tcPr>
          <w:p w14:paraId="1A05B278" w14:textId="77777777" w:rsidR="0037398A" w:rsidRPr="007528E0" w:rsidRDefault="0037398A" w:rsidP="007528E0">
            <w:pPr>
              <w:pStyle w:val="Prrafodelista"/>
              <w:spacing w:before="100" w:beforeAutospacing="1" w:after="100" w:afterAutospacing="1" w:line="240" w:lineRule="auto"/>
              <w:ind w:left="0"/>
              <w:rPr>
                <w:rFonts w:eastAsia="Calibri" w:cs="Arial"/>
                <w:sz w:val="20"/>
              </w:rPr>
            </w:pPr>
            <w:r w:rsidRPr="007528E0">
              <w:rPr>
                <w:rFonts w:eastAsia="Calibri" w:cs="Arial"/>
                <w:sz w:val="20"/>
              </w:rPr>
              <w:t xml:space="preserve">-Propano, </w:t>
            </w:r>
          </w:p>
          <w:p w14:paraId="679C6EDF" w14:textId="77777777" w:rsidR="0037398A" w:rsidRPr="007528E0" w:rsidRDefault="0037398A" w:rsidP="007528E0">
            <w:pPr>
              <w:pStyle w:val="Prrafodelista"/>
              <w:spacing w:before="100" w:beforeAutospacing="1" w:after="100" w:afterAutospacing="1" w:line="240" w:lineRule="auto"/>
              <w:ind w:left="0"/>
              <w:rPr>
                <w:rFonts w:eastAsia="Calibri" w:cs="Arial"/>
                <w:sz w:val="20"/>
              </w:rPr>
            </w:pPr>
            <w:r w:rsidRPr="007528E0">
              <w:rPr>
                <w:rFonts w:eastAsia="Calibri" w:cs="Arial"/>
                <w:sz w:val="20"/>
              </w:rPr>
              <w:t xml:space="preserve">-Metano/gas natural, </w:t>
            </w:r>
          </w:p>
          <w:p w14:paraId="77565393" w14:textId="77777777" w:rsidR="0037398A" w:rsidRPr="007528E0" w:rsidRDefault="0037398A" w:rsidP="007528E0">
            <w:pPr>
              <w:pStyle w:val="Prrafodelista"/>
              <w:spacing w:before="100" w:beforeAutospacing="1" w:after="100" w:afterAutospacing="1" w:line="240" w:lineRule="auto"/>
              <w:ind w:left="0"/>
              <w:rPr>
                <w:rFonts w:eastAsia="Calibri" w:cs="Arial"/>
                <w:sz w:val="20"/>
              </w:rPr>
            </w:pPr>
            <w:r w:rsidRPr="007528E0">
              <w:rPr>
                <w:rFonts w:eastAsia="Calibri" w:cs="Arial"/>
                <w:sz w:val="20"/>
              </w:rPr>
              <w:t xml:space="preserve">-Argón, </w:t>
            </w:r>
          </w:p>
          <w:p w14:paraId="45D12431" w14:textId="77777777" w:rsidR="0037398A" w:rsidRPr="007528E0" w:rsidRDefault="0037398A" w:rsidP="007528E0">
            <w:pPr>
              <w:pStyle w:val="Prrafodelista"/>
              <w:spacing w:before="100" w:beforeAutospacing="1" w:after="100" w:afterAutospacing="1" w:line="240" w:lineRule="auto"/>
              <w:ind w:left="0"/>
              <w:rPr>
                <w:rFonts w:eastAsia="Calibri" w:cs="Arial"/>
                <w:sz w:val="20"/>
              </w:rPr>
            </w:pPr>
            <w:r w:rsidRPr="007528E0">
              <w:rPr>
                <w:rFonts w:eastAsia="Calibri" w:cs="Arial"/>
                <w:sz w:val="20"/>
              </w:rPr>
              <w:t xml:space="preserve">-Helio, </w:t>
            </w:r>
          </w:p>
          <w:p w14:paraId="036633F6" w14:textId="77777777" w:rsidR="0037398A" w:rsidRPr="007528E0" w:rsidRDefault="0037398A" w:rsidP="007528E0">
            <w:pPr>
              <w:pStyle w:val="Prrafodelista"/>
              <w:spacing w:before="100" w:beforeAutospacing="1" w:after="100" w:afterAutospacing="1" w:line="240" w:lineRule="auto"/>
              <w:ind w:left="0"/>
              <w:rPr>
                <w:rFonts w:eastAsia="Calibri" w:cs="Arial"/>
                <w:sz w:val="20"/>
              </w:rPr>
            </w:pPr>
            <w:r w:rsidRPr="007528E0">
              <w:rPr>
                <w:rFonts w:eastAsia="Calibri" w:cs="Arial"/>
                <w:sz w:val="20"/>
              </w:rPr>
              <w:t xml:space="preserve">-Hidrogeno, </w:t>
            </w:r>
          </w:p>
          <w:p w14:paraId="02E414C6" w14:textId="77777777" w:rsidR="0037398A" w:rsidRPr="007528E0" w:rsidRDefault="0037398A" w:rsidP="007528E0">
            <w:pPr>
              <w:pStyle w:val="Prrafodelista"/>
              <w:spacing w:before="100" w:beforeAutospacing="1" w:after="100" w:afterAutospacing="1" w:line="240" w:lineRule="auto"/>
              <w:ind w:left="0"/>
              <w:rPr>
                <w:rFonts w:eastAsia="Calibri" w:cs="Arial"/>
                <w:sz w:val="20"/>
              </w:rPr>
            </w:pPr>
            <w:r w:rsidRPr="007528E0">
              <w:rPr>
                <w:rFonts w:eastAsia="Calibri" w:cs="Arial"/>
                <w:sz w:val="20"/>
              </w:rPr>
              <w:t>-Nitrógeno,</w:t>
            </w:r>
          </w:p>
          <w:p w14:paraId="02FDB072" w14:textId="77777777" w:rsidR="0037398A" w:rsidRPr="007528E0" w:rsidRDefault="0037398A" w:rsidP="007528E0">
            <w:pPr>
              <w:pStyle w:val="Prrafodelista"/>
              <w:spacing w:before="100" w:beforeAutospacing="1" w:after="100" w:afterAutospacing="1" w:line="240" w:lineRule="auto"/>
              <w:ind w:left="0"/>
              <w:rPr>
                <w:rFonts w:eastAsia="Calibri" w:cs="Arial"/>
                <w:sz w:val="20"/>
              </w:rPr>
            </w:pPr>
            <w:r w:rsidRPr="007528E0">
              <w:rPr>
                <w:rFonts w:eastAsia="Calibri" w:cs="Arial"/>
                <w:sz w:val="20"/>
              </w:rPr>
              <w:t xml:space="preserve"> -Gases  refrigerantes y</w:t>
            </w:r>
          </w:p>
          <w:p w14:paraId="5966C7F4" w14:textId="77777777" w:rsidR="0037398A" w:rsidRPr="007528E0" w:rsidRDefault="0037398A" w:rsidP="007528E0">
            <w:pPr>
              <w:pStyle w:val="Prrafodelista"/>
              <w:spacing w:before="100" w:beforeAutospacing="1" w:after="100" w:afterAutospacing="1" w:line="240" w:lineRule="auto"/>
              <w:ind w:left="0"/>
              <w:rPr>
                <w:rFonts w:eastAsia="Calibri" w:cs="Arial"/>
                <w:sz w:val="20"/>
              </w:rPr>
            </w:pPr>
            <w:r w:rsidRPr="007528E0">
              <w:rPr>
                <w:rFonts w:eastAsia="Calibri" w:cs="Arial"/>
                <w:sz w:val="20"/>
              </w:rPr>
              <w:t xml:space="preserve"> -Dióxido de carbono.</w:t>
            </w:r>
          </w:p>
        </w:tc>
        <w:tc>
          <w:tcPr>
            <w:tcW w:w="2622" w:type="dxa"/>
          </w:tcPr>
          <w:p w14:paraId="5711B181" w14:textId="77777777" w:rsidR="0037398A" w:rsidRPr="007528E0" w:rsidRDefault="0037398A" w:rsidP="007528E0">
            <w:pPr>
              <w:pStyle w:val="Prrafodelista"/>
              <w:spacing w:before="100" w:beforeAutospacing="1" w:after="100" w:afterAutospacing="1" w:line="240" w:lineRule="auto"/>
              <w:ind w:left="0"/>
              <w:rPr>
                <w:rFonts w:eastAsia="Calibri" w:cs="Arial"/>
                <w:sz w:val="20"/>
              </w:rPr>
            </w:pPr>
            <w:r w:rsidRPr="007528E0">
              <w:rPr>
                <w:rFonts w:eastAsia="Calibri" w:cs="Arial"/>
                <w:sz w:val="20"/>
              </w:rPr>
              <w:t>Producen hipoxia, desplazan el oxígeno del alvéolo, no son irritantes, no tienen toxicidad mitocondrial.</w:t>
            </w:r>
          </w:p>
          <w:p w14:paraId="5CD37A34" w14:textId="77777777" w:rsidR="0037398A" w:rsidRPr="007528E0" w:rsidRDefault="0037398A" w:rsidP="007528E0">
            <w:pPr>
              <w:pStyle w:val="Prrafodelista"/>
              <w:spacing w:before="100" w:beforeAutospacing="1" w:after="100" w:afterAutospacing="1" w:line="240" w:lineRule="auto"/>
              <w:ind w:left="0"/>
              <w:rPr>
                <w:rFonts w:eastAsia="Calibri" w:cs="Arial"/>
                <w:sz w:val="20"/>
              </w:rPr>
            </w:pPr>
            <w:r w:rsidRPr="007528E0">
              <w:rPr>
                <w:rFonts w:eastAsia="Calibri" w:cs="Arial"/>
                <w:sz w:val="20"/>
              </w:rPr>
              <w:t>Variedad de cuadro clínico de acuerdo a la disminución de la concentración de oxígeno en el medio, iniciando con cefalea, disnea, náusea hasta convulsiones.</w:t>
            </w:r>
          </w:p>
        </w:tc>
        <w:tc>
          <w:tcPr>
            <w:tcW w:w="2015" w:type="dxa"/>
          </w:tcPr>
          <w:p w14:paraId="3803FCA6" w14:textId="77777777" w:rsidR="0037398A" w:rsidRPr="007528E0" w:rsidRDefault="0037398A" w:rsidP="007528E0">
            <w:pPr>
              <w:pStyle w:val="Prrafodelista"/>
              <w:spacing w:before="100" w:beforeAutospacing="1" w:after="100" w:afterAutospacing="1" w:line="240" w:lineRule="auto"/>
              <w:ind w:left="0"/>
              <w:rPr>
                <w:rFonts w:eastAsia="Calibri" w:cs="Arial"/>
                <w:sz w:val="20"/>
              </w:rPr>
            </w:pPr>
            <w:r w:rsidRPr="007528E0">
              <w:rPr>
                <w:rFonts w:eastAsia="Calibri" w:cs="Arial"/>
                <w:sz w:val="20"/>
              </w:rPr>
              <w:t>No hay niveles específicos en sangre o suero.</w:t>
            </w:r>
          </w:p>
        </w:tc>
      </w:tr>
      <w:tr w:rsidR="007528E0" w:rsidRPr="007528E0" w14:paraId="642E791A" w14:textId="77777777" w:rsidTr="007528E0">
        <w:tc>
          <w:tcPr>
            <w:tcW w:w="1101" w:type="dxa"/>
            <w:vMerge/>
          </w:tcPr>
          <w:p w14:paraId="02590211" w14:textId="77777777" w:rsidR="0037398A" w:rsidRPr="007528E0" w:rsidRDefault="0037398A" w:rsidP="007528E0">
            <w:pPr>
              <w:pStyle w:val="Prrafodelista"/>
              <w:spacing w:before="100" w:beforeAutospacing="1" w:after="100" w:afterAutospacing="1" w:line="240" w:lineRule="auto"/>
              <w:ind w:left="0"/>
              <w:jc w:val="center"/>
              <w:rPr>
                <w:rFonts w:eastAsia="Calibri" w:cs="Arial"/>
                <w:sz w:val="20"/>
              </w:rPr>
            </w:pPr>
          </w:p>
        </w:tc>
        <w:tc>
          <w:tcPr>
            <w:tcW w:w="1527" w:type="dxa"/>
          </w:tcPr>
          <w:p w14:paraId="2BB0E546" w14:textId="77777777" w:rsidR="0037398A" w:rsidRPr="007528E0" w:rsidRDefault="0037398A" w:rsidP="007528E0">
            <w:pPr>
              <w:pStyle w:val="Prrafodelista"/>
              <w:spacing w:before="100" w:beforeAutospacing="1" w:after="100" w:afterAutospacing="1" w:line="240" w:lineRule="auto"/>
              <w:ind w:left="0"/>
              <w:jc w:val="center"/>
              <w:rPr>
                <w:rFonts w:eastAsia="Calibri" w:cs="Arial"/>
                <w:sz w:val="20"/>
              </w:rPr>
            </w:pPr>
            <w:r w:rsidRPr="007528E0">
              <w:rPr>
                <w:rFonts w:eastAsia="Calibri" w:cs="Arial"/>
                <w:sz w:val="20"/>
              </w:rPr>
              <w:t>Sistémicos</w:t>
            </w:r>
          </w:p>
        </w:tc>
        <w:tc>
          <w:tcPr>
            <w:tcW w:w="1449" w:type="dxa"/>
          </w:tcPr>
          <w:p w14:paraId="3C587085" w14:textId="77777777" w:rsidR="0037398A" w:rsidRPr="007528E0" w:rsidRDefault="0037398A" w:rsidP="007528E0">
            <w:pPr>
              <w:pStyle w:val="Prrafodelista"/>
              <w:spacing w:before="100" w:beforeAutospacing="1" w:after="100" w:afterAutospacing="1" w:line="240" w:lineRule="auto"/>
              <w:ind w:left="0"/>
              <w:rPr>
                <w:rFonts w:eastAsia="Calibri" w:cs="Arial"/>
                <w:sz w:val="20"/>
              </w:rPr>
            </w:pPr>
            <w:r w:rsidRPr="007528E0">
              <w:rPr>
                <w:rFonts w:eastAsia="Calibri" w:cs="Arial"/>
                <w:sz w:val="20"/>
              </w:rPr>
              <w:t>Monóxido de carbono</w:t>
            </w:r>
          </w:p>
        </w:tc>
        <w:tc>
          <w:tcPr>
            <w:tcW w:w="2622" w:type="dxa"/>
          </w:tcPr>
          <w:p w14:paraId="27E170BD" w14:textId="77777777" w:rsidR="0037398A" w:rsidRPr="007528E0" w:rsidRDefault="0037398A" w:rsidP="007528E0">
            <w:pPr>
              <w:pStyle w:val="Prrafodelista"/>
              <w:spacing w:before="100" w:beforeAutospacing="1" w:after="100" w:afterAutospacing="1" w:line="240" w:lineRule="auto"/>
              <w:ind w:left="0"/>
              <w:rPr>
                <w:rFonts w:eastAsia="Calibri" w:cs="Arial"/>
                <w:sz w:val="20"/>
              </w:rPr>
            </w:pPr>
            <w:r w:rsidRPr="007528E0">
              <w:rPr>
                <w:rFonts w:eastAsia="Calibri" w:cs="Arial"/>
                <w:sz w:val="20"/>
              </w:rPr>
              <w:t>Cefalea, malestar general, vértigo, mareo, confusión, ataxia, síncope, disnea, convulsiones, alteraciones visuales, desorientación, sincope, coma. Angina o infarto del miocardio en personas con enfermedad coronaria. Produce toxicidad mitocondrial y en el sistema nervioso central - SNC.</w:t>
            </w:r>
          </w:p>
        </w:tc>
        <w:tc>
          <w:tcPr>
            <w:tcW w:w="2015" w:type="dxa"/>
          </w:tcPr>
          <w:p w14:paraId="0EAED502" w14:textId="77777777" w:rsidR="0037398A" w:rsidRPr="007528E0" w:rsidRDefault="0037398A" w:rsidP="007528E0">
            <w:pPr>
              <w:pStyle w:val="Prrafodelista"/>
              <w:spacing w:before="100" w:beforeAutospacing="1" w:after="100" w:afterAutospacing="1" w:line="240" w:lineRule="auto"/>
              <w:ind w:left="0"/>
              <w:rPr>
                <w:rFonts w:eastAsia="Calibri" w:cs="Arial"/>
                <w:sz w:val="20"/>
              </w:rPr>
            </w:pPr>
            <w:r w:rsidRPr="007528E0">
              <w:rPr>
                <w:rFonts w:eastAsia="Calibri" w:cs="Arial"/>
                <w:sz w:val="20"/>
              </w:rPr>
              <w:t>La concentración de carboxihemoglobina es la prueba diagnóstica más útil en la intoxicación por monóxido de carbono. Sin embargo, los niveles no se correlacionan confiablemente con la severidad de la intoxicación.</w:t>
            </w:r>
          </w:p>
        </w:tc>
      </w:tr>
      <w:tr w:rsidR="007528E0" w:rsidRPr="007528E0" w14:paraId="68527D5D" w14:textId="77777777" w:rsidTr="007528E0">
        <w:tc>
          <w:tcPr>
            <w:tcW w:w="1101" w:type="dxa"/>
            <w:vMerge w:val="restart"/>
          </w:tcPr>
          <w:p w14:paraId="65E8D04E" w14:textId="77777777" w:rsidR="0037398A" w:rsidRPr="007528E0" w:rsidRDefault="0037398A" w:rsidP="007528E0">
            <w:pPr>
              <w:pStyle w:val="Prrafodelista"/>
              <w:spacing w:before="100" w:beforeAutospacing="1" w:after="100" w:afterAutospacing="1" w:line="240" w:lineRule="auto"/>
              <w:ind w:left="0"/>
              <w:jc w:val="center"/>
              <w:rPr>
                <w:rFonts w:eastAsia="Calibri" w:cs="Arial"/>
                <w:sz w:val="20"/>
              </w:rPr>
            </w:pPr>
            <w:r w:rsidRPr="007528E0">
              <w:rPr>
                <w:rFonts w:eastAsia="Calibri" w:cs="Arial"/>
                <w:sz w:val="20"/>
              </w:rPr>
              <w:t>Irritantes</w:t>
            </w:r>
          </w:p>
        </w:tc>
        <w:tc>
          <w:tcPr>
            <w:tcW w:w="1527" w:type="dxa"/>
          </w:tcPr>
          <w:p w14:paraId="2F8C35D3" w14:textId="77777777" w:rsidR="0037398A" w:rsidRPr="007528E0" w:rsidRDefault="0037398A" w:rsidP="007528E0">
            <w:pPr>
              <w:pStyle w:val="Prrafodelista"/>
              <w:spacing w:before="100" w:beforeAutospacing="1" w:after="100" w:afterAutospacing="1" w:line="240" w:lineRule="auto"/>
              <w:ind w:left="0"/>
              <w:jc w:val="center"/>
              <w:rPr>
                <w:rFonts w:eastAsia="Calibri" w:cs="Arial"/>
                <w:sz w:val="20"/>
              </w:rPr>
            </w:pPr>
            <w:r w:rsidRPr="007528E0">
              <w:rPr>
                <w:rFonts w:eastAsia="Calibri" w:cs="Arial"/>
                <w:sz w:val="20"/>
              </w:rPr>
              <w:t xml:space="preserve">Altamente solubles en </w:t>
            </w:r>
            <w:r w:rsidRPr="007528E0">
              <w:rPr>
                <w:rFonts w:eastAsia="Calibri" w:cs="Arial"/>
                <w:sz w:val="20"/>
              </w:rPr>
              <w:lastRenderedPageBreak/>
              <w:t>agua</w:t>
            </w:r>
          </w:p>
        </w:tc>
        <w:tc>
          <w:tcPr>
            <w:tcW w:w="1449" w:type="dxa"/>
          </w:tcPr>
          <w:p w14:paraId="30F9B24D" w14:textId="77777777" w:rsidR="0037398A" w:rsidRPr="007528E0" w:rsidRDefault="0037398A" w:rsidP="007528E0">
            <w:pPr>
              <w:pStyle w:val="Prrafodelista"/>
              <w:spacing w:before="100" w:beforeAutospacing="1" w:after="100" w:afterAutospacing="1" w:line="240" w:lineRule="auto"/>
              <w:ind w:left="0"/>
              <w:rPr>
                <w:rFonts w:eastAsia="Calibri" w:cs="Arial"/>
                <w:sz w:val="20"/>
              </w:rPr>
            </w:pPr>
            <w:r w:rsidRPr="007528E0">
              <w:rPr>
                <w:rFonts w:eastAsia="Calibri" w:cs="Arial"/>
                <w:sz w:val="20"/>
              </w:rPr>
              <w:lastRenderedPageBreak/>
              <w:t>-Amoniaco</w:t>
            </w:r>
          </w:p>
          <w:p w14:paraId="7639F4DC" w14:textId="77777777" w:rsidR="0037398A" w:rsidRPr="007528E0" w:rsidRDefault="0037398A" w:rsidP="007528E0">
            <w:pPr>
              <w:pStyle w:val="Prrafodelista"/>
              <w:spacing w:before="100" w:beforeAutospacing="1" w:after="100" w:afterAutospacing="1" w:line="240" w:lineRule="auto"/>
              <w:ind w:left="0"/>
              <w:rPr>
                <w:rFonts w:eastAsia="Calibri" w:cs="Arial"/>
                <w:sz w:val="20"/>
              </w:rPr>
            </w:pPr>
            <w:r w:rsidRPr="007528E0">
              <w:rPr>
                <w:rFonts w:eastAsia="Calibri" w:cs="Arial"/>
                <w:sz w:val="20"/>
              </w:rPr>
              <w:t xml:space="preserve">-Oxido </w:t>
            </w:r>
            <w:r w:rsidRPr="007528E0">
              <w:rPr>
                <w:rFonts w:eastAsia="Calibri" w:cs="Arial"/>
                <w:sz w:val="20"/>
              </w:rPr>
              <w:lastRenderedPageBreak/>
              <w:t>etileno</w:t>
            </w:r>
          </w:p>
          <w:p w14:paraId="2873814D" w14:textId="77777777" w:rsidR="0037398A" w:rsidRPr="007528E0" w:rsidRDefault="0037398A" w:rsidP="007528E0">
            <w:pPr>
              <w:pStyle w:val="Prrafodelista"/>
              <w:spacing w:before="100" w:beforeAutospacing="1" w:after="100" w:afterAutospacing="1" w:line="240" w:lineRule="auto"/>
              <w:ind w:left="0"/>
              <w:rPr>
                <w:rFonts w:eastAsia="Calibri" w:cs="Arial"/>
                <w:sz w:val="20"/>
              </w:rPr>
            </w:pPr>
            <w:r w:rsidRPr="007528E0">
              <w:rPr>
                <w:rFonts w:eastAsia="Calibri" w:cs="Arial"/>
                <w:sz w:val="20"/>
              </w:rPr>
              <w:t>-Formaldehido</w:t>
            </w:r>
          </w:p>
          <w:p w14:paraId="723437AB" w14:textId="77777777" w:rsidR="0037398A" w:rsidRPr="007528E0" w:rsidRDefault="0037398A" w:rsidP="007528E0">
            <w:pPr>
              <w:pStyle w:val="Prrafodelista"/>
              <w:spacing w:before="100" w:beforeAutospacing="1" w:after="100" w:afterAutospacing="1" w:line="240" w:lineRule="auto"/>
              <w:ind w:left="0"/>
              <w:rPr>
                <w:rFonts w:eastAsia="Calibri" w:cs="Arial"/>
                <w:sz w:val="20"/>
              </w:rPr>
            </w:pPr>
            <w:r w:rsidRPr="007528E0">
              <w:rPr>
                <w:rFonts w:eastAsia="Calibri" w:cs="Arial"/>
                <w:sz w:val="20"/>
              </w:rPr>
              <w:t>-Cloruro de hidrógeno</w:t>
            </w:r>
          </w:p>
          <w:p w14:paraId="58488D03" w14:textId="77777777" w:rsidR="0037398A" w:rsidRPr="007528E0" w:rsidRDefault="0037398A" w:rsidP="007528E0">
            <w:pPr>
              <w:pStyle w:val="Prrafodelista"/>
              <w:spacing w:before="100" w:beforeAutospacing="1" w:after="100" w:afterAutospacing="1" w:line="240" w:lineRule="auto"/>
              <w:ind w:left="0"/>
              <w:rPr>
                <w:rFonts w:eastAsia="Calibri" w:cs="Arial"/>
                <w:sz w:val="20"/>
              </w:rPr>
            </w:pPr>
            <w:r w:rsidRPr="007528E0">
              <w:rPr>
                <w:rFonts w:eastAsia="Calibri" w:cs="Arial"/>
                <w:sz w:val="20"/>
              </w:rPr>
              <w:t>-Dióxido de azufre</w:t>
            </w:r>
          </w:p>
          <w:p w14:paraId="72568986" w14:textId="77777777" w:rsidR="0037398A" w:rsidRPr="007528E0" w:rsidRDefault="0037398A" w:rsidP="007528E0">
            <w:pPr>
              <w:pStyle w:val="Prrafodelista"/>
              <w:spacing w:before="100" w:beforeAutospacing="1" w:after="100" w:afterAutospacing="1" w:line="240" w:lineRule="auto"/>
              <w:ind w:left="0"/>
              <w:rPr>
                <w:rFonts w:eastAsia="Calibri" w:cs="Arial"/>
                <w:sz w:val="20"/>
              </w:rPr>
            </w:pPr>
          </w:p>
        </w:tc>
        <w:tc>
          <w:tcPr>
            <w:tcW w:w="2622" w:type="dxa"/>
          </w:tcPr>
          <w:p w14:paraId="7CE6C6EC" w14:textId="77777777" w:rsidR="0037398A" w:rsidRPr="007528E0" w:rsidRDefault="0037398A" w:rsidP="007528E0">
            <w:pPr>
              <w:pStyle w:val="Prrafodelista"/>
              <w:spacing w:before="100" w:beforeAutospacing="1" w:after="100" w:afterAutospacing="1" w:line="240" w:lineRule="auto"/>
              <w:ind w:left="0"/>
              <w:rPr>
                <w:rFonts w:eastAsia="Calibri" w:cs="Arial"/>
                <w:sz w:val="20"/>
              </w:rPr>
            </w:pPr>
            <w:r w:rsidRPr="007528E0">
              <w:rPr>
                <w:rFonts w:eastAsia="Calibri" w:cs="Arial"/>
                <w:sz w:val="20"/>
              </w:rPr>
              <w:lastRenderedPageBreak/>
              <w:t xml:space="preserve">Efectos tóxicos locales irritantes y corrosivos de </w:t>
            </w:r>
            <w:r w:rsidRPr="007528E0">
              <w:rPr>
                <w:rFonts w:eastAsia="Calibri" w:cs="Arial"/>
                <w:sz w:val="20"/>
              </w:rPr>
              <w:lastRenderedPageBreak/>
              <w:t>inicio muy rápido (pocos minutos) que afectan fundamentalmente la piel y las mucosas del rostro y la vía aérea superior:</w:t>
            </w:r>
          </w:p>
          <w:p w14:paraId="3C6A45A5" w14:textId="77777777" w:rsidR="0037398A" w:rsidRPr="007528E0" w:rsidRDefault="0037398A" w:rsidP="007528E0">
            <w:pPr>
              <w:pStyle w:val="Prrafodelista"/>
              <w:spacing w:before="100" w:beforeAutospacing="1" w:after="100" w:afterAutospacing="1" w:line="240" w:lineRule="auto"/>
              <w:ind w:left="0"/>
              <w:rPr>
                <w:rFonts w:eastAsia="Calibri" w:cs="Arial"/>
                <w:sz w:val="20"/>
              </w:rPr>
            </w:pPr>
            <w:r w:rsidRPr="007528E0">
              <w:rPr>
                <w:rFonts w:eastAsia="Calibri" w:cs="Arial"/>
                <w:sz w:val="20"/>
              </w:rPr>
              <w:t xml:space="preserve">Sensación de quemadura en la cara y las mucosas, edema vía aérea superior, disfonía, estridor, laringoespasmo, afonía, exceso de moco, lagrimeo, inflamación conjuntival, dolor ocular urente, rinorrea. </w:t>
            </w:r>
          </w:p>
        </w:tc>
        <w:tc>
          <w:tcPr>
            <w:tcW w:w="2015" w:type="dxa"/>
          </w:tcPr>
          <w:p w14:paraId="53FE92CC" w14:textId="77777777" w:rsidR="0037398A" w:rsidRPr="007528E0" w:rsidRDefault="0037398A" w:rsidP="007528E0">
            <w:pPr>
              <w:pStyle w:val="Prrafodelista"/>
              <w:spacing w:before="100" w:beforeAutospacing="1" w:after="100" w:afterAutospacing="1" w:line="240" w:lineRule="auto"/>
              <w:ind w:left="0"/>
              <w:rPr>
                <w:rFonts w:eastAsia="Calibri" w:cs="Arial"/>
                <w:sz w:val="20"/>
              </w:rPr>
            </w:pPr>
            <w:r w:rsidRPr="007528E0">
              <w:rPr>
                <w:rFonts w:eastAsia="Calibri" w:cs="Arial"/>
                <w:sz w:val="20"/>
              </w:rPr>
              <w:lastRenderedPageBreak/>
              <w:t xml:space="preserve">No hay niveles específicos en </w:t>
            </w:r>
            <w:r w:rsidRPr="007528E0">
              <w:rPr>
                <w:rFonts w:eastAsia="Calibri" w:cs="Arial"/>
                <w:sz w:val="20"/>
              </w:rPr>
              <w:lastRenderedPageBreak/>
              <w:t>sangre o suero.</w:t>
            </w:r>
          </w:p>
        </w:tc>
      </w:tr>
      <w:tr w:rsidR="007528E0" w:rsidRPr="007528E0" w14:paraId="77D3D83B" w14:textId="77777777" w:rsidTr="007528E0">
        <w:tc>
          <w:tcPr>
            <w:tcW w:w="1101" w:type="dxa"/>
            <w:vMerge/>
          </w:tcPr>
          <w:p w14:paraId="3FA05025" w14:textId="77777777" w:rsidR="0037398A" w:rsidRPr="007528E0" w:rsidRDefault="0037398A" w:rsidP="007528E0">
            <w:pPr>
              <w:pStyle w:val="Prrafodelista"/>
              <w:spacing w:before="100" w:beforeAutospacing="1" w:after="100" w:afterAutospacing="1" w:line="240" w:lineRule="auto"/>
              <w:ind w:left="0"/>
              <w:rPr>
                <w:rFonts w:eastAsia="Calibri" w:cs="Arial"/>
                <w:sz w:val="20"/>
              </w:rPr>
            </w:pPr>
          </w:p>
        </w:tc>
        <w:tc>
          <w:tcPr>
            <w:tcW w:w="1527" w:type="dxa"/>
          </w:tcPr>
          <w:p w14:paraId="042F82D9" w14:textId="77777777" w:rsidR="0037398A" w:rsidRPr="007528E0" w:rsidRDefault="0037398A" w:rsidP="007528E0">
            <w:pPr>
              <w:pStyle w:val="Prrafodelista"/>
              <w:spacing w:before="100" w:beforeAutospacing="1" w:after="100" w:afterAutospacing="1" w:line="240" w:lineRule="auto"/>
              <w:ind w:left="0"/>
              <w:jc w:val="center"/>
              <w:rPr>
                <w:rFonts w:eastAsia="Calibri" w:cs="Arial"/>
                <w:sz w:val="20"/>
              </w:rPr>
            </w:pPr>
            <w:r w:rsidRPr="007528E0">
              <w:rPr>
                <w:rFonts w:eastAsia="Calibri" w:cs="Arial"/>
                <w:sz w:val="20"/>
              </w:rPr>
              <w:t>Moderadamente solubles en agua</w:t>
            </w:r>
          </w:p>
        </w:tc>
        <w:tc>
          <w:tcPr>
            <w:tcW w:w="1449" w:type="dxa"/>
          </w:tcPr>
          <w:p w14:paraId="2DBB656C" w14:textId="77777777" w:rsidR="0037398A" w:rsidRPr="007528E0" w:rsidRDefault="0037398A" w:rsidP="007528E0">
            <w:pPr>
              <w:pStyle w:val="Prrafodelista"/>
              <w:spacing w:before="100" w:beforeAutospacing="1" w:after="100" w:afterAutospacing="1" w:line="240" w:lineRule="auto"/>
              <w:ind w:left="0"/>
              <w:rPr>
                <w:rFonts w:eastAsia="Calibri" w:cs="Arial"/>
                <w:sz w:val="20"/>
              </w:rPr>
            </w:pPr>
            <w:r w:rsidRPr="007528E0">
              <w:rPr>
                <w:rFonts w:eastAsia="Calibri" w:cs="Arial"/>
                <w:sz w:val="20"/>
              </w:rPr>
              <w:t>Cloro gaseoso</w:t>
            </w:r>
          </w:p>
          <w:p w14:paraId="092EA89E" w14:textId="77777777" w:rsidR="0037398A" w:rsidRPr="007528E0" w:rsidRDefault="0037398A" w:rsidP="007528E0">
            <w:pPr>
              <w:pStyle w:val="Prrafodelista"/>
              <w:spacing w:before="100" w:beforeAutospacing="1" w:after="100" w:afterAutospacing="1" w:line="240" w:lineRule="auto"/>
              <w:ind w:left="0"/>
              <w:rPr>
                <w:rFonts w:eastAsia="Calibri" w:cs="Arial"/>
                <w:sz w:val="20"/>
              </w:rPr>
            </w:pPr>
          </w:p>
        </w:tc>
        <w:tc>
          <w:tcPr>
            <w:tcW w:w="2622" w:type="dxa"/>
          </w:tcPr>
          <w:p w14:paraId="5E077AB5" w14:textId="77777777" w:rsidR="0037398A" w:rsidRPr="007528E0" w:rsidRDefault="0037398A" w:rsidP="007528E0">
            <w:pPr>
              <w:pStyle w:val="Prrafodelista"/>
              <w:spacing w:before="100" w:beforeAutospacing="1" w:after="100" w:afterAutospacing="1" w:line="240" w:lineRule="auto"/>
              <w:ind w:left="0"/>
              <w:rPr>
                <w:rFonts w:eastAsia="Calibri" w:cs="Arial"/>
                <w:sz w:val="20"/>
              </w:rPr>
            </w:pPr>
            <w:r w:rsidRPr="007528E0">
              <w:rPr>
                <w:rFonts w:eastAsia="Calibri" w:cs="Arial"/>
                <w:sz w:val="20"/>
              </w:rPr>
              <w:t>Efectos tóxicos locales irritantes y corrosivos, que afectan rápidamente las mucosas expuestas de la vía aérea superior e inferior:</w:t>
            </w:r>
          </w:p>
          <w:p w14:paraId="5FFB4C44" w14:textId="77777777" w:rsidR="0037398A" w:rsidRPr="007528E0" w:rsidRDefault="0037398A" w:rsidP="007528E0">
            <w:pPr>
              <w:pStyle w:val="Prrafodelista"/>
              <w:spacing w:before="100" w:beforeAutospacing="1" w:after="100" w:afterAutospacing="1" w:line="240" w:lineRule="auto"/>
              <w:ind w:left="0"/>
              <w:rPr>
                <w:rFonts w:eastAsia="Calibri" w:cs="Arial"/>
                <w:sz w:val="20"/>
              </w:rPr>
            </w:pPr>
            <w:r w:rsidRPr="007528E0">
              <w:rPr>
                <w:rFonts w:eastAsia="Calibri" w:cs="Arial"/>
                <w:sz w:val="20"/>
              </w:rPr>
              <w:t>Lagrimeo, rinorrea, sabor desagradable boca, edema vías aéreas, disfonía, estridor, laringoespasmo, sibilancias, estertores, edema pulmonar no cardiogénico, quemaduras cutáneas, necrosis. Los síntomas aparecen en las primeras 6 - 12 horas.</w:t>
            </w:r>
          </w:p>
        </w:tc>
        <w:tc>
          <w:tcPr>
            <w:tcW w:w="2015" w:type="dxa"/>
          </w:tcPr>
          <w:p w14:paraId="46A9B6BA" w14:textId="77777777" w:rsidR="0037398A" w:rsidRPr="007528E0" w:rsidRDefault="0037398A" w:rsidP="007528E0">
            <w:pPr>
              <w:pStyle w:val="Prrafodelista"/>
              <w:spacing w:before="100" w:beforeAutospacing="1" w:after="100" w:afterAutospacing="1" w:line="240" w:lineRule="auto"/>
              <w:ind w:left="0"/>
              <w:rPr>
                <w:rFonts w:eastAsia="Calibri" w:cs="Arial"/>
                <w:sz w:val="20"/>
              </w:rPr>
            </w:pPr>
            <w:r w:rsidRPr="007528E0">
              <w:rPr>
                <w:rFonts w:eastAsia="Calibri" w:cs="Arial"/>
                <w:sz w:val="20"/>
              </w:rPr>
              <w:t>No hay niveles específicos en sangre o suero.</w:t>
            </w:r>
          </w:p>
        </w:tc>
      </w:tr>
      <w:tr w:rsidR="007528E0" w:rsidRPr="007528E0" w14:paraId="6FB406E2" w14:textId="77777777" w:rsidTr="007528E0">
        <w:tc>
          <w:tcPr>
            <w:tcW w:w="1101" w:type="dxa"/>
            <w:vMerge/>
          </w:tcPr>
          <w:p w14:paraId="151B4766" w14:textId="77777777" w:rsidR="0037398A" w:rsidRPr="007528E0" w:rsidRDefault="0037398A" w:rsidP="007528E0">
            <w:pPr>
              <w:pStyle w:val="Prrafodelista"/>
              <w:spacing w:before="100" w:beforeAutospacing="1" w:after="100" w:afterAutospacing="1" w:line="240" w:lineRule="auto"/>
              <w:ind w:left="0"/>
              <w:rPr>
                <w:rFonts w:eastAsia="Calibri" w:cs="Arial"/>
                <w:sz w:val="20"/>
              </w:rPr>
            </w:pPr>
          </w:p>
        </w:tc>
        <w:tc>
          <w:tcPr>
            <w:tcW w:w="1527" w:type="dxa"/>
          </w:tcPr>
          <w:p w14:paraId="528EC030" w14:textId="77777777" w:rsidR="0037398A" w:rsidRPr="007528E0" w:rsidRDefault="0037398A" w:rsidP="007528E0">
            <w:pPr>
              <w:pStyle w:val="Prrafodelista"/>
              <w:spacing w:before="100" w:beforeAutospacing="1" w:after="100" w:afterAutospacing="1" w:line="240" w:lineRule="auto"/>
              <w:ind w:left="0"/>
              <w:jc w:val="center"/>
              <w:rPr>
                <w:rFonts w:eastAsia="Calibri" w:cs="Arial"/>
                <w:sz w:val="20"/>
              </w:rPr>
            </w:pPr>
            <w:r w:rsidRPr="007528E0">
              <w:rPr>
                <w:rFonts w:eastAsia="Calibri" w:cs="Arial"/>
                <w:sz w:val="20"/>
              </w:rPr>
              <w:t>Ligeramente solubles en agua</w:t>
            </w:r>
          </w:p>
        </w:tc>
        <w:tc>
          <w:tcPr>
            <w:tcW w:w="1449" w:type="dxa"/>
          </w:tcPr>
          <w:p w14:paraId="496FCAC0" w14:textId="77777777" w:rsidR="0037398A" w:rsidRPr="007528E0" w:rsidRDefault="0037398A" w:rsidP="007528E0">
            <w:pPr>
              <w:pStyle w:val="Prrafodelista"/>
              <w:spacing w:before="100" w:beforeAutospacing="1" w:after="100" w:afterAutospacing="1" w:line="240" w:lineRule="auto"/>
              <w:ind w:left="0"/>
              <w:rPr>
                <w:rFonts w:eastAsia="Calibri" w:cs="Arial"/>
                <w:sz w:val="20"/>
              </w:rPr>
            </w:pPr>
            <w:r w:rsidRPr="007528E0">
              <w:rPr>
                <w:rFonts w:eastAsia="Calibri" w:cs="Arial"/>
                <w:sz w:val="20"/>
              </w:rPr>
              <w:t>-Monóxido de  nitrógeno</w:t>
            </w:r>
          </w:p>
          <w:p w14:paraId="60C2155E" w14:textId="77777777" w:rsidR="0037398A" w:rsidRPr="007528E0" w:rsidRDefault="0037398A" w:rsidP="007528E0">
            <w:pPr>
              <w:pStyle w:val="Prrafodelista"/>
              <w:spacing w:before="100" w:beforeAutospacing="1" w:after="100" w:afterAutospacing="1" w:line="240" w:lineRule="auto"/>
              <w:ind w:left="0"/>
              <w:rPr>
                <w:rFonts w:eastAsia="Calibri" w:cs="Arial"/>
                <w:sz w:val="20"/>
              </w:rPr>
            </w:pPr>
            <w:r w:rsidRPr="007528E0">
              <w:rPr>
                <w:rFonts w:eastAsia="Calibri" w:cs="Arial"/>
                <w:sz w:val="20"/>
              </w:rPr>
              <w:t>-Ozono</w:t>
            </w:r>
          </w:p>
          <w:p w14:paraId="10BAAD63" w14:textId="77777777" w:rsidR="0037398A" w:rsidRPr="007528E0" w:rsidRDefault="0037398A" w:rsidP="007528E0">
            <w:pPr>
              <w:pStyle w:val="Prrafodelista"/>
              <w:spacing w:before="100" w:beforeAutospacing="1" w:after="100" w:afterAutospacing="1" w:line="240" w:lineRule="auto"/>
              <w:ind w:left="0"/>
              <w:rPr>
                <w:rFonts w:eastAsia="Calibri" w:cs="Arial"/>
                <w:sz w:val="20"/>
              </w:rPr>
            </w:pPr>
            <w:r w:rsidRPr="007528E0">
              <w:rPr>
                <w:rFonts w:eastAsia="Calibri" w:cs="Arial"/>
                <w:sz w:val="20"/>
              </w:rPr>
              <w:t>-Fosgeno</w:t>
            </w:r>
          </w:p>
          <w:p w14:paraId="649A7A91" w14:textId="77777777" w:rsidR="0037398A" w:rsidRPr="007528E0" w:rsidRDefault="0037398A" w:rsidP="007528E0">
            <w:pPr>
              <w:pStyle w:val="Prrafodelista"/>
              <w:spacing w:before="100" w:beforeAutospacing="1" w:after="100" w:afterAutospacing="1" w:line="240" w:lineRule="auto"/>
              <w:ind w:left="0"/>
              <w:rPr>
                <w:rFonts w:eastAsia="Calibri" w:cs="Arial"/>
                <w:sz w:val="20"/>
              </w:rPr>
            </w:pPr>
            <w:r w:rsidRPr="007528E0">
              <w:rPr>
                <w:rFonts w:eastAsia="Calibri" w:cs="Arial"/>
                <w:sz w:val="20"/>
              </w:rPr>
              <w:t xml:space="preserve">-Flúor </w:t>
            </w:r>
          </w:p>
          <w:p w14:paraId="155CF115" w14:textId="77777777" w:rsidR="0037398A" w:rsidRPr="007528E0" w:rsidRDefault="0037398A" w:rsidP="007528E0">
            <w:pPr>
              <w:pStyle w:val="Prrafodelista"/>
              <w:spacing w:before="100" w:beforeAutospacing="1" w:after="100" w:afterAutospacing="1" w:line="240" w:lineRule="auto"/>
              <w:ind w:left="0"/>
              <w:rPr>
                <w:rFonts w:eastAsia="Calibri" w:cs="Arial"/>
                <w:sz w:val="20"/>
              </w:rPr>
            </w:pPr>
            <w:r w:rsidRPr="007528E0">
              <w:rPr>
                <w:rFonts w:eastAsia="Calibri" w:cs="Arial"/>
                <w:sz w:val="20"/>
              </w:rPr>
              <w:t>-Gas mostaza</w:t>
            </w:r>
          </w:p>
          <w:p w14:paraId="29997564" w14:textId="77777777" w:rsidR="0037398A" w:rsidRPr="007528E0" w:rsidRDefault="0037398A" w:rsidP="007528E0">
            <w:pPr>
              <w:pStyle w:val="Prrafodelista"/>
              <w:spacing w:before="100" w:beforeAutospacing="1" w:after="100" w:afterAutospacing="1" w:line="240" w:lineRule="auto"/>
              <w:ind w:left="0"/>
              <w:rPr>
                <w:rFonts w:eastAsia="Calibri" w:cs="Arial"/>
                <w:sz w:val="20"/>
              </w:rPr>
            </w:pPr>
          </w:p>
        </w:tc>
        <w:tc>
          <w:tcPr>
            <w:tcW w:w="2622" w:type="dxa"/>
          </w:tcPr>
          <w:p w14:paraId="7F395118" w14:textId="77777777" w:rsidR="0037398A" w:rsidRPr="007528E0" w:rsidRDefault="0037398A" w:rsidP="007528E0">
            <w:pPr>
              <w:pStyle w:val="Prrafodelista"/>
              <w:spacing w:before="100" w:beforeAutospacing="1" w:after="100" w:afterAutospacing="1" w:line="240" w:lineRule="auto"/>
              <w:ind w:left="0"/>
              <w:rPr>
                <w:rFonts w:eastAsia="Calibri" w:cs="Arial"/>
                <w:sz w:val="20"/>
              </w:rPr>
            </w:pPr>
            <w:r w:rsidRPr="007528E0">
              <w:rPr>
                <w:rFonts w:eastAsia="Calibri" w:cs="Arial"/>
                <w:sz w:val="20"/>
              </w:rPr>
              <w:t>Estos gases producen efectos irritantes y corrosivos localizados en la vía aérea inferior, que se manifiestan 12 - 24 horas después de la exposición:</w:t>
            </w:r>
          </w:p>
          <w:p w14:paraId="54E908C4" w14:textId="77777777" w:rsidR="0037398A" w:rsidRPr="007528E0" w:rsidRDefault="0037398A" w:rsidP="007528E0">
            <w:pPr>
              <w:pStyle w:val="Prrafodelista"/>
              <w:spacing w:before="100" w:beforeAutospacing="1" w:after="100" w:afterAutospacing="1" w:line="240" w:lineRule="auto"/>
              <w:ind w:left="0"/>
              <w:rPr>
                <w:rFonts w:eastAsia="Calibri" w:cs="Arial"/>
                <w:sz w:val="20"/>
              </w:rPr>
            </w:pPr>
            <w:r w:rsidRPr="007528E0">
              <w:rPr>
                <w:rFonts w:eastAsia="Calibri" w:cs="Arial"/>
                <w:sz w:val="20"/>
              </w:rPr>
              <w:t>Broncoespasmo, sibilancias, estertores, edema pulmonar no cardiogénico, taquipnea, falla respiratoria.</w:t>
            </w:r>
          </w:p>
        </w:tc>
        <w:tc>
          <w:tcPr>
            <w:tcW w:w="2015" w:type="dxa"/>
          </w:tcPr>
          <w:p w14:paraId="0B023B92" w14:textId="77777777" w:rsidR="0037398A" w:rsidRPr="007528E0" w:rsidRDefault="0037398A" w:rsidP="007528E0">
            <w:pPr>
              <w:pStyle w:val="Prrafodelista"/>
              <w:spacing w:before="100" w:beforeAutospacing="1" w:after="100" w:afterAutospacing="1" w:line="240" w:lineRule="auto"/>
              <w:ind w:left="0"/>
              <w:rPr>
                <w:rFonts w:eastAsia="Calibri" w:cs="Arial"/>
                <w:sz w:val="20"/>
              </w:rPr>
            </w:pPr>
            <w:r w:rsidRPr="007528E0">
              <w:rPr>
                <w:rFonts w:eastAsia="Calibri" w:cs="Arial"/>
                <w:sz w:val="20"/>
              </w:rPr>
              <w:t>No hay niveles específicos en sangre o suero.</w:t>
            </w:r>
          </w:p>
        </w:tc>
      </w:tr>
    </w:tbl>
    <w:p w14:paraId="68790ACE" w14:textId="77777777" w:rsidR="0037398A" w:rsidRPr="007528E0" w:rsidRDefault="0037398A" w:rsidP="0037398A">
      <w:pPr>
        <w:pStyle w:val="Prrafodelista"/>
        <w:spacing w:before="100" w:beforeAutospacing="1" w:after="100" w:afterAutospacing="1" w:line="240" w:lineRule="auto"/>
        <w:ind w:left="0"/>
        <w:jc w:val="center"/>
        <w:rPr>
          <w:rFonts w:eastAsia="Calibri" w:cs="Arial"/>
          <w:sz w:val="16"/>
          <w:szCs w:val="16"/>
        </w:rPr>
      </w:pPr>
      <w:r w:rsidRPr="007528E0">
        <w:rPr>
          <w:rFonts w:eastAsia="Calibri" w:cs="Arial"/>
          <w:sz w:val="16"/>
          <w:szCs w:val="16"/>
        </w:rPr>
        <w:t xml:space="preserve">Fuente: Elaborada a partir de las referencias  </w:t>
      </w:r>
      <w:r w:rsidRPr="007528E0">
        <w:rPr>
          <w:rFonts w:eastAsia="Calibri" w:cs="Arial"/>
          <w:sz w:val="16"/>
          <w:szCs w:val="16"/>
        </w:rPr>
        <w:fldChar w:fldCharType="begin" w:fldLock="1"/>
      </w:r>
      <w:r w:rsidRPr="007528E0">
        <w:rPr>
          <w:rFonts w:eastAsia="Calibri" w:cs="Arial"/>
          <w:sz w:val="16"/>
          <w:szCs w:val="16"/>
        </w:rPr>
        <w:instrText>ADDIN CSL_CITATION { "citationItems" : [ { "id" : "ITEM-1", "itemData" : { "author" : [ { "dropping-particle" : "", "family" : "Aristiz\u00e1bal, H.J., A.L. Pe\u00f1a", "given" : "et al.", "non-dropping-particle" : "", "parse-names" : false, "suffix" : "" } ], "id" : "ITEM-1", "issued" : { "date-parts" : [ [ "0" ] ] }, "title" : "Diagn\u00f3stico cl\u00ednico del paciente intoxicado, in Toxicolog\u00eda cl\u00ednica", "type" : "book" }, "uris" : [ "http://www.mendeley.com/documents/?uuid=1bb4ec25-6eb8-44f7-95b0-a44d560158ae" ] } ], "mendeley" : { "formattedCitation" : "(5)", "plainTextFormattedCitation" : "(5)", "previouslyFormattedCitation" : "(5)" }, "properties" : { "noteIndex" : 0 }, "schema" : "https://github.com/citation-style-language/schema/raw/master/csl-citation.json" }</w:instrText>
      </w:r>
      <w:r w:rsidRPr="007528E0">
        <w:rPr>
          <w:rFonts w:eastAsia="Calibri" w:cs="Arial"/>
          <w:sz w:val="16"/>
          <w:szCs w:val="16"/>
        </w:rPr>
        <w:fldChar w:fldCharType="separate"/>
      </w:r>
      <w:r w:rsidRPr="007528E0">
        <w:rPr>
          <w:rFonts w:eastAsia="Calibri" w:cs="Arial"/>
          <w:noProof/>
          <w:sz w:val="16"/>
          <w:szCs w:val="16"/>
        </w:rPr>
        <w:t>(5)</w:t>
      </w:r>
      <w:r w:rsidRPr="007528E0">
        <w:rPr>
          <w:rFonts w:eastAsia="Calibri" w:cs="Arial"/>
          <w:sz w:val="16"/>
          <w:szCs w:val="16"/>
        </w:rPr>
        <w:fldChar w:fldCharType="end"/>
      </w:r>
      <w:r w:rsidRPr="007528E0">
        <w:rPr>
          <w:rFonts w:eastAsia="Calibri" w:cs="Arial"/>
          <w:sz w:val="16"/>
          <w:szCs w:val="16"/>
        </w:rPr>
        <w:fldChar w:fldCharType="begin" w:fldLock="1"/>
      </w:r>
      <w:r w:rsidRPr="007528E0">
        <w:rPr>
          <w:rFonts w:eastAsia="Calibri" w:cs="Arial"/>
          <w:sz w:val="16"/>
          <w:szCs w:val="16"/>
        </w:rPr>
        <w:instrText>ADDIN CSL_CITATION { "citationItems" : [ { "id" : "ITEM-1", "itemData" : { "author" : [ { "dropping-particle" : "", "family" : "Hoffman, R.S., et al.", "given" : "", "non-dropping-particle" : "", "parse-names" : false, "suffix" : "" } ], "container-title" : "McGraw-Hill: New York", "id" : "ITEM-1", "issued" : { "date-parts" : [ [ "0" ] ] }, "title" : "Goldfrank\u00b4s. Manual of toxicologic emergencies. 2008", "type" : "article-journal" }, "uris" : [ "http://www.mendeley.com/documents/?uuid=6101ab90-992b-4bdb-b668-1473ce76ffb9" ] } ], "mendeley" : { "formattedCitation" : "(26)", "plainTextFormattedCitation" : "(26)", "previouslyFormattedCitation" : "(26)" }, "properties" : { "noteIndex" : 0 }, "schema" : "https://github.com/citation-style-language/schema/raw/master/csl-citation.json" }</w:instrText>
      </w:r>
      <w:r w:rsidRPr="007528E0">
        <w:rPr>
          <w:rFonts w:eastAsia="Calibri" w:cs="Arial"/>
          <w:sz w:val="16"/>
          <w:szCs w:val="16"/>
        </w:rPr>
        <w:fldChar w:fldCharType="separate"/>
      </w:r>
      <w:r w:rsidRPr="007528E0">
        <w:rPr>
          <w:rFonts w:eastAsia="Calibri" w:cs="Arial"/>
          <w:noProof/>
          <w:sz w:val="16"/>
          <w:szCs w:val="16"/>
        </w:rPr>
        <w:t>(26)</w:t>
      </w:r>
      <w:r w:rsidRPr="007528E0">
        <w:rPr>
          <w:rFonts w:eastAsia="Calibri" w:cs="Arial"/>
          <w:sz w:val="16"/>
          <w:szCs w:val="16"/>
        </w:rPr>
        <w:fldChar w:fldCharType="end"/>
      </w:r>
      <w:r w:rsidRPr="007528E0">
        <w:rPr>
          <w:rFonts w:eastAsia="Calibri" w:cs="Arial"/>
          <w:sz w:val="16"/>
          <w:szCs w:val="16"/>
        </w:rPr>
        <w:fldChar w:fldCharType="begin" w:fldLock="1"/>
      </w:r>
      <w:r w:rsidRPr="007528E0">
        <w:rPr>
          <w:rFonts w:eastAsia="Calibri" w:cs="Arial"/>
          <w:sz w:val="16"/>
          <w:szCs w:val="16"/>
        </w:rPr>
        <w:instrText>ADDIN CSL_CITATION { "citationItems" : [ { "id" : "ITEM-1", "itemData" : { "author" : [ { "dropping-particle" : "", "family" : "Mc Graw-Hill. Olson K.", "given" : "", "non-dropping-particle" : "", "parse-names" : false, "suffix" : "" } ], "edition" : "Quinta Edi", "id" : "ITEM-1", "issued" : { "date-parts" : [ [ "2006" ] ] }, "title" : "Poisoning &amp; Drug Overdose", "type" : "book" }, "uris" : [ "http://www.mendeley.com/documents/?uuid=118b95c9-6e46-4361-8d56-df533571c246" ] } ], "mendeley" : { "formattedCitation" : "(25)", "plainTextFormattedCitation" : "(25)", "previouslyFormattedCitation" : "(25)" }, "properties" : { "noteIndex" : 0 }, "schema" : "https://github.com/citation-style-language/schema/raw/master/csl-citation.json" }</w:instrText>
      </w:r>
      <w:r w:rsidRPr="007528E0">
        <w:rPr>
          <w:rFonts w:eastAsia="Calibri" w:cs="Arial"/>
          <w:sz w:val="16"/>
          <w:szCs w:val="16"/>
        </w:rPr>
        <w:fldChar w:fldCharType="separate"/>
      </w:r>
      <w:r w:rsidRPr="007528E0">
        <w:rPr>
          <w:rFonts w:eastAsia="Calibri" w:cs="Arial"/>
          <w:noProof/>
          <w:sz w:val="16"/>
          <w:szCs w:val="16"/>
        </w:rPr>
        <w:t>(25)</w:t>
      </w:r>
      <w:r w:rsidRPr="007528E0">
        <w:rPr>
          <w:rFonts w:eastAsia="Calibri" w:cs="Arial"/>
          <w:sz w:val="16"/>
          <w:szCs w:val="16"/>
        </w:rPr>
        <w:fldChar w:fldCharType="end"/>
      </w:r>
      <w:r w:rsidRPr="007528E0">
        <w:rPr>
          <w:rFonts w:eastAsia="Calibri" w:cs="Arial"/>
          <w:sz w:val="16"/>
          <w:szCs w:val="16"/>
        </w:rPr>
        <w:t xml:space="preserve"> </w:t>
      </w:r>
    </w:p>
    <w:p w14:paraId="06A060AC" w14:textId="77777777" w:rsidR="0037398A" w:rsidRPr="007528E0" w:rsidRDefault="0037398A" w:rsidP="0037398A">
      <w:pPr>
        <w:pStyle w:val="Ttulo2"/>
        <w:numPr>
          <w:ilvl w:val="0"/>
          <w:numId w:val="25"/>
        </w:numPr>
        <w:spacing w:before="100" w:beforeAutospacing="1" w:after="100" w:afterAutospacing="1"/>
        <w:jc w:val="left"/>
        <w:rPr>
          <w:sz w:val="22"/>
          <w:szCs w:val="22"/>
        </w:rPr>
      </w:pPr>
      <w:bookmarkStart w:id="39" w:name="_Toc505456662"/>
      <w:r w:rsidRPr="007528E0">
        <w:rPr>
          <w:sz w:val="22"/>
          <w:szCs w:val="22"/>
        </w:rPr>
        <w:lastRenderedPageBreak/>
        <w:t>Intoxicación por sustancias psicoactivas (Grupo de Sustancia 8)</w:t>
      </w:r>
      <w:bookmarkEnd w:id="39"/>
    </w:p>
    <w:p w14:paraId="51A9662C" w14:textId="77777777" w:rsidR="0037398A" w:rsidRPr="007528E0" w:rsidRDefault="0037398A" w:rsidP="0037398A">
      <w:pPr>
        <w:autoSpaceDE w:val="0"/>
        <w:autoSpaceDN w:val="0"/>
        <w:adjustRightInd w:val="0"/>
        <w:spacing w:before="100" w:beforeAutospacing="1" w:after="100" w:afterAutospacing="1"/>
        <w:rPr>
          <w:rFonts w:cs="Arial"/>
          <w:sz w:val="22"/>
          <w:szCs w:val="22"/>
          <w:lang w:val="es-CO"/>
        </w:rPr>
      </w:pPr>
      <w:r w:rsidRPr="007528E0">
        <w:rPr>
          <w:rFonts w:cs="Arial"/>
          <w:sz w:val="22"/>
          <w:szCs w:val="22"/>
          <w:lang w:val="es-CO"/>
        </w:rPr>
        <w:t>Las sustancias psicoactivas al ser ingeridas, afectan a los procesos mentales, por ejemplo: a la cognición o la afectividad. Este término y su equivalente, sustancia psicotrópica, son las expresiones más neutras y descriptivas para referirse a todo el grupo de sustancias, legales e ilegales, de interés para la política en materia de drogas. “Psicoactivo” no implica necesariamente que produzca dependencia, sin embargo, en el lenguaje corriente, esta característica está implícita, en las expresiones “consumo de drogas” o “abuso de sustancias”</w:t>
      </w:r>
      <w:r w:rsidRPr="007528E0">
        <w:rPr>
          <w:rFonts w:cs="Arial"/>
          <w:sz w:val="22"/>
          <w:szCs w:val="22"/>
          <w:lang w:val="es-CO"/>
        </w:rPr>
        <w:fldChar w:fldCharType="begin" w:fldLock="1"/>
      </w:r>
      <w:r w:rsidRPr="007528E0">
        <w:rPr>
          <w:rFonts w:cs="Arial"/>
          <w:sz w:val="22"/>
          <w:szCs w:val="22"/>
          <w:lang w:val="es-CO"/>
        </w:rPr>
        <w:instrText>ADDIN CSL_CITATION { "citationItems" : [ { "id" : "ITEM-1", "itemData" : { "author" : [ { "dropping-particle" : "", "family" : "Babor, T.", "given" : "et al.", "non-dropping-particle" : "", "parse-names" : false, "suffix" : "" } ], "id" : "ITEM-1", "issued" : { "date-parts" : [ [ "1994" ] ] }, "title" : "Lexicon of alcohol and drug terms World Health Organization", "type" : "report" }, "uris" : [ "http://www.mendeley.com/documents/?uuid=c24305d3-5e13-4660-894b-92d3e548309e" ] } ], "mendeley" : { "formattedCitation" : "(7)", "plainTextFormattedCitation" : "(7)" }, "properties" : { "noteIndex" : 0 }, "schema" : "https://github.com/citation-style-language/schema/raw/master/csl-citation.json" }</w:instrText>
      </w:r>
      <w:r w:rsidRPr="007528E0">
        <w:rPr>
          <w:rFonts w:cs="Arial"/>
          <w:sz w:val="22"/>
          <w:szCs w:val="22"/>
          <w:lang w:val="es-CO"/>
        </w:rPr>
        <w:fldChar w:fldCharType="separate"/>
      </w:r>
      <w:r w:rsidRPr="007528E0">
        <w:rPr>
          <w:rFonts w:cs="Arial"/>
          <w:noProof/>
          <w:sz w:val="22"/>
          <w:szCs w:val="22"/>
          <w:lang w:val="es-CO"/>
        </w:rPr>
        <w:t>(7)</w:t>
      </w:r>
      <w:r w:rsidRPr="007528E0">
        <w:rPr>
          <w:rFonts w:cs="Arial"/>
          <w:sz w:val="22"/>
          <w:szCs w:val="22"/>
          <w:lang w:val="es-CO"/>
        </w:rPr>
        <w:fldChar w:fldCharType="end"/>
      </w:r>
      <w:r w:rsidRPr="007528E0">
        <w:rPr>
          <w:rFonts w:cs="Arial"/>
          <w:sz w:val="22"/>
          <w:szCs w:val="22"/>
          <w:lang w:val="es-CO"/>
        </w:rPr>
        <w:t xml:space="preserve">. </w:t>
      </w:r>
    </w:p>
    <w:p w14:paraId="6AC18EF5" w14:textId="77777777" w:rsidR="0037398A" w:rsidRPr="007528E0" w:rsidRDefault="0037398A" w:rsidP="0037398A">
      <w:pPr>
        <w:autoSpaceDE w:val="0"/>
        <w:autoSpaceDN w:val="0"/>
        <w:adjustRightInd w:val="0"/>
        <w:spacing w:before="100" w:beforeAutospacing="1" w:after="100" w:afterAutospacing="1"/>
        <w:rPr>
          <w:rFonts w:cs="Arial"/>
          <w:sz w:val="22"/>
          <w:szCs w:val="22"/>
          <w:lang w:val="es-CO"/>
        </w:rPr>
      </w:pPr>
      <w:r w:rsidRPr="007528E0">
        <w:rPr>
          <w:rFonts w:cs="Arial"/>
          <w:b/>
          <w:bCs/>
          <w:sz w:val="22"/>
          <w:szCs w:val="22"/>
          <w:lang w:val="es-CO"/>
        </w:rPr>
        <w:t xml:space="preserve">Manifestaciones clínicas </w:t>
      </w:r>
    </w:p>
    <w:p w14:paraId="1E963934" w14:textId="77777777" w:rsidR="0037398A" w:rsidRPr="007528E0" w:rsidRDefault="0037398A" w:rsidP="0037398A">
      <w:pPr>
        <w:autoSpaceDE w:val="0"/>
        <w:autoSpaceDN w:val="0"/>
        <w:adjustRightInd w:val="0"/>
        <w:spacing w:before="100" w:beforeAutospacing="1" w:after="100" w:afterAutospacing="1"/>
        <w:jc w:val="left"/>
        <w:rPr>
          <w:rFonts w:cs="Arial"/>
          <w:sz w:val="22"/>
          <w:szCs w:val="22"/>
          <w:lang w:val="es-CO"/>
        </w:rPr>
      </w:pPr>
      <w:r w:rsidRPr="007528E0">
        <w:rPr>
          <w:rFonts w:cs="Arial"/>
          <w:sz w:val="22"/>
          <w:szCs w:val="22"/>
          <w:lang w:val="es-CO"/>
        </w:rPr>
        <w:t xml:space="preserve">En la siguiente tabla están las manifestaciones clínicas, el nombre común de cada sustancia y los laboratorios de toxicología que se pueden realizar para determinar los niveles en el organismo del individuo. </w:t>
      </w:r>
    </w:p>
    <w:p w14:paraId="041D3E76" w14:textId="77777777" w:rsidR="0037398A" w:rsidRPr="007528E0" w:rsidRDefault="0037398A" w:rsidP="0037398A">
      <w:pPr>
        <w:pStyle w:val="Descripcin"/>
        <w:spacing w:before="100" w:beforeAutospacing="1" w:after="100" w:afterAutospacing="1"/>
        <w:jc w:val="center"/>
        <w:rPr>
          <w:rFonts w:cs="Arial"/>
          <w:color w:val="auto"/>
          <w:sz w:val="22"/>
          <w:szCs w:val="22"/>
        </w:rPr>
      </w:pPr>
      <w:bookmarkStart w:id="40" w:name="_Toc505456265"/>
      <w:r w:rsidRPr="007528E0">
        <w:rPr>
          <w:rFonts w:cs="Arial"/>
          <w:b/>
          <w:color w:val="auto"/>
          <w:sz w:val="22"/>
          <w:szCs w:val="22"/>
        </w:rPr>
        <w:t xml:space="preserve">Tabla </w:t>
      </w:r>
      <w:r w:rsidRPr="007528E0">
        <w:rPr>
          <w:rFonts w:cs="Arial"/>
          <w:b/>
          <w:color w:val="auto"/>
          <w:sz w:val="22"/>
          <w:szCs w:val="22"/>
        </w:rPr>
        <w:fldChar w:fldCharType="begin"/>
      </w:r>
      <w:r w:rsidRPr="007528E0">
        <w:rPr>
          <w:rFonts w:cs="Arial"/>
          <w:b/>
          <w:color w:val="auto"/>
          <w:sz w:val="22"/>
          <w:szCs w:val="22"/>
        </w:rPr>
        <w:instrText xml:space="preserve"> SEQ Tabla \* ARABIC </w:instrText>
      </w:r>
      <w:r w:rsidRPr="007528E0">
        <w:rPr>
          <w:rFonts w:cs="Arial"/>
          <w:b/>
          <w:color w:val="auto"/>
          <w:sz w:val="22"/>
          <w:szCs w:val="22"/>
        </w:rPr>
        <w:fldChar w:fldCharType="separate"/>
      </w:r>
      <w:r w:rsidRPr="007528E0">
        <w:rPr>
          <w:rFonts w:cs="Arial"/>
          <w:b/>
          <w:noProof/>
          <w:color w:val="auto"/>
          <w:sz w:val="22"/>
          <w:szCs w:val="22"/>
        </w:rPr>
        <w:t>19</w:t>
      </w:r>
      <w:r w:rsidRPr="007528E0">
        <w:rPr>
          <w:rFonts w:cs="Arial"/>
          <w:b/>
          <w:color w:val="auto"/>
          <w:sz w:val="22"/>
          <w:szCs w:val="22"/>
        </w:rPr>
        <w:fldChar w:fldCharType="end"/>
      </w:r>
      <w:r w:rsidRPr="007528E0">
        <w:rPr>
          <w:rFonts w:cs="Arial"/>
          <w:color w:val="auto"/>
          <w:sz w:val="22"/>
          <w:szCs w:val="22"/>
        </w:rPr>
        <w:t>. Descripción de las manifestaciones clínicas y laboratorio de toxicología de las intoxicaciones por sustancias psicoactivas.</w:t>
      </w:r>
      <w:bookmarkEnd w:id="40"/>
    </w:p>
    <w:tbl>
      <w:tblPr>
        <w:tblStyle w:val="Tablaconcuadrcula"/>
        <w:tblW w:w="0" w:type="auto"/>
        <w:tblLayout w:type="fixed"/>
        <w:tblLook w:val="0000" w:firstRow="0" w:lastRow="0" w:firstColumn="0" w:lastColumn="0" w:noHBand="0" w:noVBand="0"/>
      </w:tblPr>
      <w:tblGrid>
        <w:gridCol w:w="2126"/>
        <w:gridCol w:w="2126"/>
        <w:gridCol w:w="2126"/>
        <w:gridCol w:w="2126"/>
      </w:tblGrid>
      <w:tr w:rsidR="007528E0" w:rsidRPr="007528E0" w14:paraId="2F66A313" w14:textId="77777777" w:rsidTr="007528E0">
        <w:trPr>
          <w:trHeight w:val="236"/>
        </w:trPr>
        <w:tc>
          <w:tcPr>
            <w:tcW w:w="2126" w:type="dxa"/>
          </w:tcPr>
          <w:p w14:paraId="70F1DBAD" w14:textId="77777777" w:rsidR="0037398A" w:rsidRPr="007528E0" w:rsidRDefault="0037398A" w:rsidP="007528E0">
            <w:pPr>
              <w:autoSpaceDE w:val="0"/>
              <w:autoSpaceDN w:val="0"/>
              <w:adjustRightInd w:val="0"/>
              <w:spacing w:before="100" w:beforeAutospacing="1" w:after="100" w:afterAutospacing="1"/>
              <w:jc w:val="left"/>
              <w:rPr>
                <w:rFonts w:cs="Arial"/>
                <w:sz w:val="20"/>
                <w:szCs w:val="20"/>
                <w:lang w:val="es-CO"/>
              </w:rPr>
            </w:pPr>
            <w:r w:rsidRPr="007528E0">
              <w:rPr>
                <w:rFonts w:cs="Arial"/>
                <w:b/>
                <w:bCs/>
                <w:sz w:val="20"/>
                <w:szCs w:val="20"/>
                <w:lang w:val="es-CO"/>
              </w:rPr>
              <w:t xml:space="preserve">Sustancia </w:t>
            </w:r>
          </w:p>
        </w:tc>
        <w:tc>
          <w:tcPr>
            <w:tcW w:w="2126" w:type="dxa"/>
          </w:tcPr>
          <w:p w14:paraId="09857F80" w14:textId="77777777" w:rsidR="0037398A" w:rsidRPr="007528E0" w:rsidRDefault="0037398A" w:rsidP="007528E0">
            <w:pPr>
              <w:autoSpaceDE w:val="0"/>
              <w:autoSpaceDN w:val="0"/>
              <w:adjustRightInd w:val="0"/>
              <w:spacing w:before="100" w:beforeAutospacing="1" w:after="100" w:afterAutospacing="1"/>
              <w:jc w:val="left"/>
              <w:rPr>
                <w:rFonts w:cs="Arial"/>
                <w:sz w:val="20"/>
                <w:szCs w:val="20"/>
                <w:lang w:val="es-CO"/>
              </w:rPr>
            </w:pPr>
            <w:r w:rsidRPr="007528E0">
              <w:rPr>
                <w:rFonts w:cs="Arial"/>
                <w:b/>
                <w:bCs/>
                <w:sz w:val="20"/>
                <w:szCs w:val="20"/>
                <w:lang w:val="es-CO"/>
              </w:rPr>
              <w:t xml:space="preserve">Nombre común </w:t>
            </w:r>
          </w:p>
        </w:tc>
        <w:tc>
          <w:tcPr>
            <w:tcW w:w="2126" w:type="dxa"/>
          </w:tcPr>
          <w:p w14:paraId="61790A85" w14:textId="77777777" w:rsidR="0037398A" w:rsidRPr="007528E0" w:rsidRDefault="0037398A" w:rsidP="007528E0">
            <w:pPr>
              <w:autoSpaceDE w:val="0"/>
              <w:autoSpaceDN w:val="0"/>
              <w:adjustRightInd w:val="0"/>
              <w:spacing w:before="100" w:beforeAutospacing="1" w:after="100" w:afterAutospacing="1"/>
              <w:jc w:val="left"/>
              <w:rPr>
                <w:rFonts w:cs="Arial"/>
                <w:sz w:val="20"/>
                <w:szCs w:val="20"/>
                <w:lang w:val="es-CO"/>
              </w:rPr>
            </w:pPr>
            <w:r w:rsidRPr="007528E0">
              <w:rPr>
                <w:rFonts w:cs="Arial"/>
                <w:b/>
                <w:bCs/>
                <w:sz w:val="20"/>
                <w:szCs w:val="20"/>
                <w:lang w:val="es-CO"/>
              </w:rPr>
              <w:t xml:space="preserve">Manifestaciones clínicas </w:t>
            </w:r>
          </w:p>
        </w:tc>
        <w:tc>
          <w:tcPr>
            <w:tcW w:w="2126" w:type="dxa"/>
          </w:tcPr>
          <w:p w14:paraId="7B9572EB" w14:textId="77777777" w:rsidR="0037398A" w:rsidRPr="007528E0" w:rsidRDefault="0037398A" w:rsidP="007528E0">
            <w:pPr>
              <w:autoSpaceDE w:val="0"/>
              <w:autoSpaceDN w:val="0"/>
              <w:adjustRightInd w:val="0"/>
              <w:spacing w:before="100" w:beforeAutospacing="1" w:after="100" w:afterAutospacing="1"/>
              <w:jc w:val="left"/>
              <w:rPr>
                <w:rFonts w:cs="Arial"/>
                <w:sz w:val="20"/>
                <w:szCs w:val="20"/>
                <w:lang w:val="es-CO"/>
              </w:rPr>
            </w:pPr>
            <w:r w:rsidRPr="007528E0">
              <w:rPr>
                <w:rFonts w:cs="Arial"/>
                <w:b/>
                <w:bCs/>
                <w:sz w:val="20"/>
                <w:szCs w:val="20"/>
                <w:lang w:val="es-CO"/>
              </w:rPr>
              <w:t xml:space="preserve">Laboratorio de toxicología </w:t>
            </w:r>
          </w:p>
        </w:tc>
      </w:tr>
      <w:tr w:rsidR="007528E0" w:rsidRPr="007528E0" w14:paraId="718F8F97" w14:textId="77777777" w:rsidTr="007528E0">
        <w:trPr>
          <w:trHeight w:val="357"/>
        </w:trPr>
        <w:tc>
          <w:tcPr>
            <w:tcW w:w="2126" w:type="dxa"/>
          </w:tcPr>
          <w:p w14:paraId="0F8AD391" w14:textId="77777777" w:rsidR="0037398A" w:rsidRPr="007528E0" w:rsidRDefault="0037398A" w:rsidP="007528E0">
            <w:pPr>
              <w:autoSpaceDE w:val="0"/>
              <w:autoSpaceDN w:val="0"/>
              <w:adjustRightInd w:val="0"/>
              <w:spacing w:before="100" w:beforeAutospacing="1" w:after="100" w:afterAutospacing="1"/>
              <w:jc w:val="left"/>
              <w:rPr>
                <w:rFonts w:cs="Arial"/>
                <w:sz w:val="20"/>
                <w:szCs w:val="20"/>
                <w:lang w:val="es-CO"/>
              </w:rPr>
            </w:pPr>
            <w:r w:rsidRPr="007528E0">
              <w:rPr>
                <w:rFonts w:cs="Arial"/>
                <w:sz w:val="20"/>
                <w:szCs w:val="20"/>
                <w:lang w:val="es-CO"/>
              </w:rPr>
              <w:t xml:space="preserve">Alcohol etílico (etanol) </w:t>
            </w:r>
          </w:p>
        </w:tc>
        <w:tc>
          <w:tcPr>
            <w:tcW w:w="2126" w:type="dxa"/>
          </w:tcPr>
          <w:p w14:paraId="5BE315F9" w14:textId="77777777" w:rsidR="0037398A" w:rsidRPr="007528E0" w:rsidRDefault="0037398A" w:rsidP="007528E0">
            <w:pPr>
              <w:autoSpaceDE w:val="0"/>
              <w:autoSpaceDN w:val="0"/>
              <w:adjustRightInd w:val="0"/>
              <w:spacing w:before="100" w:beforeAutospacing="1" w:after="100" w:afterAutospacing="1"/>
              <w:jc w:val="left"/>
              <w:rPr>
                <w:rFonts w:cs="Arial"/>
                <w:sz w:val="20"/>
                <w:szCs w:val="20"/>
                <w:lang w:val="es-CO"/>
              </w:rPr>
            </w:pPr>
            <w:r w:rsidRPr="007528E0">
              <w:rPr>
                <w:rFonts w:cs="Arial"/>
                <w:sz w:val="20"/>
                <w:szCs w:val="20"/>
                <w:lang w:val="es-CO"/>
              </w:rPr>
              <w:t xml:space="preserve">Licor, guaro </w:t>
            </w:r>
          </w:p>
        </w:tc>
        <w:tc>
          <w:tcPr>
            <w:tcW w:w="2126" w:type="dxa"/>
          </w:tcPr>
          <w:p w14:paraId="31CEE96B" w14:textId="77777777" w:rsidR="0037398A" w:rsidRPr="007528E0" w:rsidRDefault="0037398A" w:rsidP="007528E0">
            <w:pPr>
              <w:autoSpaceDE w:val="0"/>
              <w:autoSpaceDN w:val="0"/>
              <w:adjustRightInd w:val="0"/>
              <w:spacing w:before="100" w:beforeAutospacing="1" w:after="100" w:afterAutospacing="1"/>
              <w:jc w:val="left"/>
              <w:rPr>
                <w:rFonts w:cs="Arial"/>
                <w:sz w:val="20"/>
                <w:szCs w:val="20"/>
                <w:lang w:val="es-CO"/>
              </w:rPr>
            </w:pPr>
            <w:proofErr w:type="spellStart"/>
            <w:r w:rsidRPr="007528E0">
              <w:rPr>
                <w:rFonts w:cs="Arial"/>
                <w:sz w:val="20"/>
                <w:szCs w:val="20"/>
                <w:lang w:val="es-CO"/>
              </w:rPr>
              <w:t>Toxidrome</w:t>
            </w:r>
            <w:proofErr w:type="spellEnd"/>
            <w:r w:rsidRPr="007528E0">
              <w:rPr>
                <w:rFonts w:cs="Arial"/>
                <w:sz w:val="20"/>
                <w:szCs w:val="20"/>
                <w:lang w:val="es-CO"/>
              </w:rPr>
              <w:t xml:space="preserve"> hipnosedante/alcohol. </w:t>
            </w:r>
          </w:p>
        </w:tc>
        <w:tc>
          <w:tcPr>
            <w:tcW w:w="2126" w:type="dxa"/>
          </w:tcPr>
          <w:p w14:paraId="69DD804A" w14:textId="77777777" w:rsidR="0037398A" w:rsidRPr="007528E0" w:rsidRDefault="0037398A" w:rsidP="007528E0">
            <w:pPr>
              <w:autoSpaceDE w:val="0"/>
              <w:autoSpaceDN w:val="0"/>
              <w:adjustRightInd w:val="0"/>
              <w:spacing w:before="100" w:beforeAutospacing="1" w:after="100" w:afterAutospacing="1"/>
              <w:jc w:val="left"/>
              <w:rPr>
                <w:rFonts w:cs="Arial"/>
                <w:sz w:val="20"/>
                <w:szCs w:val="20"/>
                <w:lang w:val="es-CO"/>
              </w:rPr>
            </w:pPr>
            <w:r w:rsidRPr="007528E0">
              <w:rPr>
                <w:rFonts w:cs="Arial"/>
                <w:sz w:val="20"/>
                <w:szCs w:val="20"/>
                <w:lang w:val="es-CO"/>
              </w:rPr>
              <w:t xml:space="preserve">Niveles séricos de etanol en sangre (alcoholemia). </w:t>
            </w:r>
          </w:p>
        </w:tc>
      </w:tr>
      <w:tr w:rsidR="007528E0" w:rsidRPr="007528E0" w14:paraId="77D97A22" w14:textId="77777777" w:rsidTr="007528E0">
        <w:trPr>
          <w:trHeight w:val="862"/>
        </w:trPr>
        <w:tc>
          <w:tcPr>
            <w:tcW w:w="2126" w:type="dxa"/>
          </w:tcPr>
          <w:p w14:paraId="2B848599" w14:textId="77777777" w:rsidR="0037398A" w:rsidRPr="007528E0" w:rsidRDefault="0037398A" w:rsidP="007528E0">
            <w:pPr>
              <w:autoSpaceDE w:val="0"/>
              <w:autoSpaceDN w:val="0"/>
              <w:adjustRightInd w:val="0"/>
              <w:spacing w:before="100" w:beforeAutospacing="1" w:after="100" w:afterAutospacing="1"/>
              <w:jc w:val="left"/>
              <w:rPr>
                <w:rFonts w:cs="Arial"/>
                <w:sz w:val="20"/>
                <w:szCs w:val="20"/>
                <w:lang w:val="es-CO"/>
              </w:rPr>
            </w:pPr>
            <w:r w:rsidRPr="007528E0">
              <w:rPr>
                <w:rFonts w:cs="Arial"/>
                <w:sz w:val="20"/>
                <w:szCs w:val="20"/>
                <w:lang w:val="es-CO"/>
              </w:rPr>
              <w:t xml:space="preserve">Cocaína </w:t>
            </w:r>
          </w:p>
        </w:tc>
        <w:tc>
          <w:tcPr>
            <w:tcW w:w="2126" w:type="dxa"/>
          </w:tcPr>
          <w:p w14:paraId="16060E3C" w14:textId="77777777" w:rsidR="0037398A" w:rsidRPr="007528E0" w:rsidRDefault="0037398A" w:rsidP="007528E0">
            <w:pPr>
              <w:autoSpaceDE w:val="0"/>
              <w:autoSpaceDN w:val="0"/>
              <w:adjustRightInd w:val="0"/>
              <w:spacing w:before="100" w:beforeAutospacing="1" w:after="100" w:afterAutospacing="1"/>
              <w:jc w:val="left"/>
              <w:rPr>
                <w:rFonts w:cs="Arial"/>
                <w:sz w:val="20"/>
                <w:szCs w:val="20"/>
                <w:lang w:val="es-CO"/>
              </w:rPr>
            </w:pPr>
            <w:r w:rsidRPr="007528E0">
              <w:rPr>
                <w:rFonts w:cs="Arial"/>
                <w:sz w:val="20"/>
                <w:szCs w:val="20"/>
                <w:lang w:val="es-CO"/>
              </w:rPr>
              <w:t xml:space="preserve">Coca, nieve, dama blanca, talco, perico, bazuco, pasta de coca, </w:t>
            </w:r>
          </w:p>
        </w:tc>
        <w:tc>
          <w:tcPr>
            <w:tcW w:w="2126" w:type="dxa"/>
          </w:tcPr>
          <w:p w14:paraId="015CCA80" w14:textId="77777777" w:rsidR="0037398A" w:rsidRPr="007528E0" w:rsidRDefault="0037398A" w:rsidP="007528E0">
            <w:pPr>
              <w:autoSpaceDE w:val="0"/>
              <w:autoSpaceDN w:val="0"/>
              <w:adjustRightInd w:val="0"/>
              <w:spacing w:before="100" w:beforeAutospacing="1" w:after="100" w:afterAutospacing="1"/>
              <w:jc w:val="left"/>
              <w:rPr>
                <w:rFonts w:cs="Arial"/>
                <w:sz w:val="20"/>
                <w:szCs w:val="20"/>
                <w:lang w:val="es-CO"/>
              </w:rPr>
            </w:pPr>
            <w:proofErr w:type="spellStart"/>
            <w:r w:rsidRPr="007528E0">
              <w:rPr>
                <w:rFonts w:cs="Arial"/>
                <w:sz w:val="20"/>
                <w:szCs w:val="20"/>
                <w:lang w:val="es-CO"/>
              </w:rPr>
              <w:t>Toxidrome</w:t>
            </w:r>
            <w:proofErr w:type="spellEnd"/>
            <w:r w:rsidRPr="007528E0">
              <w:rPr>
                <w:rFonts w:cs="Arial"/>
                <w:sz w:val="20"/>
                <w:szCs w:val="20"/>
                <w:lang w:val="es-CO"/>
              </w:rPr>
              <w:t xml:space="preserve"> adrenérgico. </w:t>
            </w:r>
          </w:p>
        </w:tc>
        <w:tc>
          <w:tcPr>
            <w:tcW w:w="2126" w:type="dxa"/>
          </w:tcPr>
          <w:p w14:paraId="5FD1348A" w14:textId="77777777" w:rsidR="0037398A" w:rsidRPr="007528E0" w:rsidRDefault="0037398A" w:rsidP="007528E0">
            <w:pPr>
              <w:autoSpaceDE w:val="0"/>
              <w:autoSpaceDN w:val="0"/>
              <w:adjustRightInd w:val="0"/>
              <w:spacing w:before="100" w:beforeAutospacing="1" w:after="100" w:afterAutospacing="1"/>
              <w:jc w:val="left"/>
              <w:rPr>
                <w:rFonts w:cs="Arial"/>
                <w:sz w:val="20"/>
                <w:szCs w:val="20"/>
                <w:lang w:val="es-CO"/>
              </w:rPr>
            </w:pPr>
            <w:r w:rsidRPr="007528E0">
              <w:rPr>
                <w:rFonts w:cs="Arial"/>
                <w:sz w:val="20"/>
                <w:szCs w:val="20"/>
                <w:lang w:val="es-CO"/>
              </w:rPr>
              <w:t xml:space="preserve">Las pruebas de inmunoensayo detectan </w:t>
            </w:r>
            <w:proofErr w:type="spellStart"/>
            <w:r w:rsidRPr="007528E0">
              <w:rPr>
                <w:rFonts w:cs="Arial"/>
                <w:sz w:val="20"/>
                <w:szCs w:val="20"/>
                <w:lang w:val="es-CO"/>
              </w:rPr>
              <w:t>benzoilecgonina</w:t>
            </w:r>
            <w:proofErr w:type="spellEnd"/>
            <w:r w:rsidRPr="007528E0">
              <w:rPr>
                <w:rFonts w:cs="Arial"/>
                <w:sz w:val="20"/>
                <w:szCs w:val="20"/>
                <w:lang w:val="es-CO"/>
              </w:rPr>
              <w:t xml:space="preserve"> (metabolito de la cocaína). La medición de niveles en sangre no está disponible de forma rutinaria. </w:t>
            </w:r>
          </w:p>
        </w:tc>
      </w:tr>
      <w:tr w:rsidR="007528E0" w:rsidRPr="007528E0" w14:paraId="71144D30" w14:textId="77777777" w:rsidTr="007528E0">
        <w:trPr>
          <w:trHeight w:val="1620"/>
        </w:trPr>
        <w:tc>
          <w:tcPr>
            <w:tcW w:w="2126" w:type="dxa"/>
          </w:tcPr>
          <w:p w14:paraId="6D2F5426" w14:textId="77777777" w:rsidR="0037398A" w:rsidRPr="007528E0" w:rsidRDefault="0037398A" w:rsidP="007528E0">
            <w:pPr>
              <w:autoSpaceDE w:val="0"/>
              <w:autoSpaceDN w:val="0"/>
              <w:adjustRightInd w:val="0"/>
              <w:spacing w:before="100" w:beforeAutospacing="1" w:after="100" w:afterAutospacing="1"/>
              <w:jc w:val="left"/>
              <w:rPr>
                <w:rFonts w:cs="Arial"/>
                <w:sz w:val="20"/>
                <w:szCs w:val="20"/>
                <w:lang w:val="es-CO"/>
              </w:rPr>
            </w:pPr>
            <w:r w:rsidRPr="007528E0">
              <w:rPr>
                <w:rFonts w:cs="Arial"/>
                <w:sz w:val="20"/>
                <w:szCs w:val="20"/>
                <w:lang w:val="es-CO"/>
              </w:rPr>
              <w:t xml:space="preserve">Marihuana </w:t>
            </w:r>
          </w:p>
        </w:tc>
        <w:tc>
          <w:tcPr>
            <w:tcW w:w="2126" w:type="dxa"/>
          </w:tcPr>
          <w:p w14:paraId="4BBC21ED" w14:textId="77777777" w:rsidR="0037398A" w:rsidRPr="007528E0" w:rsidRDefault="0037398A" w:rsidP="007528E0">
            <w:pPr>
              <w:autoSpaceDE w:val="0"/>
              <w:autoSpaceDN w:val="0"/>
              <w:adjustRightInd w:val="0"/>
              <w:spacing w:before="100" w:beforeAutospacing="1" w:after="100" w:afterAutospacing="1"/>
              <w:jc w:val="left"/>
              <w:rPr>
                <w:rFonts w:cs="Arial"/>
                <w:sz w:val="20"/>
                <w:szCs w:val="20"/>
                <w:lang w:val="es-CO"/>
              </w:rPr>
            </w:pPr>
            <w:proofErr w:type="spellStart"/>
            <w:r w:rsidRPr="007528E0">
              <w:rPr>
                <w:rFonts w:cs="Arial"/>
                <w:sz w:val="20"/>
                <w:szCs w:val="20"/>
                <w:lang w:val="es-CO"/>
              </w:rPr>
              <w:t>Maria</w:t>
            </w:r>
            <w:proofErr w:type="spellEnd"/>
            <w:r w:rsidRPr="007528E0">
              <w:rPr>
                <w:rFonts w:cs="Arial"/>
                <w:sz w:val="20"/>
                <w:szCs w:val="20"/>
                <w:lang w:val="es-CO"/>
              </w:rPr>
              <w:t xml:space="preserve">, yerba, cacho, mona, </w:t>
            </w:r>
            <w:proofErr w:type="spellStart"/>
            <w:r w:rsidRPr="007528E0">
              <w:rPr>
                <w:rFonts w:cs="Arial"/>
                <w:sz w:val="20"/>
                <w:szCs w:val="20"/>
                <w:lang w:val="es-CO"/>
              </w:rPr>
              <w:t>maracachifa</w:t>
            </w:r>
            <w:proofErr w:type="spellEnd"/>
            <w:r w:rsidRPr="007528E0">
              <w:rPr>
                <w:rFonts w:cs="Arial"/>
                <w:sz w:val="20"/>
                <w:szCs w:val="20"/>
                <w:lang w:val="es-CO"/>
              </w:rPr>
              <w:t xml:space="preserve">, porro, cannabis, THC, </w:t>
            </w:r>
            <w:proofErr w:type="spellStart"/>
            <w:r w:rsidRPr="007528E0">
              <w:rPr>
                <w:rFonts w:cs="Arial"/>
                <w:sz w:val="20"/>
                <w:szCs w:val="20"/>
                <w:lang w:val="es-CO"/>
              </w:rPr>
              <w:t>cripy</w:t>
            </w:r>
            <w:proofErr w:type="spellEnd"/>
            <w:r w:rsidRPr="007528E0">
              <w:rPr>
                <w:rFonts w:cs="Arial"/>
                <w:sz w:val="20"/>
                <w:szCs w:val="20"/>
                <w:lang w:val="es-CO"/>
              </w:rPr>
              <w:t xml:space="preserve">. </w:t>
            </w:r>
          </w:p>
        </w:tc>
        <w:tc>
          <w:tcPr>
            <w:tcW w:w="2126" w:type="dxa"/>
          </w:tcPr>
          <w:p w14:paraId="0B6E5F23" w14:textId="77777777" w:rsidR="0037398A" w:rsidRPr="007528E0" w:rsidRDefault="0037398A" w:rsidP="007528E0">
            <w:pPr>
              <w:autoSpaceDE w:val="0"/>
              <w:autoSpaceDN w:val="0"/>
              <w:adjustRightInd w:val="0"/>
              <w:spacing w:before="100" w:beforeAutospacing="1" w:after="100" w:afterAutospacing="1"/>
              <w:jc w:val="left"/>
              <w:rPr>
                <w:rFonts w:cs="Arial"/>
                <w:sz w:val="20"/>
                <w:szCs w:val="20"/>
                <w:lang w:val="es-CO"/>
              </w:rPr>
            </w:pPr>
            <w:r w:rsidRPr="007528E0">
              <w:rPr>
                <w:rFonts w:cs="Arial"/>
                <w:sz w:val="20"/>
                <w:szCs w:val="20"/>
                <w:lang w:val="es-CO"/>
              </w:rPr>
              <w:t xml:space="preserve">Euforia, taquicardia, hipotensión ortostática, inyección conjuntival, ataxia, tiempo de percepción alterado, despersonalización, alucinaciones, psicosis aguda paranoide. </w:t>
            </w:r>
          </w:p>
        </w:tc>
        <w:tc>
          <w:tcPr>
            <w:tcW w:w="2126" w:type="dxa"/>
          </w:tcPr>
          <w:p w14:paraId="2444739E" w14:textId="77777777" w:rsidR="0037398A" w:rsidRPr="007528E0" w:rsidRDefault="0037398A" w:rsidP="007528E0">
            <w:pPr>
              <w:autoSpaceDE w:val="0"/>
              <w:autoSpaceDN w:val="0"/>
              <w:adjustRightInd w:val="0"/>
              <w:spacing w:before="100" w:beforeAutospacing="1" w:after="100" w:afterAutospacing="1"/>
              <w:jc w:val="left"/>
              <w:rPr>
                <w:rFonts w:cs="Arial"/>
                <w:sz w:val="20"/>
                <w:szCs w:val="20"/>
                <w:lang w:val="es-CO"/>
              </w:rPr>
            </w:pPr>
            <w:r w:rsidRPr="007528E0">
              <w:rPr>
                <w:rFonts w:cs="Arial"/>
                <w:sz w:val="20"/>
                <w:szCs w:val="20"/>
                <w:lang w:val="es-CO"/>
              </w:rPr>
              <w:t xml:space="preserve">La medición de niveles en sangre no está disponible de forma rutinaria. Los metabolitos </w:t>
            </w:r>
            <w:proofErr w:type="spellStart"/>
            <w:r w:rsidRPr="007528E0">
              <w:rPr>
                <w:rFonts w:cs="Arial"/>
                <w:sz w:val="20"/>
                <w:szCs w:val="20"/>
                <w:lang w:val="es-CO"/>
              </w:rPr>
              <w:t>canabinoides</w:t>
            </w:r>
            <w:proofErr w:type="spellEnd"/>
            <w:r w:rsidRPr="007528E0">
              <w:rPr>
                <w:rFonts w:cs="Arial"/>
                <w:sz w:val="20"/>
                <w:szCs w:val="20"/>
                <w:lang w:val="es-CO"/>
              </w:rPr>
              <w:t xml:space="preserve"> pueden ser detectados en la orina por pruebas de inmunoensayo por días (una exposición agudo) o semanas </w:t>
            </w:r>
            <w:r w:rsidRPr="007528E0">
              <w:rPr>
                <w:rFonts w:cs="Arial"/>
                <w:sz w:val="20"/>
                <w:szCs w:val="20"/>
                <w:lang w:val="es-CO"/>
              </w:rPr>
              <w:lastRenderedPageBreak/>
              <w:t xml:space="preserve">(exposición crónica). </w:t>
            </w:r>
          </w:p>
        </w:tc>
      </w:tr>
      <w:tr w:rsidR="0037398A" w:rsidRPr="007528E0" w14:paraId="2B7B86CA" w14:textId="77777777" w:rsidTr="007528E0">
        <w:trPr>
          <w:trHeight w:val="355"/>
        </w:trPr>
        <w:tc>
          <w:tcPr>
            <w:tcW w:w="2126" w:type="dxa"/>
          </w:tcPr>
          <w:p w14:paraId="32E20DA5" w14:textId="77777777" w:rsidR="0037398A" w:rsidRPr="007528E0" w:rsidRDefault="0037398A" w:rsidP="007528E0">
            <w:pPr>
              <w:autoSpaceDE w:val="0"/>
              <w:autoSpaceDN w:val="0"/>
              <w:adjustRightInd w:val="0"/>
              <w:spacing w:before="100" w:beforeAutospacing="1" w:after="100" w:afterAutospacing="1"/>
              <w:jc w:val="left"/>
              <w:rPr>
                <w:rFonts w:cs="Arial"/>
                <w:sz w:val="20"/>
                <w:szCs w:val="20"/>
                <w:lang w:val="es-CO"/>
              </w:rPr>
            </w:pPr>
            <w:r w:rsidRPr="007528E0">
              <w:rPr>
                <w:rFonts w:cs="Arial"/>
                <w:sz w:val="20"/>
                <w:szCs w:val="20"/>
                <w:lang w:val="es-CO"/>
              </w:rPr>
              <w:lastRenderedPageBreak/>
              <w:t xml:space="preserve">Heroína </w:t>
            </w:r>
          </w:p>
        </w:tc>
        <w:tc>
          <w:tcPr>
            <w:tcW w:w="2126" w:type="dxa"/>
          </w:tcPr>
          <w:p w14:paraId="2532394D" w14:textId="77777777" w:rsidR="0037398A" w:rsidRPr="007528E0" w:rsidRDefault="0037398A" w:rsidP="007528E0">
            <w:pPr>
              <w:autoSpaceDE w:val="0"/>
              <w:autoSpaceDN w:val="0"/>
              <w:adjustRightInd w:val="0"/>
              <w:spacing w:before="100" w:beforeAutospacing="1" w:after="100" w:afterAutospacing="1"/>
              <w:jc w:val="left"/>
              <w:rPr>
                <w:rFonts w:cs="Arial"/>
                <w:sz w:val="20"/>
                <w:szCs w:val="20"/>
                <w:lang w:val="es-CO"/>
              </w:rPr>
            </w:pPr>
            <w:r w:rsidRPr="007528E0">
              <w:rPr>
                <w:rFonts w:cs="Arial"/>
                <w:sz w:val="20"/>
                <w:szCs w:val="20"/>
                <w:lang w:val="es-CO"/>
              </w:rPr>
              <w:t xml:space="preserve">Amapola, negra, opio, “H” </w:t>
            </w:r>
          </w:p>
        </w:tc>
        <w:tc>
          <w:tcPr>
            <w:tcW w:w="2126" w:type="dxa"/>
          </w:tcPr>
          <w:p w14:paraId="12CD07F5" w14:textId="77777777" w:rsidR="0037398A" w:rsidRPr="007528E0" w:rsidRDefault="0037398A" w:rsidP="007528E0">
            <w:pPr>
              <w:autoSpaceDE w:val="0"/>
              <w:autoSpaceDN w:val="0"/>
              <w:adjustRightInd w:val="0"/>
              <w:spacing w:before="100" w:beforeAutospacing="1" w:after="100" w:afterAutospacing="1"/>
              <w:jc w:val="left"/>
              <w:rPr>
                <w:rFonts w:cs="Arial"/>
                <w:sz w:val="20"/>
                <w:szCs w:val="20"/>
                <w:lang w:val="es-CO"/>
              </w:rPr>
            </w:pPr>
            <w:proofErr w:type="spellStart"/>
            <w:r w:rsidRPr="007528E0">
              <w:rPr>
                <w:rFonts w:cs="Arial"/>
                <w:sz w:val="20"/>
                <w:szCs w:val="20"/>
                <w:lang w:val="es-CO"/>
              </w:rPr>
              <w:t>Toxidrome</w:t>
            </w:r>
            <w:proofErr w:type="spellEnd"/>
            <w:r w:rsidRPr="007528E0">
              <w:rPr>
                <w:rFonts w:cs="Arial"/>
                <w:sz w:val="20"/>
                <w:szCs w:val="20"/>
                <w:lang w:val="es-CO"/>
              </w:rPr>
              <w:t xml:space="preserve"> opioide. </w:t>
            </w:r>
          </w:p>
        </w:tc>
        <w:tc>
          <w:tcPr>
            <w:tcW w:w="2126" w:type="dxa"/>
          </w:tcPr>
          <w:p w14:paraId="5EB6F255" w14:textId="77777777" w:rsidR="0037398A" w:rsidRPr="007528E0" w:rsidRDefault="0037398A" w:rsidP="007528E0">
            <w:pPr>
              <w:autoSpaceDE w:val="0"/>
              <w:autoSpaceDN w:val="0"/>
              <w:adjustRightInd w:val="0"/>
              <w:spacing w:before="100" w:beforeAutospacing="1" w:after="100" w:afterAutospacing="1"/>
              <w:jc w:val="left"/>
              <w:rPr>
                <w:rFonts w:cs="Arial"/>
                <w:sz w:val="20"/>
                <w:szCs w:val="20"/>
                <w:lang w:val="es-CO"/>
              </w:rPr>
            </w:pPr>
            <w:r w:rsidRPr="007528E0">
              <w:rPr>
                <w:rFonts w:cs="Arial"/>
                <w:sz w:val="20"/>
                <w:szCs w:val="20"/>
                <w:lang w:val="es-CO"/>
              </w:rPr>
              <w:t xml:space="preserve">Las pruebas cualitativas pueden confirmar su uso reciente, sin embargo no </w:t>
            </w:r>
          </w:p>
        </w:tc>
      </w:tr>
    </w:tbl>
    <w:p w14:paraId="3CEEBA0A" w14:textId="77777777" w:rsidR="0037398A" w:rsidRPr="007528E0" w:rsidRDefault="0037398A" w:rsidP="0037398A">
      <w:pPr>
        <w:pStyle w:val="Ttulo2"/>
        <w:spacing w:before="100" w:beforeAutospacing="1" w:after="100" w:afterAutospacing="1"/>
        <w:ind w:left="360"/>
        <w:rPr>
          <w:lang w:eastAsia="es-CO"/>
        </w:rPr>
      </w:pPr>
      <w:bookmarkStart w:id="41" w:name="_Toc505456663"/>
    </w:p>
    <w:p w14:paraId="2D63F67D" w14:textId="77777777" w:rsidR="0037398A" w:rsidRPr="007528E0" w:rsidRDefault="0037398A" w:rsidP="0037398A">
      <w:pPr>
        <w:pStyle w:val="Ttulo2"/>
        <w:spacing w:before="100" w:beforeAutospacing="1" w:after="100" w:afterAutospacing="1"/>
        <w:ind w:left="360"/>
        <w:rPr>
          <w:sz w:val="22"/>
          <w:szCs w:val="22"/>
        </w:rPr>
      </w:pPr>
      <w:r w:rsidRPr="007528E0">
        <w:rPr>
          <w:sz w:val="22"/>
          <w:szCs w:val="22"/>
          <w:lang w:eastAsia="es-CO"/>
        </w:rPr>
        <w:t>Referencias Bibliográficas</w:t>
      </w:r>
      <w:bookmarkEnd w:id="41"/>
    </w:p>
    <w:p w14:paraId="6EF3DF9E" w14:textId="77777777" w:rsidR="0037398A" w:rsidRPr="007528E0" w:rsidRDefault="0037398A" w:rsidP="0037398A">
      <w:pPr>
        <w:spacing w:before="100" w:beforeAutospacing="1" w:after="100" w:afterAutospacing="1"/>
        <w:rPr>
          <w:rFonts w:cs="Arial"/>
          <w:sz w:val="22"/>
          <w:szCs w:val="22"/>
        </w:rPr>
      </w:pPr>
    </w:p>
    <w:p w14:paraId="1CD691CF" w14:textId="77777777" w:rsidR="0037398A" w:rsidRPr="007528E0" w:rsidRDefault="0037398A" w:rsidP="0037398A">
      <w:pPr>
        <w:widowControl w:val="0"/>
        <w:autoSpaceDE w:val="0"/>
        <w:autoSpaceDN w:val="0"/>
        <w:adjustRightInd w:val="0"/>
        <w:spacing w:before="100" w:beforeAutospacing="1" w:after="100" w:afterAutospacing="1"/>
        <w:ind w:left="640" w:hanging="640"/>
        <w:rPr>
          <w:rFonts w:cs="Arial"/>
          <w:noProof/>
          <w:sz w:val="22"/>
          <w:szCs w:val="22"/>
        </w:rPr>
      </w:pPr>
      <w:r w:rsidRPr="007528E0">
        <w:rPr>
          <w:rFonts w:cs="Arial"/>
          <w:sz w:val="22"/>
          <w:szCs w:val="22"/>
        </w:rPr>
        <w:fldChar w:fldCharType="begin" w:fldLock="1"/>
      </w:r>
      <w:r w:rsidRPr="007528E0">
        <w:rPr>
          <w:rFonts w:cs="Arial"/>
          <w:sz w:val="22"/>
          <w:szCs w:val="22"/>
        </w:rPr>
        <w:instrText xml:space="preserve">ADDIN Mendeley Bibliography CSL_BIBLIOGRAPHY </w:instrText>
      </w:r>
      <w:r w:rsidRPr="007528E0">
        <w:rPr>
          <w:rFonts w:cs="Arial"/>
          <w:sz w:val="22"/>
          <w:szCs w:val="22"/>
        </w:rPr>
        <w:fldChar w:fldCharType="separate"/>
      </w:r>
      <w:r w:rsidRPr="007528E0">
        <w:rPr>
          <w:rFonts w:cs="Arial"/>
          <w:noProof/>
          <w:sz w:val="22"/>
          <w:szCs w:val="22"/>
        </w:rPr>
        <w:t xml:space="preserve">1. </w:t>
      </w:r>
      <w:r w:rsidRPr="007528E0">
        <w:rPr>
          <w:rFonts w:cs="Arial"/>
          <w:noProof/>
          <w:sz w:val="22"/>
          <w:szCs w:val="22"/>
        </w:rPr>
        <w:tab/>
        <w:t xml:space="preserve">Ministerio de la Salud y Proteccion Social. Decreto 3518 de 2006, “Por el cual se crea y reglamenta el Sistema de Vigilancia en Salud Pública y se dictan otras disposiciones.” </w:t>
      </w:r>
    </w:p>
    <w:p w14:paraId="6EA46AC4" w14:textId="77777777" w:rsidR="0037398A" w:rsidRPr="007528E0" w:rsidRDefault="0037398A" w:rsidP="0037398A">
      <w:pPr>
        <w:widowControl w:val="0"/>
        <w:autoSpaceDE w:val="0"/>
        <w:autoSpaceDN w:val="0"/>
        <w:adjustRightInd w:val="0"/>
        <w:spacing w:before="100" w:beforeAutospacing="1" w:after="100" w:afterAutospacing="1"/>
        <w:ind w:left="640" w:hanging="640"/>
        <w:rPr>
          <w:rFonts w:cs="Arial"/>
          <w:noProof/>
          <w:sz w:val="22"/>
          <w:szCs w:val="22"/>
        </w:rPr>
      </w:pPr>
      <w:r w:rsidRPr="007528E0">
        <w:rPr>
          <w:rFonts w:cs="Arial"/>
          <w:noProof/>
          <w:sz w:val="22"/>
          <w:szCs w:val="22"/>
          <w:lang w:val="en-US"/>
        </w:rPr>
        <w:t xml:space="preserve">2. </w:t>
      </w:r>
      <w:r w:rsidRPr="007528E0">
        <w:rPr>
          <w:rFonts w:cs="Arial"/>
          <w:noProof/>
          <w:sz w:val="22"/>
          <w:szCs w:val="22"/>
          <w:lang w:val="en-US"/>
        </w:rPr>
        <w:tab/>
        <w:t xml:space="preserve">Repetto R, Baliga SS. Pesticides and the immune system: the public healt risks. </w:t>
      </w:r>
      <w:r w:rsidRPr="007528E0">
        <w:rPr>
          <w:rFonts w:cs="Arial"/>
          <w:noProof/>
          <w:sz w:val="22"/>
          <w:szCs w:val="22"/>
        </w:rPr>
        <w:t xml:space="preserve">1996. 109 p. </w:t>
      </w:r>
    </w:p>
    <w:p w14:paraId="34A0E6BA" w14:textId="77777777" w:rsidR="0037398A" w:rsidRPr="007528E0" w:rsidRDefault="0037398A" w:rsidP="0037398A">
      <w:pPr>
        <w:widowControl w:val="0"/>
        <w:autoSpaceDE w:val="0"/>
        <w:autoSpaceDN w:val="0"/>
        <w:adjustRightInd w:val="0"/>
        <w:spacing w:before="100" w:beforeAutospacing="1" w:after="100" w:afterAutospacing="1"/>
        <w:ind w:left="640" w:hanging="640"/>
        <w:rPr>
          <w:rFonts w:cs="Arial"/>
          <w:noProof/>
          <w:sz w:val="22"/>
          <w:szCs w:val="22"/>
        </w:rPr>
      </w:pPr>
      <w:r w:rsidRPr="007528E0">
        <w:rPr>
          <w:rFonts w:cs="Arial"/>
          <w:noProof/>
          <w:sz w:val="22"/>
          <w:szCs w:val="22"/>
        </w:rPr>
        <w:t xml:space="preserve">3. </w:t>
      </w:r>
      <w:r w:rsidRPr="007528E0">
        <w:rPr>
          <w:rFonts w:cs="Arial"/>
          <w:noProof/>
          <w:sz w:val="22"/>
          <w:szCs w:val="22"/>
        </w:rPr>
        <w:tab/>
        <w:t xml:space="preserve">Wirtz, V., A. Dreser  and RL. El debate sobre la automedicación. Salud Pública Méx. 2009;3(51):79–180. </w:t>
      </w:r>
    </w:p>
    <w:p w14:paraId="1BC03B6C" w14:textId="77777777" w:rsidR="0037398A" w:rsidRPr="007528E0" w:rsidRDefault="0037398A" w:rsidP="0037398A">
      <w:pPr>
        <w:widowControl w:val="0"/>
        <w:autoSpaceDE w:val="0"/>
        <w:autoSpaceDN w:val="0"/>
        <w:adjustRightInd w:val="0"/>
        <w:spacing w:before="100" w:beforeAutospacing="1" w:after="100" w:afterAutospacing="1"/>
        <w:ind w:left="640" w:hanging="640"/>
        <w:rPr>
          <w:rFonts w:cs="Arial"/>
          <w:noProof/>
          <w:sz w:val="22"/>
          <w:szCs w:val="22"/>
        </w:rPr>
      </w:pPr>
      <w:r w:rsidRPr="007528E0">
        <w:rPr>
          <w:rFonts w:cs="Arial"/>
          <w:noProof/>
          <w:sz w:val="22"/>
          <w:szCs w:val="22"/>
        </w:rPr>
        <w:t xml:space="preserve">4. </w:t>
      </w:r>
      <w:r w:rsidRPr="007528E0">
        <w:rPr>
          <w:rFonts w:cs="Arial"/>
          <w:noProof/>
          <w:sz w:val="22"/>
          <w:szCs w:val="22"/>
        </w:rPr>
        <w:tab/>
        <w:t xml:space="preserve">Ministerio de la Protección Social M. Decreto 1686 de 2012. Por el cual se establece el reglamento técnico sobre los requisitos sanitarios que se deben cumplir para la fabricación, elaboración, hidratación, envase, almacenamiento, distribución, transporte, comercialización, expendio, exportac. 2012. </w:t>
      </w:r>
    </w:p>
    <w:p w14:paraId="38B46D82" w14:textId="77777777" w:rsidR="0037398A" w:rsidRPr="007528E0" w:rsidRDefault="0037398A" w:rsidP="0037398A">
      <w:pPr>
        <w:widowControl w:val="0"/>
        <w:autoSpaceDE w:val="0"/>
        <w:autoSpaceDN w:val="0"/>
        <w:adjustRightInd w:val="0"/>
        <w:spacing w:before="100" w:beforeAutospacing="1" w:after="100" w:afterAutospacing="1"/>
        <w:ind w:left="640" w:hanging="640"/>
        <w:rPr>
          <w:rFonts w:cs="Arial"/>
          <w:noProof/>
          <w:sz w:val="22"/>
          <w:szCs w:val="22"/>
        </w:rPr>
      </w:pPr>
      <w:r w:rsidRPr="007528E0">
        <w:rPr>
          <w:rFonts w:cs="Arial"/>
          <w:noProof/>
          <w:sz w:val="22"/>
          <w:szCs w:val="22"/>
        </w:rPr>
        <w:t xml:space="preserve">5. </w:t>
      </w:r>
      <w:r w:rsidRPr="007528E0">
        <w:rPr>
          <w:rFonts w:cs="Arial"/>
          <w:noProof/>
          <w:sz w:val="22"/>
          <w:szCs w:val="22"/>
        </w:rPr>
        <w:tab/>
        <w:t xml:space="preserve">Aristizábal, H.J., A.L. Peña  et al. Diagnóstico clínico del paciente intoxicado, in Toxicología clínica. </w:t>
      </w:r>
    </w:p>
    <w:p w14:paraId="7CD9F4CE" w14:textId="77777777" w:rsidR="0037398A" w:rsidRPr="007528E0" w:rsidRDefault="0037398A" w:rsidP="0037398A">
      <w:pPr>
        <w:widowControl w:val="0"/>
        <w:autoSpaceDE w:val="0"/>
        <w:autoSpaceDN w:val="0"/>
        <w:adjustRightInd w:val="0"/>
        <w:spacing w:before="100" w:beforeAutospacing="1" w:after="100" w:afterAutospacing="1"/>
        <w:ind w:left="640" w:hanging="640"/>
        <w:rPr>
          <w:rFonts w:cs="Arial"/>
          <w:noProof/>
          <w:sz w:val="22"/>
          <w:szCs w:val="22"/>
          <w:lang w:val="en-US"/>
        </w:rPr>
      </w:pPr>
      <w:r w:rsidRPr="007528E0">
        <w:rPr>
          <w:rFonts w:cs="Arial"/>
          <w:noProof/>
          <w:sz w:val="22"/>
          <w:szCs w:val="22"/>
        </w:rPr>
        <w:t xml:space="preserve">6. </w:t>
      </w:r>
      <w:r w:rsidRPr="007528E0">
        <w:rPr>
          <w:rFonts w:cs="Arial"/>
          <w:noProof/>
          <w:sz w:val="22"/>
          <w:szCs w:val="22"/>
        </w:rPr>
        <w:tab/>
        <w:t xml:space="preserve">Lorenzo Fernández, P. et al. Drogodependencias. 3th ed. Madrid, España Panam. </w:t>
      </w:r>
      <w:r w:rsidRPr="007528E0">
        <w:rPr>
          <w:rFonts w:cs="Arial"/>
          <w:noProof/>
          <w:sz w:val="22"/>
          <w:szCs w:val="22"/>
          <w:lang w:val="en-US"/>
        </w:rPr>
        <w:t xml:space="preserve">2009; </w:t>
      </w:r>
    </w:p>
    <w:p w14:paraId="50918835" w14:textId="77777777" w:rsidR="0037398A" w:rsidRPr="007528E0" w:rsidRDefault="0037398A" w:rsidP="0037398A">
      <w:pPr>
        <w:widowControl w:val="0"/>
        <w:autoSpaceDE w:val="0"/>
        <w:autoSpaceDN w:val="0"/>
        <w:adjustRightInd w:val="0"/>
        <w:spacing w:before="100" w:beforeAutospacing="1" w:after="100" w:afterAutospacing="1"/>
        <w:ind w:left="640" w:hanging="640"/>
        <w:rPr>
          <w:rFonts w:cs="Arial"/>
          <w:noProof/>
          <w:sz w:val="22"/>
          <w:szCs w:val="22"/>
          <w:lang w:val="en-US"/>
        </w:rPr>
      </w:pPr>
      <w:r w:rsidRPr="007528E0">
        <w:rPr>
          <w:rFonts w:cs="Arial"/>
          <w:noProof/>
          <w:sz w:val="22"/>
          <w:szCs w:val="22"/>
          <w:lang w:val="en-US"/>
        </w:rPr>
        <w:t xml:space="preserve">7. </w:t>
      </w:r>
      <w:r w:rsidRPr="007528E0">
        <w:rPr>
          <w:rFonts w:cs="Arial"/>
          <w:noProof/>
          <w:sz w:val="22"/>
          <w:szCs w:val="22"/>
          <w:lang w:val="en-US"/>
        </w:rPr>
        <w:tab/>
        <w:t xml:space="preserve">Babor, T.  et al. Lexicon of alcohol and drug terms World Health Organization. 1994. </w:t>
      </w:r>
    </w:p>
    <w:p w14:paraId="7A233F61" w14:textId="77777777" w:rsidR="0037398A" w:rsidRPr="007528E0" w:rsidRDefault="0037398A" w:rsidP="0037398A">
      <w:pPr>
        <w:widowControl w:val="0"/>
        <w:autoSpaceDE w:val="0"/>
        <w:autoSpaceDN w:val="0"/>
        <w:adjustRightInd w:val="0"/>
        <w:spacing w:before="100" w:beforeAutospacing="1" w:after="100" w:afterAutospacing="1"/>
        <w:ind w:left="640" w:hanging="640"/>
        <w:rPr>
          <w:rFonts w:cs="Arial"/>
          <w:noProof/>
          <w:sz w:val="22"/>
          <w:szCs w:val="22"/>
        </w:rPr>
      </w:pPr>
      <w:r w:rsidRPr="007528E0">
        <w:rPr>
          <w:rFonts w:cs="Arial"/>
          <w:noProof/>
          <w:sz w:val="22"/>
          <w:szCs w:val="22"/>
          <w:lang w:val="en-US"/>
        </w:rPr>
        <w:t xml:space="preserve">8. </w:t>
      </w:r>
      <w:r w:rsidRPr="007528E0">
        <w:rPr>
          <w:rFonts w:cs="Arial"/>
          <w:noProof/>
          <w:sz w:val="22"/>
          <w:szCs w:val="22"/>
          <w:lang w:val="en-US"/>
        </w:rPr>
        <w:tab/>
        <w:t xml:space="preserve">World Health Organization, UNEP United Nations Environment Programme II-OP </w:t>
      </w:r>
      <w:r w:rsidRPr="007528E0">
        <w:rPr>
          <w:rFonts w:cs="Arial"/>
          <w:noProof/>
          <w:sz w:val="22"/>
          <w:szCs w:val="22"/>
          <w:lang w:val="en-US"/>
        </w:rPr>
        <w:lastRenderedPageBreak/>
        <w:t xml:space="preserve">for the SM of C. Guidance for identifying populations at risk from mercury exposure. </w:t>
      </w:r>
      <w:r w:rsidRPr="007528E0">
        <w:rPr>
          <w:rFonts w:cs="Arial"/>
          <w:noProof/>
          <w:sz w:val="22"/>
          <w:szCs w:val="22"/>
        </w:rPr>
        <w:t xml:space="preserve">2008. </w:t>
      </w:r>
    </w:p>
    <w:p w14:paraId="35435C2F" w14:textId="77777777" w:rsidR="0037398A" w:rsidRPr="007528E0" w:rsidRDefault="0037398A" w:rsidP="0037398A">
      <w:pPr>
        <w:widowControl w:val="0"/>
        <w:autoSpaceDE w:val="0"/>
        <w:autoSpaceDN w:val="0"/>
        <w:adjustRightInd w:val="0"/>
        <w:spacing w:before="100" w:beforeAutospacing="1" w:after="100" w:afterAutospacing="1"/>
        <w:ind w:left="640" w:hanging="640"/>
        <w:rPr>
          <w:rFonts w:cs="Arial"/>
          <w:noProof/>
          <w:sz w:val="22"/>
          <w:szCs w:val="22"/>
          <w:lang w:val="en-US"/>
        </w:rPr>
      </w:pPr>
      <w:r w:rsidRPr="007528E0">
        <w:rPr>
          <w:rFonts w:cs="Arial"/>
          <w:noProof/>
          <w:sz w:val="22"/>
          <w:szCs w:val="22"/>
        </w:rPr>
        <w:t xml:space="preserve">9. </w:t>
      </w:r>
      <w:r w:rsidRPr="007528E0">
        <w:rPr>
          <w:rFonts w:cs="Arial"/>
          <w:noProof/>
          <w:sz w:val="22"/>
          <w:szCs w:val="22"/>
        </w:rPr>
        <w:tab/>
        <w:t xml:space="preserve">Alimentos IN de V de M y. esolución 243630. Mediante la cual se acogen unos conceptos. </w:t>
      </w:r>
      <w:r w:rsidRPr="007528E0">
        <w:rPr>
          <w:rFonts w:cs="Arial"/>
          <w:noProof/>
          <w:sz w:val="22"/>
          <w:szCs w:val="22"/>
          <w:lang w:val="en-US"/>
        </w:rPr>
        <w:t xml:space="preserve">1999. </w:t>
      </w:r>
    </w:p>
    <w:p w14:paraId="743438EF" w14:textId="77777777" w:rsidR="0037398A" w:rsidRPr="007528E0" w:rsidRDefault="0037398A" w:rsidP="0037398A">
      <w:pPr>
        <w:widowControl w:val="0"/>
        <w:autoSpaceDE w:val="0"/>
        <w:autoSpaceDN w:val="0"/>
        <w:adjustRightInd w:val="0"/>
        <w:spacing w:before="100" w:beforeAutospacing="1" w:after="100" w:afterAutospacing="1"/>
        <w:ind w:left="640" w:hanging="640"/>
        <w:rPr>
          <w:rFonts w:cs="Arial"/>
          <w:noProof/>
          <w:sz w:val="22"/>
          <w:szCs w:val="22"/>
          <w:lang w:val="en-US"/>
        </w:rPr>
      </w:pPr>
      <w:r w:rsidRPr="007528E0">
        <w:rPr>
          <w:rFonts w:cs="Arial"/>
          <w:noProof/>
          <w:sz w:val="22"/>
          <w:szCs w:val="22"/>
          <w:lang w:val="en-US"/>
        </w:rPr>
        <w:t xml:space="preserve">10. </w:t>
      </w:r>
      <w:r w:rsidRPr="007528E0">
        <w:rPr>
          <w:rFonts w:cs="Arial"/>
          <w:noProof/>
          <w:sz w:val="22"/>
          <w:szCs w:val="22"/>
          <w:lang w:val="en-US"/>
        </w:rPr>
        <w:tab/>
        <w:t xml:space="preserve">ODCCP UNO for DC and CPG. Studies on Drugs and Crime. A Glossary of terms. New York. 2000. </w:t>
      </w:r>
    </w:p>
    <w:p w14:paraId="12791C11" w14:textId="77777777" w:rsidR="0037398A" w:rsidRPr="007528E0" w:rsidRDefault="0037398A" w:rsidP="0037398A">
      <w:pPr>
        <w:widowControl w:val="0"/>
        <w:autoSpaceDE w:val="0"/>
        <w:autoSpaceDN w:val="0"/>
        <w:adjustRightInd w:val="0"/>
        <w:spacing w:before="100" w:beforeAutospacing="1" w:after="100" w:afterAutospacing="1"/>
        <w:ind w:left="640" w:hanging="640"/>
        <w:rPr>
          <w:rFonts w:cs="Arial"/>
          <w:noProof/>
          <w:sz w:val="22"/>
          <w:szCs w:val="22"/>
          <w:lang w:val="en-US"/>
        </w:rPr>
      </w:pPr>
      <w:r w:rsidRPr="007528E0">
        <w:rPr>
          <w:rFonts w:cs="Arial"/>
          <w:noProof/>
          <w:sz w:val="22"/>
          <w:szCs w:val="22"/>
          <w:lang w:val="en-US"/>
        </w:rPr>
        <w:t xml:space="preserve">11. </w:t>
      </w:r>
      <w:r w:rsidRPr="007528E0">
        <w:rPr>
          <w:rFonts w:cs="Arial"/>
          <w:noProof/>
          <w:sz w:val="22"/>
          <w:szCs w:val="22"/>
          <w:lang w:val="en-US"/>
        </w:rPr>
        <w:tab/>
        <w:t xml:space="preserve">Nebeker, J.R., P. Barach  and MHS. Clarifying adverse drug events: a clinician’s guide to terminology, documentation, and reporting. Ann Intern Med. 2004;10(140):795–801. </w:t>
      </w:r>
    </w:p>
    <w:p w14:paraId="4B3679BD" w14:textId="77777777" w:rsidR="0037398A" w:rsidRPr="007528E0" w:rsidRDefault="0037398A" w:rsidP="0037398A">
      <w:pPr>
        <w:widowControl w:val="0"/>
        <w:autoSpaceDE w:val="0"/>
        <w:autoSpaceDN w:val="0"/>
        <w:adjustRightInd w:val="0"/>
        <w:spacing w:before="100" w:beforeAutospacing="1" w:after="100" w:afterAutospacing="1"/>
        <w:ind w:left="640" w:hanging="640"/>
        <w:rPr>
          <w:rFonts w:cs="Arial"/>
          <w:noProof/>
          <w:sz w:val="22"/>
          <w:szCs w:val="22"/>
          <w:lang w:val="en-US"/>
        </w:rPr>
      </w:pPr>
      <w:r w:rsidRPr="007528E0">
        <w:rPr>
          <w:rFonts w:cs="Arial"/>
          <w:noProof/>
          <w:sz w:val="22"/>
          <w:szCs w:val="22"/>
          <w:lang w:val="en-US"/>
        </w:rPr>
        <w:t xml:space="preserve">12. </w:t>
      </w:r>
      <w:r w:rsidRPr="007528E0">
        <w:rPr>
          <w:rFonts w:cs="Arial"/>
          <w:noProof/>
          <w:sz w:val="22"/>
          <w:szCs w:val="22"/>
          <w:lang w:val="en-US"/>
        </w:rPr>
        <w:tab/>
        <w:t xml:space="preserve">International Conference on Harmonisation. Post approval safety data management: Definitions and standars for expedited reporting E2D. 2003. </w:t>
      </w:r>
    </w:p>
    <w:p w14:paraId="03E91F08" w14:textId="77777777" w:rsidR="0037398A" w:rsidRPr="007528E0" w:rsidRDefault="0037398A" w:rsidP="0037398A">
      <w:pPr>
        <w:widowControl w:val="0"/>
        <w:autoSpaceDE w:val="0"/>
        <w:autoSpaceDN w:val="0"/>
        <w:adjustRightInd w:val="0"/>
        <w:spacing w:before="100" w:beforeAutospacing="1" w:after="100" w:afterAutospacing="1"/>
        <w:ind w:left="640" w:hanging="640"/>
        <w:rPr>
          <w:rFonts w:cs="Arial"/>
          <w:noProof/>
          <w:sz w:val="22"/>
          <w:szCs w:val="22"/>
        </w:rPr>
      </w:pPr>
      <w:r w:rsidRPr="007528E0">
        <w:rPr>
          <w:rFonts w:cs="Arial"/>
          <w:noProof/>
          <w:sz w:val="22"/>
          <w:szCs w:val="22"/>
        </w:rPr>
        <w:t xml:space="preserve">13. </w:t>
      </w:r>
      <w:r w:rsidRPr="007528E0">
        <w:rPr>
          <w:rFonts w:cs="Arial"/>
          <w:noProof/>
          <w:sz w:val="22"/>
          <w:szCs w:val="22"/>
        </w:rPr>
        <w:tab/>
        <w:t xml:space="preserve">Colombia. M de S. Decreto 677. Por el cual se reglamenta parcialmente el Régimen de Registros y Licencias, el Control de Calidad, así como el Régimen de Vigilancia Sanitaria de Medicamentos, Cosméticos, Preparaciones Farmacéuticas a base de Recursos Naturales, Productos de. 1995. </w:t>
      </w:r>
    </w:p>
    <w:p w14:paraId="21582171" w14:textId="77777777" w:rsidR="0037398A" w:rsidRPr="007528E0" w:rsidRDefault="0037398A" w:rsidP="0037398A">
      <w:pPr>
        <w:widowControl w:val="0"/>
        <w:autoSpaceDE w:val="0"/>
        <w:autoSpaceDN w:val="0"/>
        <w:adjustRightInd w:val="0"/>
        <w:spacing w:before="100" w:beforeAutospacing="1" w:after="100" w:afterAutospacing="1"/>
        <w:ind w:left="640" w:hanging="640"/>
        <w:rPr>
          <w:rFonts w:cs="Arial"/>
          <w:noProof/>
          <w:sz w:val="22"/>
          <w:szCs w:val="22"/>
          <w:lang w:val="en-US"/>
        </w:rPr>
      </w:pPr>
      <w:r w:rsidRPr="007528E0">
        <w:rPr>
          <w:rFonts w:cs="Arial"/>
          <w:noProof/>
          <w:sz w:val="22"/>
          <w:szCs w:val="22"/>
        </w:rPr>
        <w:t xml:space="preserve">14. </w:t>
      </w:r>
      <w:r w:rsidRPr="007528E0">
        <w:rPr>
          <w:rFonts w:cs="Arial"/>
          <w:noProof/>
          <w:sz w:val="22"/>
          <w:szCs w:val="22"/>
        </w:rPr>
        <w:tab/>
        <w:t xml:space="preserve">Ministerio de Salud y Protección Social, Universidad Nacional de Colombia CDI y AT. Guías para el manejo de Urgencias Toxicológicas [Internet]. 2008 [cited 2017 Jun 5]. </w:t>
      </w:r>
      <w:r w:rsidRPr="007528E0">
        <w:rPr>
          <w:rFonts w:cs="Arial"/>
          <w:noProof/>
          <w:sz w:val="22"/>
          <w:szCs w:val="22"/>
          <w:lang w:val="en-US"/>
        </w:rPr>
        <w:t>Available from: https://www.minsalud.gov.co/sites/rid/Lists/BibliotecaDigital/RIDE/DE/GT/Guia-manejo-urgencias-toxicologicas.pdf</w:t>
      </w:r>
    </w:p>
    <w:p w14:paraId="4D07B3FB" w14:textId="77777777" w:rsidR="0037398A" w:rsidRPr="007528E0" w:rsidRDefault="0037398A" w:rsidP="0037398A">
      <w:pPr>
        <w:widowControl w:val="0"/>
        <w:autoSpaceDE w:val="0"/>
        <w:autoSpaceDN w:val="0"/>
        <w:adjustRightInd w:val="0"/>
        <w:spacing w:before="100" w:beforeAutospacing="1" w:after="100" w:afterAutospacing="1"/>
        <w:ind w:left="640" w:hanging="640"/>
        <w:rPr>
          <w:rFonts w:cs="Arial"/>
          <w:noProof/>
          <w:sz w:val="22"/>
          <w:szCs w:val="22"/>
        </w:rPr>
      </w:pPr>
      <w:r w:rsidRPr="007528E0">
        <w:rPr>
          <w:rFonts w:cs="Arial"/>
          <w:noProof/>
          <w:sz w:val="22"/>
          <w:szCs w:val="22"/>
        </w:rPr>
        <w:t xml:space="preserve">15. </w:t>
      </w:r>
      <w:r w:rsidRPr="007528E0">
        <w:rPr>
          <w:rFonts w:cs="Arial"/>
          <w:noProof/>
          <w:sz w:val="22"/>
          <w:szCs w:val="22"/>
        </w:rPr>
        <w:tab/>
        <w:t xml:space="preserve">Ministerio de la Protección Social. Decreto 3554 de 2004. “Regula el régimen de registro sanitario, vigilancia y control sanitario de los medicamentos homeopáticos para uso humano y se dictan otras disposiciones”. . 20043. </w:t>
      </w:r>
    </w:p>
    <w:p w14:paraId="3B908C69" w14:textId="77777777" w:rsidR="0037398A" w:rsidRPr="007528E0" w:rsidRDefault="0037398A" w:rsidP="0037398A">
      <w:pPr>
        <w:widowControl w:val="0"/>
        <w:autoSpaceDE w:val="0"/>
        <w:autoSpaceDN w:val="0"/>
        <w:adjustRightInd w:val="0"/>
        <w:spacing w:before="100" w:beforeAutospacing="1" w:after="100" w:afterAutospacing="1"/>
        <w:ind w:left="640" w:hanging="640"/>
        <w:rPr>
          <w:rFonts w:cs="Arial"/>
          <w:noProof/>
          <w:sz w:val="22"/>
          <w:szCs w:val="22"/>
        </w:rPr>
      </w:pPr>
      <w:r w:rsidRPr="007528E0">
        <w:rPr>
          <w:rFonts w:cs="Arial"/>
          <w:noProof/>
          <w:sz w:val="22"/>
          <w:szCs w:val="22"/>
        </w:rPr>
        <w:t xml:space="preserve">16. </w:t>
      </w:r>
      <w:r w:rsidRPr="007528E0">
        <w:rPr>
          <w:rFonts w:cs="Arial"/>
          <w:noProof/>
          <w:sz w:val="22"/>
          <w:szCs w:val="22"/>
        </w:rPr>
        <w:tab/>
        <w:t xml:space="preserve">Ministerio de la Protección Social. Colombia. Decreto 1861. Por el cual se modifica y adiciona el Decreto 3554 de 2004. 2006. </w:t>
      </w:r>
    </w:p>
    <w:p w14:paraId="33676506" w14:textId="77777777" w:rsidR="0037398A" w:rsidRPr="007528E0" w:rsidRDefault="0037398A" w:rsidP="0037398A">
      <w:pPr>
        <w:widowControl w:val="0"/>
        <w:autoSpaceDE w:val="0"/>
        <w:autoSpaceDN w:val="0"/>
        <w:adjustRightInd w:val="0"/>
        <w:spacing w:before="100" w:beforeAutospacing="1" w:after="100" w:afterAutospacing="1"/>
        <w:ind w:left="640" w:hanging="640"/>
        <w:rPr>
          <w:rFonts w:cs="Arial"/>
          <w:noProof/>
          <w:sz w:val="22"/>
          <w:szCs w:val="22"/>
        </w:rPr>
      </w:pPr>
      <w:r w:rsidRPr="007528E0">
        <w:rPr>
          <w:rFonts w:cs="Arial"/>
          <w:noProof/>
          <w:sz w:val="22"/>
          <w:szCs w:val="22"/>
        </w:rPr>
        <w:t xml:space="preserve">17. </w:t>
      </w:r>
      <w:r w:rsidRPr="007528E0">
        <w:rPr>
          <w:rFonts w:cs="Arial"/>
          <w:noProof/>
          <w:sz w:val="22"/>
          <w:szCs w:val="22"/>
        </w:rPr>
        <w:tab/>
        <w:t xml:space="preserve">Rural. M de A y D. Resolución 00074. Establece el reglamento para la producción primaria, procesamiento, empacado, etiquetado, almacenamiento, certificación, importación y comercialización de productos agropecuarios. 2002. </w:t>
      </w:r>
    </w:p>
    <w:p w14:paraId="209B5898" w14:textId="77777777" w:rsidR="0037398A" w:rsidRPr="007528E0" w:rsidRDefault="0037398A" w:rsidP="0037398A">
      <w:pPr>
        <w:widowControl w:val="0"/>
        <w:autoSpaceDE w:val="0"/>
        <w:autoSpaceDN w:val="0"/>
        <w:adjustRightInd w:val="0"/>
        <w:spacing w:before="100" w:beforeAutospacing="1" w:after="100" w:afterAutospacing="1"/>
        <w:ind w:left="640" w:hanging="640"/>
        <w:rPr>
          <w:rFonts w:cs="Arial"/>
          <w:noProof/>
          <w:sz w:val="22"/>
          <w:szCs w:val="22"/>
        </w:rPr>
      </w:pPr>
      <w:r w:rsidRPr="007528E0">
        <w:rPr>
          <w:rFonts w:cs="Arial"/>
          <w:noProof/>
          <w:sz w:val="22"/>
          <w:szCs w:val="22"/>
        </w:rPr>
        <w:t xml:space="preserve">18. </w:t>
      </w:r>
      <w:r w:rsidRPr="007528E0">
        <w:rPr>
          <w:rFonts w:cs="Arial"/>
          <w:noProof/>
          <w:sz w:val="22"/>
          <w:szCs w:val="22"/>
        </w:rPr>
        <w:tab/>
        <w:t xml:space="preserve">Guevara, H.A., P.E. Luengas  and GG. Revisión documental de los productos naturales legalmente autorizados para su mercadeo en Colombia. Colomb Médica,. 2010;2(41):129–40. </w:t>
      </w:r>
    </w:p>
    <w:p w14:paraId="02A288A7" w14:textId="77777777" w:rsidR="0037398A" w:rsidRPr="007528E0" w:rsidRDefault="0037398A" w:rsidP="0037398A">
      <w:pPr>
        <w:widowControl w:val="0"/>
        <w:autoSpaceDE w:val="0"/>
        <w:autoSpaceDN w:val="0"/>
        <w:adjustRightInd w:val="0"/>
        <w:spacing w:before="100" w:beforeAutospacing="1" w:after="100" w:afterAutospacing="1"/>
        <w:ind w:left="640" w:hanging="640"/>
        <w:rPr>
          <w:rFonts w:cs="Arial"/>
          <w:noProof/>
          <w:sz w:val="22"/>
          <w:szCs w:val="22"/>
        </w:rPr>
      </w:pPr>
      <w:r w:rsidRPr="007528E0">
        <w:rPr>
          <w:rFonts w:cs="Arial"/>
          <w:noProof/>
          <w:sz w:val="22"/>
          <w:szCs w:val="22"/>
        </w:rPr>
        <w:lastRenderedPageBreak/>
        <w:t xml:space="preserve">19. </w:t>
      </w:r>
      <w:r w:rsidRPr="007528E0">
        <w:rPr>
          <w:rFonts w:cs="Arial"/>
          <w:noProof/>
          <w:sz w:val="22"/>
          <w:szCs w:val="22"/>
        </w:rPr>
        <w:tab/>
        <w:t xml:space="preserve">Ministerio de la Protección Social. Decreto 2266 de 2004. Reglamentación del régimen de registros sanitarios y de vigilancia y control sanitario y publicidad de productos fitoterapéuticos. 2004. </w:t>
      </w:r>
    </w:p>
    <w:p w14:paraId="30612272" w14:textId="77777777" w:rsidR="0037398A" w:rsidRPr="007528E0" w:rsidRDefault="0037398A" w:rsidP="0037398A">
      <w:pPr>
        <w:widowControl w:val="0"/>
        <w:autoSpaceDE w:val="0"/>
        <w:autoSpaceDN w:val="0"/>
        <w:adjustRightInd w:val="0"/>
        <w:spacing w:before="100" w:beforeAutospacing="1" w:after="100" w:afterAutospacing="1"/>
        <w:ind w:left="640" w:hanging="640"/>
        <w:rPr>
          <w:rFonts w:cs="Arial"/>
          <w:noProof/>
          <w:sz w:val="22"/>
          <w:szCs w:val="22"/>
          <w:lang w:val="en-US"/>
        </w:rPr>
      </w:pPr>
      <w:r w:rsidRPr="007528E0">
        <w:rPr>
          <w:rFonts w:cs="Arial"/>
          <w:noProof/>
          <w:sz w:val="22"/>
          <w:szCs w:val="22"/>
        </w:rPr>
        <w:t xml:space="preserve">20. </w:t>
      </w:r>
      <w:r w:rsidRPr="007528E0">
        <w:rPr>
          <w:rFonts w:cs="Arial"/>
          <w:noProof/>
          <w:sz w:val="22"/>
          <w:szCs w:val="22"/>
        </w:rPr>
        <w:tab/>
        <w:t xml:space="preserve">Ministerio de la Protección Social. Colombia. Decreto 3249. Reglamenta la fabricación, comercialización, envase, rotulado o etiquetado, régimen de registro sanitario, de control de calidad, de vigilancia sanitaria y control sanitario de los suplementos dietarios. </w:t>
      </w:r>
      <w:r w:rsidRPr="007528E0">
        <w:rPr>
          <w:rFonts w:cs="Arial"/>
          <w:noProof/>
          <w:sz w:val="22"/>
          <w:szCs w:val="22"/>
          <w:lang w:val="en-US"/>
        </w:rPr>
        <w:t xml:space="preserve">2006. </w:t>
      </w:r>
    </w:p>
    <w:p w14:paraId="1973369A" w14:textId="77777777" w:rsidR="0037398A" w:rsidRPr="007528E0" w:rsidRDefault="0037398A" w:rsidP="0037398A">
      <w:pPr>
        <w:widowControl w:val="0"/>
        <w:autoSpaceDE w:val="0"/>
        <w:autoSpaceDN w:val="0"/>
        <w:adjustRightInd w:val="0"/>
        <w:spacing w:before="100" w:beforeAutospacing="1" w:after="100" w:afterAutospacing="1"/>
        <w:ind w:left="640" w:hanging="640"/>
        <w:rPr>
          <w:rFonts w:cs="Arial"/>
          <w:noProof/>
          <w:sz w:val="22"/>
          <w:szCs w:val="22"/>
        </w:rPr>
      </w:pPr>
      <w:r w:rsidRPr="007528E0">
        <w:rPr>
          <w:rFonts w:cs="Arial"/>
          <w:noProof/>
          <w:sz w:val="22"/>
          <w:szCs w:val="22"/>
          <w:lang w:val="en-US"/>
        </w:rPr>
        <w:t xml:space="preserve">21. </w:t>
      </w:r>
      <w:r w:rsidRPr="007528E0">
        <w:rPr>
          <w:rFonts w:cs="Arial"/>
          <w:noProof/>
          <w:sz w:val="22"/>
          <w:szCs w:val="22"/>
          <w:lang w:val="en-US"/>
        </w:rPr>
        <w:tab/>
        <w:t xml:space="preserve">Mofenson, H.C., J. Greensher  and TRC. Ingestions considered nontoxic. </w:t>
      </w:r>
      <w:r w:rsidRPr="007528E0">
        <w:rPr>
          <w:rFonts w:cs="Arial"/>
          <w:noProof/>
          <w:sz w:val="22"/>
          <w:szCs w:val="22"/>
        </w:rPr>
        <w:t xml:space="preserve">Emerg Med Clin North Am. 1984;2(1):159–74. </w:t>
      </w:r>
    </w:p>
    <w:p w14:paraId="74026B7D" w14:textId="77777777" w:rsidR="0037398A" w:rsidRPr="007528E0" w:rsidRDefault="0037398A" w:rsidP="0037398A">
      <w:pPr>
        <w:widowControl w:val="0"/>
        <w:autoSpaceDE w:val="0"/>
        <w:autoSpaceDN w:val="0"/>
        <w:adjustRightInd w:val="0"/>
        <w:spacing w:before="100" w:beforeAutospacing="1" w:after="100" w:afterAutospacing="1"/>
        <w:ind w:left="640" w:hanging="640"/>
        <w:rPr>
          <w:rFonts w:cs="Arial"/>
          <w:noProof/>
          <w:sz w:val="22"/>
          <w:szCs w:val="22"/>
        </w:rPr>
      </w:pPr>
      <w:r w:rsidRPr="007528E0">
        <w:rPr>
          <w:rFonts w:cs="Arial"/>
          <w:noProof/>
          <w:sz w:val="22"/>
          <w:szCs w:val="22"/>
        </w:rPr>
        <w:t xml:space="preserve">22. </w:t>
      </w:r>
      <w:r w:rsidRPr="007528E0">
        <w:rPr>
          <w:rFonts w:cs="Arial"/>
          <w:noProof/>
          <w:sz w:val="22"/>
          <w:szCs w:val="22"/>
        </w:rPr>
        <w:tab/>
        <w:t xml:space="preserve">Adriana Zamora Suarez M. Intoxicaciones en la practica clinica. Distribuna E, editor. 2014. 3-5 p. </w:t>
      </w:r>
    </w:p>
    <w:p w14:paraId="1BE2876F" w14:textId="77777777" w:rsidR="0037398A" w:rsidRPr="007528E0" w:rsidRDefault="0037398A" w:rsidP="0037398A">
      <w:pPr>
        <w:widowControl w:val="0"/>
        <w:autoSpaceDE w:val="0"/>
        <w:autoSpaceDN w:val="0"/>
        <w:adjustRightInd w:val="0"/>
        <w:spacing w:before="100" w:beforeAutospacing="1" w:after="100" w:afterAutospacing="1"/>
        <w:ind w:left="640" w:hanging="640"/>
        <w:rPr>
          <w:rFonts w:cs="Arial"/>
          <w:noProof/>
          <w:sz w:val="22"/>
          <w:szCs w:val="22"/>
        </w:rPr>
      </w:pPr>
      <w:r w:rsidRPr="007528E0">
        <w:rPr>
          <w:rFonts w:cs="Arial"/>
          <w:noProof/>
          <w:sz w:val="22"/>
          <w:szCs w:val="22"/>
        </w:rPr>
        <w:t xml:space="preserve">23. </w:t>
      </w:r>
      <w:r w:rsidRPr="007528E0">
        <w:rPr>
          <w:rFonts w:cs="Arial"/>
          <w:noProof/>
          <w:sz w:val="22"/>
          <w:szCs w:val="22"/>
        </w:rPr>
        <w:tab/>
        <w:t xml:space="preserve">Eum S, Lee A M BJR. </w:t>
      </w:r>
      <w:r w:rsidRPr="007528E0">
        <w:rPr>
          <w:rFonts w:cs="Arial"/>
          <w:noProof/>
          <w:sz w:val="22"/>
          <w:szCs w:val="22"/>
          <w:lang w:val="en-US"/>
        </w:rPr>
        <w:t xml:space="preserve">Pharmacogenetic tests for antipsychotic medications: clinical implications and considerations, 2016,. </w:t>
      </w:r>
      <w:r w:rsidRPr="007528E0">
        <w:rPr>
          <w:rFonts w:cs="Arial"/>
          <w:noProof/>
          <w:sz w:val="22"/>
          <w:szCs w:val="22"/>
        </w:rPr>
        <w:t xml:space="preserve">Dialogues Clin Neurosci. 2016;18(3). </w:t>
      </w:r>
    </w:p>
    <w:p w14:paraId="5C726BE3" w14:textId="77777777" w:rsidR="0037398A" w:rsidRPr="007528E0" w:rsidRDefault="0037398A" w:rsidP="0037398A">
      <w:pPr>
        <w:widowControl w:val="0"/>
        <w:autoSpaceDE w:val="0"/>
        <w:autoSpaceDN w:val="0"/>
        <w:adjustRightInd w:val="0"/>
        <w:spacing w:before="100" w:beforeAutospacing="1" w:after="100" w:afterAutospacing="1"/>
        <w:ind w:left="640" w:hanging="640"/>
        <w:rPr>
          <w:rFonts w:cs="Arial"/>
          <w:noProof/>
          <w:sz w:val="22"/>
          <w:szCs w:val="22"/>
          <w:lang w:val="en-US"/>
        </w:rPr>
      </w:pPr>
      <w:r w:rsidRPr="007528E0">
        <w:rPr>
          <w:rFonts w:cs="Arial"/>
          <w:noProof/>
          <w:sz w:val="22"/>
          <w:szCs w:val="22"/>
        </w:rPr>
        <w:t xml:space="preserve">24. </w:t>
      </w:r>
      <w:r w:rsidRPr="007528E0">
        <w:rPr>
          <w:rFonts w:cs="Arial"/>
          <w:noProof/>
          <w:sz w:val="22"/>
          <w:szCs w:val="22"/>
        </w:rPr>
        <w:tab/>
        <w:t xml:space="preserve">Pol Yanguas E. Antipsicóticos para la esquizofrenia: paradigma de los medicamentos psiquiátricos,. </w:t>
      </w:r>
      <w:r w:rsidRPr="007528E0">
        <w:rPr>
          <w:rFonts w:cs="Arial"/>
          <w:noProof/>
          <w:sz w:val="22"/>
          <w:szCs w:val="22"/>
          <w:lang w:val="en-US"/>
        </w:rPr>
        <w:t xml:space="preserve">SALUD Colect Buenos Aires. 2015; </w:t>
      </w:r>
    </w:p>
    <w:p w14:paraId="2CA1D701" w14:textId="77777777" w:rsidR="0037398A" w:rsidRPr="007528E0" w:rsidRDefault="0037398A" w:rsidP="0037398A">
      <w:pPr>
        <w:widowControl w:val="0"/>
        <w:autoSpaceDE w:val="0"/>
        <w:autoSpaceDN w:val="0"/>
        <w:adjustRightInd w:val="0"/>
        <w:spacing w:before="100" w:beforeAutospacing="1" w:after="100" w:afterAutospacing="1"/>
        <w:ind w:left="640" w:hanging="640"/>
        <w:rPr>
          <w:rFonts w:cs="Arial"/>
          <w:noProof/>
          <w:sz w:val="22"/>
          <w:szCs w:val="22"/>
        </w:rPr>
      </w:pPr>
      <w:r w:rsidRPr="007528E0">
        <w:rPr>
          <w:rFonts w:cs="Arial"/>
          <w:noProof/>
          <w:sz w:val="22"/>
          <w:szCs w:val="22"/>
          <w:lang w:val="en-US"/>
        </w:rPr>
        <w:t xml:space="preserve">25. </w:t>
      </w:r>
      <w:r w:rsidRPr="007528E0">
        <w:rPr>
          <w:rFonts w:cs="Arial"/>
          <w:noProof/>
          <w:sz w:val="22"/>
          <w:szCs w:val="22"/>
          <w:lang w:val="en-US"/>
        </w:rPr>
        <w:tab/>
        <w:t xml:space="preserve">Mc Graw-Hill. Olson K. Poisoning &amp; Drug Overdose. </w:t>
      </w:r>
      <w:r w:rsidRPr="007528E0">
        <w:rPr>
          <w:rFonts w:cs="Arial"/>
          <w:noProof/>
          <w:sz w:val="22"/>
          <w:szCs w:val="22"/>
        </w:rPr>
        <w:t xml:space="preserve">Quinta Edi. 2006. </w:t>
      </w:r>
    </w:p>
    <w:p w14:paraId="57C21EA6" w14:textId="77777777" w:rsidR="0037398A" w:rsidRPr="007528E0" w:rsidRDefault="0037398A" w:rsidP="0037398A">
      <w:pPr>
        <w:widowControl w:val="0"/>
        <w:autoSpaceDE w:val="0"/>
        <w:autoSpaceDN w:val="0"/>
        <w:adjustRightInd w:val="0"/>
        <w:spacing w:before="100" w:beforeAutospacing="1" w:after="100" w:afterAutospacing="1"/>
        <w:ind w:left="640" w:hanging="640"/>
        <w:rPr>
          <w:rFonts w:cs="Arial"/>
          <w:noProof/>
          <w:sz w:val="22"/>
          <w:szCs w:val="22"/>
          <w:lang w:val="en-US"/>
        </w:rPr>
      </w:pPr>
      <w:r w:rsidRPr="007528E0">
        <w:rPr>
          <w:rFonts w:cs="Arial"/>
          <w:noProof/>
          <w:sz w:val="22"/>
          <w:szCs w:val="22"/>
        </w:rPr>
        <w:t xml:space="preserve">26. </w:t>
      </w:r>
      <w:r w:rsidRPr="007528E0">
        <w:rPr>
          <w:rFonts w:cs="Arial"/>
          <w:noProof/>
          <w:sz w:val="22"/>
          <w:szCs w:val="22"/>
        </w:rPr>
        <w:tab/>
        <w:t xml:space="preserve">Hoffman, R.S., et al. </w:t>
      </w:r>
      <w:r w:rsidRPr="007528E0">
        <w:rPr>
          <w:rFonts w:cs="Arial"/>
          <w:noProof/>
          <w:sz w:val="22"/>
          <w:szCs w:val="22"/>
          <w:lang w:val="en-US"/>
        </w:rPr>
        <w:t xml:space="preserve">Goldfrank´s. Manual of toxicologic emergencies. 2008. McGraw-Hill New York. </w:t>
      </w:r>
    </w:p>
    <w:p w14:paraId="4D1EA59D" w14:textId="77777777" w:rsidR="0037398A" w:rsidRPr="007528E0" w:rsidRDefault="0037398A" w:rsidP="0037398A">
      <w:pPr>
        <w:widowControl w:val="0"/>
        <w:autoSpaceDE w:val="0"/>
        <w:autoSpaceDN w:val="0"/>
        <w:adjustRightInd w:val="0"/>
        <w:spacing w:before="100" w:beforeAutospacing="1" w:after="100" w:afterAutospacing="1"/>
        <w:ind w:left="640" w:hanging="640"/>
        <w:rPr>
          <w:rFonts w:cs="Arial"/>
          <w:noProof/>
          <w:sz w:val="22"/>
          <w:szCs w:val="22"/>
        </w:rPr>
      </w:pPr>
      <w:r w:rsidRPr="007528E0">
        <w:rPr>
          <w:rFonts w:cs="Arial"/>
          <w:noProof/>
          <w:sz w:val="22"/>
          <w:szCs w:val="22"/>
          <w:lang w:val="en-US"/>
        </w:rPr>
        <w:t xml:space="preserve">27. </w:t>
      </w:r>
      <w:r w:rsidRPr="007528E0">
        <w:rPr>
          <w:rFonts w:cs="Arial"/>
          <w:noProof/>
          <w:sz w:val="22"/>
          <w:szCs w:val="22"/>
          <w:lang w:val="en-US"/>
        </w:rPr>
        <w:tab/>
        <w:t xml:space="preserve">Shannon, M.W., S.W. Borron  and MJB. Haddad and Winchester’s clinical management of poisoning and drug overdose, ed. t. Saunders Elsevier. </w:t>
      </w:r>
      <w:r w:rsidRPr="007528E0">
        <w:rPr>
          <w:rFonts w:cs="Arial"/>
          <w:noProof/>
          <w:sz w:val="22"/>
          <w:szCs w:val="22"/>
        </w:rPr>
        <w:t xml:space="preserve">2007;1(1521). </w:t>
      </w:r>
    </w:p>
    <w:p w14:paraId="2BC453AD" w14:textId="77777777" w:rsidR="0037398A" w:rsidRPr="007528E0" w:rsidRDefault="0037398A" w:rsidP="0037398A">
      <w:pPr>
        <w:widowControl w:val="0"/>
        <w:autoSpaceDE w:val="0"/>
        <w:autoSpaceDN w:val="0"/>
        <w:adjustRightInd w:val="0"/>
        <w:spacing w:before="100" w:beforeAutospacing="1" w:after="100" w:afterAutospacing="1"/>
        <w:ind w:left="640" w:hanging="640"/>
        <w:rPr>
          <w:rFonts w:cs="Arial"/>
          <w:noProof/>
          <w:sz w:val="22"/>
          <w:szCs w:val="22"/>
          <w:lang w:val="en-US"/>
        </w:rPr>
      </w:pPr>
      <w:r w:rsidRPr="007528E0">
        <w:rPr>
          <w:rFonts w:cs="Arial"/>
          <w:noProof/>
          <w:sz w:val="22"/>
          <w:szCs w:val="22"/>
        </w:rPr>
        <w:t xml:space="preserve">28. </w:t>
      </w:r>
      <w:r w:rsidRPr="007528E0">
        <w:rPr>
          <w:rFonts w:cs="Arial"/>
          <w:noProof/>
          <w:sz w:val="22"/>
          <w:szCs w:val="22"/>
        </w:rPr>
        <w:tab/>
        <w:t xml:space="preserve">Reunión Conjunta FAO/OMS para las Especificaciones de Plaguicidas (JPMS). Manual sobre elaboración y empleo de las especificaciones de la FAO y de la OMS para plaguicidas. </w:t>
      </w:r>
      <w:r w:rsidRPr="007528E0">
        <w:rPr>
          <w:rFonts w:cs="Arial"/>
          <w:noProof/>
          <w:sz w:val="22"/>
          <w:szCs w:val="22"/>
          <w:lang w:val="en-US"/>
        </w:rPr>
        <w:t>[Internet]. 2004. Available from: http://www.chem.unep.ch/DDT/documents/FAO-WHO_ManualSpecPest9251048576_S.pdf.</w:t>
      </w:r>
    </w:p>
    <w:p w14:paraId="25CACCF2" w14:textId="77777777" w:rsidR="0037398A" w:rsidRPr="007528E0" w:rsidRDefault="0037398A" w:rsidP="0037398A">
      <w:pPr>
        <w:widowControl w:val="0"/>
        <w:autoSpaceDE w:val="0"/>
        <w:autoSpaceDN w:val="0"/>
        <w:adjustRightInd w:val="0"/>
        <w:spacing w:before="100" w:beforeAutospacing="1" w:after="100" w:afterAutospacing="1"/>
        <w:ind w:left="640" w:hanging="640"/>
        <w:rPr>
          <w:rFonts w:cs="Arial"/>
          <w:noProof/>
          <w:sz w:val="22"/>
          <w:szCs w:val="22"/>
          <w:lang w:val="en-US"/>
        </w:rPr>
      </w:pPr>
      <w:r w:rsidRPr="007528E0">
        <w:rPr>
          <w:rFonts w:cs="Arial"/>
          <w:noProof/>
          <w:sz w:val="22"/>
          <w:szCs w:val="22"/>
          <w:lang w:val="en-US"/>
        </w:rPr>
        <w:t xml:space="preserve">29. </w:t>
      </w:r>
      <w:r w:rsidRPr="007528E0">
        <w:rPr>
          <w:rFonts w:cs="Arial"/>
          <w:noProof/>
          <w:sz w:val="22"/>
          <w:szCs w:val="22"/>
          <w:lang w:val="en-US"/>
        </w:rPr>
        <w:tab/>
        <w:t xml:space="preserve">Thundiyil, J., et al. B of the WHO. Acute pesticide poisoning: a proposed classification tool. 2008. </w:t>
      </w:r>
    </w:p>
    <w:p w14:paraId="7025231F" w14:textId="77777777" w:rsidR="0037398A" w:rsidRPr="007528E0" w:rsidRDefault="0037398A" w:rsidP="0037398A">
      <w:pPr>
        <w:widowControl w:val="0"/>
        <w:autoSpaceDE w:val="0"/>
        <w:autoSpaceDN w:val="0"/>
        <w:adjustRightInd w:val="0"/>
        <w:spacing w:before="100" w:beforeAutospacing="1" w:after="100" w:afterAutospacing="1"/>
        <w:ind w:left="640" w:hanging="640"/>
        <w:rPr>
          <w:rFonts w:cs="Arial"/>
          <w:noProof/>
          <w:sz w:val="22"/>
          <w:szCs w:val="22"/>
          <w:lang w:val="en-US"/>
        </w:rPr>
      </w:pPr>
      <w:r w:rsidRPr="007528E0">
        <w:rPr>
          <w:rFonts w:cs="Arial"/>
          <w:noProof/>
          <w:sz w:val="22"/>
          <w:szCs w:val="22"/>
          <w:lang w:val="en-US"/>
        </w:rPr>
        <w:t xml:space="preserve">30. </w:t>
      </w:r>
      <w:r w:rsidRPr="007528E0">
        <w:rPr>
          <w:rFonts w:cs="Arial"/>
          <w:noProof/>
          <w:sz w:val="22"/>
          <w:szCs w:val="22"/>
          <w:lang w:val="en-US"/>
        </w:rPr>
        <w:tab/>
        <w:t xml:space="preserve">Bertolote JM, Fleischmann A, Eddleston M, Gunnell D. Europe PMC Funders Group Deaths from Pesticide Poisoning. 2008;201–3. </w:t>
      </w:r>
    </w:p>
    <w:p w14:paraId="5BC159D7" w14:textId="77777777" w:rsidR="0037398A" w:rsidRPr="007528E0" w:rsidRDefault="0037398A" w:rsidP="0037398A">
      <w:pPr>
        <w:widowControl w:val="0"/>
        <w:autoSpaceDE w:val="0"/>
        <w:autoSpaceDN w:val="0"/>
        <w:adjustRightInd w:val="0"/>
        <w:spacing w:before="100" w:beforeAutospacing="1" w:after="100" w:afterAutospacing="1"/>
        <w:ind w:left="640" w:hanging="640"/>
        <w:rPr>
          <w:rFonts w:cs="Arial"/>
          <w:noProof/>
          <w:sz w:val="22"/>
          <w:szCs w:val="22"/>
          <w:lang w:val="en-US"/>
        </w:rPr>
      </w:pPr>
      <w:r w:rsidRPr="007528E0">
        <w:rPr>
          <w:rFonts w:cs="Arial"/>
          <w:noProof/>
          <w:sz w:val="22"/>
          <w:szCs w:val="22"/>
          <w:lang w:val="en-US"/>
        </w:rPr>
        <w:lastRenderedPageBreak/>
        <w:t xml:space="preserve">31. </w:t>
      </w:r>
      <w:r w:rsidRPr="007528E0">
        <w:rPr>
          <w:rFonts w:cs="Arial"/>
          <w:noProof/>
          <w:sz w:val="22"/>
          <w:szCs w:val="22"/>
          <w:lang w:val="en-US"/>
        </w:rPr>
        <w:tab/>
        <w:t>Pan-Germany. Pesticide and health hazards. Facts and figures. 2012;1–16. Available from: germany.org/download/Vergift_EN-201112-web.pdf</w:t>
      </w:r>
    </w:p>
    <w:p w14:paraId="23A0776E" w14:textId="77777777" w:rsidR="0037398A" w:rsidRPr="007528E0" w:rsidRDefault="0037398A" w:rsidP="0037398A">
      <w:pPr>
        <w:widowControl w:val="0"/>
        <w:autoSpaceDE w:val="0"/>
        <w:autoSpaceDN w:val="0"/>
        <w:adjustRightInd w:val="0"/>
        <w:spacing w:before="100" w:beforeAutospacing="1" w:after="100" w:afterAutospacing="1"/>
        <w:ind w:left="640" w:hanging="640"/>
        <w:rPr>
          <w:rFonts w:cs="Arial"/>
          <w:noProof/>
          <w:sz w:val="22"/>
          <w:szCs w:val="22"/>
        </w:rPr>
      </w:pPr>
      <w:r w:rsidRPr="007528E0">
        <w:rPr>
          <w:rFonts w:cs="Arial"/>
          <w:noProof/>
          <w:sz w:val="22"/>
          <w:szCs w:val="22"/>
        </w:rPr>
        <w:t xml:space="preserve">32. </w:t>
      </w:r>
      <w:r w:rsidRPr="007528E0">
        <w:rPr>
          <w:rFonts w:cs="Arial"/>
          <w:noProof/>
          <w:sz w:val="22"/>
          <w:szCs w:val="22"/>
        </w:rPr>
        <w:tab/>
        <w:t xml:space="preserve">Ministerio de salud. Colombia. Decreto 1843 Por el cual se reglamentan parcialmente los títulos III, V, VI, VII y IX de la Ley 09 de 1079, sobre uso y manejo de plaguicidas. 1991. 1991. </w:t>
      </w:r>
    </w:p>
    <w:p w14:paraId="5E128722" w14:textId="77777777" w:rsidR="0037398A" w:rsidRPr="007528E0" w:rsidRDefault="0037398A" w:rsidP="0037398A">
      <w:pPr>
        <w:widowControl w:val="0"/>
        <w:autoSpaceDE w:val="0"/>
        <w:autoSpaceDN w:val="0"/>
        <w:adjustRightInd w:val="0"/>
        <w:spacing w:before="100" w:beforeAutospacing="1" w:after="100" w:afterAutospacing="1"/>
        <w:ind w:left="640" w:hanging="640"/>
        <w:rPr>
          <w:rFonts w:cs="Arial"/>
          <w:noProof/>
          <w:sz w:val="22"/>
          <w:szCs w:val="22"/>
          <w:lang w:val="en-US"/>
        </w:rPr>
      </w:pPr>
      <w:r w:rsidRPr="007528E0">
        <w:rPr>
          <w:rFonts w:cs="Arial"/>
          <w:noProof/>
          <w:sz w:val="22"/>
          <w:szCs w:val="22"/>
        </w:rPr>
        <w:t xml:space="preserve">33. </w:t>
      </w:r>
      <w:r w:rsidRPr="007528E0">
        <w:rPr>
          <w:rFonts w:cs="Arial"/>
          <w:noProof/>
          <w:sz w:val="22"/>
          <w:szCs w:val="22"/>
        </w:rPr>
        <w:tab/>
        <w:t xml:space="preserve">Secretaría General de la Comunidad Andina. Resolución 630. Manual Técnico Andino para el registro y control de plaguicidas químicos de uso agrícola. </w:t>
      </w:r>
      <w:r w:rsidRPr="007528E0">
        <w:rPr>
          <w:rFonts w:cs="Arial"/>
          <w:noProof/>
          <w:sz w:val="22"/>
          <w:szCs w:val="22"/>
          <w:lang w:val="en-US"/>
        </w:rPr>
        <w:t xml:space="preserve">2002. </w:t>
      </w:r>
    </w:p>
    <w:p w14:paraId="07D70AD5" w14:textId="77777777" w:rsidR="0037398A" w:rsidRPr="007528E0" w:rsidRDefault="0037398A" w:rsidP="0037398A">
      <w:pPr>
        <w:widowControl w:val="0"/>
        <w:autoSpaceDE w:val="0"/>
        <w:autoSpaceDN w:val="0"/>
        <w:adjustRightInd w:val="0"/>
        <w:spacing w:before="100" w:beforeAutospacing="1" w:after="100" w:afterAutospacing="1"/>
        <w:ind w:left="640" w:hanging="640"/>
        <w:rPr>
          <w:rFonts w:cs="Arial"/>
          <w:noProof/>
          <w:sz w:val="22"/>
          <w:szCs w:val="22"/>
        </w:rPr>
      </w:pPr>
      <w:r w:rsidRPr="007528E0">
        <w:rPr>
          <w:rFonts w:cs="Arial"/>
          <w:noProof/>
          <w:sz w:val="22"/>
          <w:szCs w:val="22"/>
          <w:lang w:val="en-US"/>
        </w:rPr>
        <w:t xml:space="preserve">34. </w:t>
      </w:r>
      <w:r w:rsidRPr="007528E0">
        <w:rPr>
          <w:rFonts w:cs="Arial"/>
          <w:noProof/>
          <w:sz w:val="22"/>
          <w:szCs w:val="22"/>
          <w:lang w:val="en-US"/>
        </w:rPr>
        <w:tab/>
        <w:t xml:space="preserve">Organization, W.H. TW. recommended classification of pesticides by hazard and guidelines to classification 2009. </w:t>
      </w:r>
      <w:r w:rsidRPr="007528E0">
        <w:rPr>
          <w:rFonts w:cs="Arial"/>
          <w:noProof/>
          <w:sz w:val="22"/>
          <w:szCs w:val="22"/>
        </w:rPr>
        <w:t xml:space="preserve">WHO Library Cataloguing in Publication Data,. 2009. </w:t>
      </w:r>
    </w:p>
    <w:p w14:paraId="5FC73AEF" w14:textId="77777777" w:rsidR="0037398A" w:rsidRPr="007528E0" w:rsidRDefault="0037398A" w:rsidP="0037398A">
      <w:pPr>
        <w:widowControl w:val="0"/>
        <w:autoSpaceDE w:val="0"/>
        <w:autoSpaceDN w:val="0"/>
        <w:adjustRightInd w:val="0"/>
        <w:spacing w:before="100" w:beforeAutospacing="1" w:after="100" w:afterAutospacing="1"/>
        <w:ind w:left="640" w:hanging="640"/>
        <w:rPr>
          <w:rFonts w:cs="Arial"/>
          <w:noProof/>
          <w:sz w:val="22"/>
          <w:szCs w:val="22"/>
        </w:rPr>
      </w:pPr>
      <w:r w:rsidRPr="007528E0">
        <w:rPr>
          <w:rFonts w:cs="Arial"/>
          <w:noProof/>
          <w:sz w:val="22"/>
          <w:szCs w:val="22"/>
        </w:rPr>
        <w:t xml:space="preserve">35. </w:t>
      </w:r>
      <w:r w:rsidRPr="007528E0">
        <w:rPr>
          <w:rFonts w:cs="Arial"/>
          <w:noProof/>
          <w:sz w:val="22"/>
          <w:szCs w:val="22"/>
        </w:rPr>
        <w:tab/>
        <w:t>Instituto Nacional de Salud. Manual para la obtención y envío de muestras para el análisis de eventos de interés en salud pública [Internet]. 2011. Available from: http://www.ins.gov.co/tramites-y-servicios/examenes-de-interés-en-salud-publica/SiteAssets/Manual obtencion y envio de muestras de EISP.pdf</w:t>
      </w:r>
    </w:p>
    <w:p w14:paraId="792CCD72" w14:textId="77777777" w:rsidR="0037398A" w:rsidRPr="007528E0" w:rsidRDefault="0037398A" w:rsidP="0037398A">
      <w:pPr>
        <w:widowControl w:val="0"/>
        <w:autoSpaceDE w:val="0"/>
        <w:autoSpaceDN w:val="0"/>
        <w:adjustRightInd w:val="0"/>
        <w:spacing w:before="100" w:beforeAutospacing="1" w:after="100" w:afterAutospacing="1"/>
        <w:ind w:left="640" w:hanging="640"/>
        <w:rPr>
          <w:rFonts w:cs="Arial"/>
          <w:noProof/>
          <w:sz w:val="22"/>
          <w:szCs w:val="22"/>
        </w:rPr>
      </w:pPr>
      <w:r w:rsidRPr="007528E0">
        <w:rPr>
          <w:rFonts w:cs="Arial"/>
          <w:noProof/>
          <w:sz w:val="22"/>
          <w:szCs w:val="22"/>
          <w:lang w:val="en-US"/>
        </w:rPr>
        <w:t xml:space="preserve">36. </w:t>
      </w:r>
      <w:r w:rsidRPr="007528E0">
        <w:rPr>
          <w:rFonts w:cs="Arial"/>
          <w:noProof/>
          <w:sz w:val="22"/>
          <w:szCs w:val="22"/>
          <w:lang w:val="en-US"/>
        </w:rPr>
        <w:tab/>
        <w:t xml:space="preserve">Kruse JA. Methanol and ethylene glycol intoxication. </w:t>
      </w:r>
      <w:r w:rsidRPr="007528E0">
        <w:rPr>
          <w:rFonts w:cs="Arial"/>
          <w:noProof/>
          <w:sz w:val="22"/>
          <w:szCs w:val="22"/>
        </w:rPr>
        <w:t xml:space="preserve">Crit Care Clin. 4(28):661–711. </w:t>
      </w:r>
    </w:p>
    <w:p w14:paraId="46D27A76" w14:textId="77777777" w:rsidR="0037398A" w:rsidRPr="007528E0" w:rsidRDefault="0037398A" w:rsidP="0037398A">
      <w:pPr>
        <w:widowControl w:val="0"/>
        <w:autoSpaceDE w:val="0"/>
        <w:autoSpaceDN w:val="0"/>
        <w:adjustRightInd w:val="0"/>
        <w:spacing w:before="100" w:beforeAutospacing="1" w:after="100" w:afterAutospacing="1"/>
        <w:ind w:left="640" w:hanging="640"/>
        <w:rPr>
          <w:rFonts w:cs="Arial"/>
          <w:noProof/>
          <w:sz w:val="22"/>
          <w:szCs w:val="22"/>
        </w:rPr>
      </w:pPr>
      <w:r w:rsidRPr="007528E0">
        <w:rPr>
          <w:rFonts w:cs="Arial"/>
          <w:noProof/>
          <w:sz w:val="22"/>
          <w:szCs w:val="22"/>
        </w:rPr>
        <w:t xml:space="preserve">37. </w:t>
      </w:r>
      <w:r w:rsidRPr="007528E0">
        <w:rPr>
          <w:rFonts w:cs="Arial"/>
          <w:noProof/>
          <w:sz w:val="22"/>
          <w:szCs w:val="22"/>
        </w:rPr>
        <w:tab/>
        <w:t xml:space="preserve">Córdoba D. Toxicología, editorial el Manual Moderno, Quinta edición. 2006. 460 p. </w:t>
      </w:r>
    </w:p>
    <w:p w14:paraId="13B0D803" w14:textId="77777777" w:rsidR="0037398A" w:rsidRPr="007528E0" w:rsidRDefault="0037398A" w:rsidP="0037398A">
      <w:pPr>
        <w:widowControl w:val="0"/>
        <w:autoSpaceDE w:val="0"/>
        <w:autoSpaceDN w:val="0"/>
        <w:adjustRightInd w:val="0"/>
        <w:spacing w:before="100" w:beforeAutospacing="1" w:after="100" w:afterAutospacing="1"/>
        <w:ind w:left="640" w:hanging="640"/>
        <w:rPr>
          <w:rFonts w:cs="Arial"/>
          <w:noProof/>
          <w:sz w:val="22"/>
          <w:szCs w:val="22"/>
        </w:rPr>
      </w:pPr>
      <w:r w:rsidRPr="007528E0">
        <w:rPr>
          <w:rFonts w:cs="Arial"/>
          <w:noProof/>
          <w:sz w:val="22"/>
          <w:szCs w:val="22"/>
        </w:rPr>
        <w:t xml:space="preserve">38. </w:t>
      </w:r>
      <w:r w:rsidRPr="007528E0">
        <w:rPr>
          <w:rFonts w:cs="Arial"/>
          <w:noProof/>
          <w:sz w:val="22"/>
          <w:szCs w:val="22"/>
        </w:rPr>
        <w:tab/>
        <w:t xml:space="preserve">García D., Olivares S., Santana J., Lima L., Ruiz L., Calderón P. ÁI 2012. Evaluación de riesgos a la salud por exposición a metales pesados en cercanías de sitios potencialmente peligrosos con actividad agrícola. Rev Cuba Salud y Trab. 2012;1(13):8–10. </w:t>
      </w:r>
    </w:p>
    <w:p w14:paraId="025BA816" w14:textId="77777777" w:rsidR="0037398A" w:rsidRPr="007528E0" w:rsidRDefault="0037398A" w:rsidP="0037398A">
      <w:pPr>
        <w:widowControl w:val="0"/>
        <w:autoSpaceDE w:val="0"/>
        <w:autoSpaceDN w:val="0"/>
        <w:adjustRightInd w:val="0"/>
        <w:spacing w:before="100" w:beforeAutospacing="1" w:after="100" w:afterAutospacing="1"/>
        <w:ind w:left="640" w:hanging="640"/>
        <w:rPr>
          <w:rFonts w:cs="Arial"/>
          <w:noProof/>
          <w:sz w:val="22"/>
          <w:szCs w:val="22"/>
        </w:rPr>
      </w:pPr>
      <w:r w:rsidRPr="007528E0">
        <w:rPr>
          <w:rFonts w:cs="Arial"/>
          <w:noProof/>
          <w:sz w:val="22"/>
          <w:szCs w:val="22"/>
        </w:rPr>
        <w:t xml:space="preserve">39. </w:t>
      </w:r>
      <w:r w:rsidRPr="007528E0">
        <w:rPr>
          <w:rFonts w:cs="Arial"/>
          <w:noProof/>
          <w:sz w:val="22"/>
          <w:szCs w:val="22"/>
        </w:rPr>
        <w:tab/>
        <w:t xml:space="preserve">Olivero J., Young F. CK. Contaminación por mercurio en aire del distrito minero de San Martín de Loba en el departamento de Bolívar, Colombia. Rev Int Contam Ambie. 2014;1(30):7–13. </w:t>
      </w:r>
    </w:p>
    <w:p w14:paraId="114C01ED" w14:textId="77777777" w:rsidR="0037398A" w:rsidRPr="007528E0" w:rsidRDefault="0037398A" w:rsidP="0037398A">
      <w:pPr>
        <w:widowControl w:val="0"/>
        <w:autoSpaceDE w:val="0"/>
        <w:autoSpaceDN w:val="0"/>
        <w:adjustRightInd w:val="0"/>
        <w:spacing w:before="100" w:beforeAutospacing="1" w:after="100" w:afterAutospacing="1"/>
        <w:ind w:left="640" w:hanging="640"/>
        <w:rPr>
          <w:rFonts w:cs="Arial"/>
          <w:noProof/>
          <w:sz w:val="22"/>
          <w:szCs w:val="22"/>
        </w:rPr>
      </w:pPr>
      <w:r w:rsidRPr="007528E0">
        <w:rPr>
          <w:rFonts w:cs="Arial"/>
          <w:noProof/>
          <w:sz w:val="22"/>
          <w:szCs w:val="22"/>
        </w:rPr>
        <w:t xml:space="preserve">40. </w:t>
      </w:r>
      <w:r w:rsidRPr="007528E0">
        <w:rPr>
          <w:rFonts w:cs="Arial"/>
          <w:noProof/>
          <w:sz w:val="22"/>
          <w:szCs w:val="22"/>
        </w:rPr>
        <w:tab/>
        <w:t xml:space="preserve">WHO. El Mercurio en el Sector de la Salud. Ginebra: OMS Departamento de Salud Pública y Medio Ambiente Agua, Saneamiento y Salud. 2004. </w:t>
      </w:r>
    </w:p>
    <w:p w14:paraId="2BF2A1D7" w14:textId="77777777" w:rsidR="0037398A" w:rsidRPr="007528E0" w:rsidRDefault="0037398A" w:rsidP="0037398A">
      <w:pPr>
        <w:widowControl w:val="0"/>
        <w:autoSpaceDE w:val="0"/>
        <w:autoSpaceDN w:val="0"/>
        <w:adjustRightInd w:val="0"/>
        <w:spacing w:before="100" w:beforeAutospacing="1" w:after="100" w:afterAutospacing="1"/>
        <w:ind w:left="640" w:hanging="640"/>
        <w:rPr>
          <w:rFonts w:cs="Arial"/>
          <w:noProof/>
          <w:sz w:val="22"/>
          <w:szCs w:val="22"/>
          <w:lang w:val="en-US"/>
        </w:rPr>
      </w:pPr>
      <w:r w:rsidRPr="007528E0">
        <w:rPr>
          <w:rFonts w:cs="Arial"/>
          <w:noProof/>
          <w:sz w:val="22"/>
          <w:szCs w:val="22"/>
        </w:rPr>
        <w:t xml:space="preserve">41. </w:t>
      </w:r>
      <w:r w:rsidRPr="007528E0">
        <w:rPr>
          <w:rFonts w:cs="Arial"/>
          <w:noProof/>
          <w:sz w:val="22"/>
          <w:szCs w:val="22"/>
        </w:rPr>
        <w:tab/>
        <w:t xml:space="preserve">Molina C F, Arango C.M SM. Mercurio: implicaciones en la salud y el medio ambiente [Internet]. </w:t>
      </w:r>
      <w:r w:rsidRPr="007528E0">
        <w:rPr>
          <w:rFonts w:cs="Arial"/>
          <w:noProof/>
          <w:sz w:val="22"/>
          <w:szCs w:val="22"/>
          <w:lang w:val="en-US"/>
        </w:rPr>
        <w:t xml:space="preserve">Retel. 2010 [cited 2017 Jun 20]. p. 7–19. Available from: http://www.sertox.com.ar/retel/default.htm. </w:t>
      </w:r>
    </w:p>
    <w:p w14:paraId="16377D30" w14:textId="77777777" w:rsidR="0037398A" w:rsidRPr="007528E0" w:rsidRDefault="0037398A" w:rsidP="0037398A">
      <w:pPr>
        <w:widowControl w:val="0"/>
        <w:autoSpaceDE w:val="0"/>
        <w:autoSpaceDN w:val="0"/>
        <w:adjustRightInd w:val="0"/>
        <w:spacing w:before="100" w:beforeAutospacing="1" w:after="100" w:afterAutospacing="1"/>
        <w:ind w:left="640" w:hanging="640"/>
        <w:rPr>
          <w:rFonts w:cs="Arial"/>
          <w:noProof/>
          <w:sz w:val="22"/>
          <w:szCs w:val="22"/>
        </w:rPr>
      </w:pPr>
      <w:r w:rsidRPr="007528E0">
        <w:rPr>
          <w:rFonts w:cs="Arial"/>
          <w:noProof/>
          <w:sz w:val="22"/>
          <w:szCs w:val="22"/>
        </w:rPr>
        <w:t xml:space="preserve">42. </w:t>
      </w:r>
      <w:r w:rsidRPr="007528E0">
        <w:rPr>
          <w:rFonts w:cs="Arial"/>
          <w:noProof/>
          <w:sz w:val="22"/>
          <w:szCs w:val="22"/>
        </w:rPr>
        <w:tab/>
        <w:t xml:space="preserve">Rodríguez C SC de M del T. Nuevos protocolos para el diagnóstico de enfermedades profesionales. Capítulo: mercurio. </w:t>
      </w:r>
    </w:p>
    <w:p w14:paraId="69CA6A3C" w14:textId="77777777" w:rsidR="0037398A" w:rsidRPr="007528E0" w:rsidRDefault="0037398A" w:rsidP="0037398A">
      <w:pPr>
        <w:widowControl w:val="0"/>
        <w:autoSpaceDE w:val="0"/>
        <w:autoSpaceDN w:val="0"/>
        <w:adjustRightInd w:val="0"/>
        <w:spacing w:before="100" w:beforeAutospacing="1" w:after="100" w:afterAutospacing="1"/>
        <w:ind w:left="640" w:hanging="640"/>
        <w:rPr>
          <w:rFonts w:cs="Arial"/>
          <w:noProof/>
          <w:sz w:val="22"/>
          <w:szCs w:val="22"/>
        </w:rPr>
      </w:pPr>
      <w:r w:rsidRPr="007528E0">
        <w:rPr>
          <w:rFonts w:cs="Arial"/>
          <w:noProof/>
          <w:sz w:val="22"/>
          <w:szCs w:val="22"/>
        </w:rPr>
        <w:lastRenderedPageBreak/>
        <w:t xml:space="preserve">43. </w:t>
      </w:r>
      <w:r w:rsidRPr="007528E0">
        <w:rPr>
          <w:rFonts w:cs="Arial"/>
          <w:noProof/>
          <w:sz w:val="22"/>
          <w:szCs w:val="22"/>
        </w:rPr>
        <w:tab/>
        <w:t>Gutiérrez E, Casas D, Muñoz A, Macías J, Segovia J, Orozco M DL. Distribución espacial y enriquecimiento de mercurio en sedimentos superficiales de la costa noroccidental de Baja California, México. Ciencias Mar en linea [Internet]. 2007;33. Available from: ISSN 0185-3880</w:t>
      </w:r>
    </w:p>
    <w:p w14:paraId="155A6ACC" w14:textId="77777777" w:rsidR="0037398A" w:rsidRPr="007528E0" w:rsidRDefault="0037398A" w:rsidP="0037398A">
      <w:pPr>
        <w:widowControl w:val="0"/>
        <w:autoSpaceDE w:val="0"/>
        <w:autoSpaceDN w:val="0"/>
        <w:adjustRightInd w:val="0"/>
        <w:spacing w:before="100" w:beforeAutospacing="1" w:after="100" w:afterAutospacing="1"/>
        <w:ind w:left="640" w:hanging="640"/>
        <w:rPr>
          <w:rFonts w:cs="Arial"/>
          <w:noProof/>
          <w:sz w:val="22"/>
          <w:szCs w:val="22"/>
          <w:lang w:val="en-US"/>
        </w:rPr>
      </w:pPr>
      <w:r w:rsidRPr="007528E0">
        <w:rPr>
          <w:rFonts w:cs="Arial"/>
          <w:noProof/>
          <w:sz w:val="22"/>
          <w:szCs w:val="22"/>
        </w:rPr>
        <w:t xml:space="preserve">44. </w:t>
      </w:r>
      <w:r w:rsidRPr="007528E0">
        <w:rPr>
          <w:rFonts w:cs="Arial"/>
          <w:noProof/>
          <w:sz w:val="22"/>
          <w:szCs w:val="22"/>
        </w:rPr>
        <w:tab/>
        <w:t xml:space="preserve">Ministerio de Salud, acional. Buenos Aires AP 2008 (Programa N de RQ. Mercurio: cartilla informativa. Programa nacional de Riesgos Químicos, departamento de salud ambiental, dirección nacional de determinantes de la salud e investigación [Internet]. </w:t>
      </w:r>
      <w:r w:rsidRPr="007528E0">
        <w:rPr>
          <w:rFonts w:cs="Arial"/>
          <w:noProof/>
          <w:sz w:val="22"/>
          <w:szCs w:val="22"/>
          <w:lang w:val="en-US"/>
        </w:rPr>
        <w:t>2008 [cited 2004 Jun 20]. Available from: http://www.fmed.uba.ar/depto/toxico1 /mercurio.pdf.</w:t>
      </w:r>
    </w:p>
    <w:p w14:paraId="48BFD645" w14:textId="77777777" w:rsidR="0037398A" w:rsidRPr="007528E0" w:rsidRDefault="0037398A" w:rsidP="0037398A">
      <w:pPr>
        <w:widowControl w:val="0"/>
        <w:autoSpaceDE w:val="0"/>
        <w:autoSpaceDN w:val="0"/>
        <w:adjustRightInd w:val="0"/>
        <w:spacing w:before="100" w:beforeAutospacing="1" w:after="100" w:afterAutospacing="1"/>
        <w:ind w:left="640" w:hanging="640"/>
        <w:rPr>
          <w:rFonts w:cs="Arial"/>
          <w:noProof/>
          <w:sz w:val="22"/>
          <w:szCs w:val="22"/>
        </w:rPr>
      </w:pPr>
      <w:r w:rsidRPr="007528E0">
        <w:rPr>
          <w:rFonts w:cs="Arial"/>
          <w:noProof/>
          <w:sz w:val="22"/>
          <w:szCs w:val="22"/>
        </w:rPr>
        <w:t xml:space="preserve">45. </w:t>
      </w:r>
      <w:r w:rsidRPr="007528E0">
        <w:rPr>
          <w:rFonts w:cs="Arial"/>
          <w:noProof/>
          <w:sz w:val="22"/>
          <w:szCs w:val="22"/>
        </w:rPr>
        <w:tab/>
        <w:t xml:space="preserve">Olivero J, Mendoza C MJ. Mercurio en cabello de diferentes grupos ocupacionales en una zona de minería aurífera en el Norte de Colombia. Rev Salud Pública. 1995;29(5)(376):379. </w:t>
      </w:r>
    </w:p>
    <w:p w14:paraId="028BFDD2" w14:textId="77777777" w:rsidR="0037398A" w:rsidRPr="007528E0" w:rsidRDefault="0037398A" w:rsidP="0037398A">
      <w:pPr>
        <w:widowControl w:val="0"/>
        <w:autoSpaceDE w:val="0"/>
        <w:autoSpaceDN w:val="0"/>
        <w:adjustRightInd w:val="0"/>
        <w:spacing w:before="100" w:beforeAutospacing="1" w:after="100" w:afterAutospacing="1"/>
        <w:ind w:left="640" w:hanging="640"/>
        <w:rPr>
          <w:rFonts w:cs="Arial"/>
          <w:noProof/>
          <w:sz w:val="22"/>
          <w:szCs w:val="22"/>
        </w:rPr>
      </w:pPr>
      <w:r w:rsidRPr="007528E0">
        <w:rPr>
          <w:rFonts w:cs="Arial"/>
          <w:noProof/>
          <w:sz w:val="22"/>
          <w:szCs w:val="22"/>
        </w:rPr>
        <w:t xml:space="preserve">46. </w:t>
      </w:r>
      <w:r w:rsidRPr="007528E0">
        <w:rPr>
          <w:rFonts w:cs="Arial"/>
          <w:noProof/>
          <w:sz w:val="22"/>
          <w:szCs w:val="22"/>
        </w:rPr>
        <w:tab/>
        <w:t xml:space="preserve">J.A M. Alteraciones comportamentales y de personalidad debido a la exposición ocupacional a mercurio en un grupo mineros del oro de la región del Bagre Antioquia. 2008. </w:t>
      </w:r>
    </w:p>
    <w:p w14:paraId="4F951237" w14:textId="77777777" w:rsidR="0037398A" w:rsidRPr="007528E0" w:rsidRDefault="0037398A" w:rsidP="0037398A">
      <w:pPr>
        <w:widowControl w:val="0"/>
        <w:autoSpaceDE w:val="0"/>
        <w:autoSpaceDN w:val="0"/>
        <w:adjustRightInd w:val="0"/>
        <w:spacing w:before="100" w:beforeAutospacing="1" w:after="100" w:afterAutospacing="1"/>
        <w:ind w:left="640" w:hanging="640"/>
        <w:rPr>
          <w:rFonts w:cs="Arial"/>
          <w:noProof/>
          <w:sz w:val="22"/>
          <w:szCs w:val="22"/>
        </w:rPr>
      </w:pPr>
      <w:r w:rsidRPr="007528E0">
        <w:rPr>
          <w:rFonts w:cs="Arial"/>
          <w:noProof/>
          <w:sz w:val="22"/>
          <w:szCs w:val="22"/>
        </w:rPr>
        <w:t xml:space="preserve">47. </w:t>
      </w:r>
      <w:r w:rsidRPr="007528E0">
        <w:rPr>
          <w:rFonts w:cs="Arial"/>
          <w:noProof/>
          <w:sz w:val="22"/>
          <w:szCs w:val="22"/>
        </w:rPr>
        <w:tab/>
        <w:t xml:space="preserve">Salud IN de. Intoxicaciones por sustancias químicas- algoritmos. 2017. </w:t>
      </w:r>
    </w:p>
    <w:p w14:paraId="24E8B947" w14:textId="77777777" w:rsidR="0037398A" w:rsidRPr="007528E0" w:rsidRDefault="0037398A" w:rsidP="0037398A">
      <w:pPr>
        <w:widowControl w:val="0"/>
        <w:autoSpaceDE w:val="0"/>
        <w:autoSpaceDN w:val="0"/>
        <w:adjustRightInd w:val="0"/>
        <w:spacing w:before="100" w:beforeAutospacing="1" w:after="100" w:afterAutospacing="1"/>
        <w:ind w:left="640" w:hanging="640"/>
        <w:rPr>
          <w:rFonts w:cs="Arial"/>
          <w:noProof/>
          <w:sz w:val="22"/>
          <w:szCs w:val="22"/>
          <w:lang w:val="en-US"/>
        </w:rPr>
      </w:pPr>
      <w:r w:rsidRPr="007528E0">
        <w:rPr>
          <w:rFonts w:cs="Arial"/>
          <w:noProof/>
          <w:sz w:val="22"/>
          <w:szCs w:val="22"/>
        </w:rPr>
        <w:t xml:space="preserve">48. </w:t>
      </w:r>
      <w:r w:rsidRPr="007528E0">
        <w:rPr>
          <w:rFonts w:cs="Arial"/>
          <w:noProof/>
          <w:sz w:val="22"/>
          <w:szCs w:val="22"/>
        </w:rPr>
        <w:tab/>
        <w:t xml:space="preserve">Harada M, et al. </w:t>
      </w:r>
      <w:r w:rsidRPr="007528E0">
        <w:rPr>
          <w:rFonts w:cs="Arial"/>
          <w:noProof/>
          <w:sz w:val="22"/>
          <w:szCs w:val="22"/>
          <w:lang w:val="en-US"/>
        </w:rPr>
        <w:t xml:space="preserve">Monitoring of mercury pollution in Tanzania: relation between head hair mercury and health. Sci Total Environ. 1999;227:249–56. </w:t>
      </w:r>
    </w:p>
    <w:p w14:paraId="0F18957D" w14:textId="77777777" w:rsidR="0037398A" w:rsidRPr="007528E0" w:rsidRDefault="0037398A" w:rsidP="0037398A">
      <w:pPr>
        <w:widowControl w:val="0"/>
        <w:autoSpaceDE w:val="0"/>
        <w:autoSpaceDN w:val="0"/>
        <w:adjustRightInd w:val="0"/>
        <w:spacing w:before="100" w:beforeAutospacing="1" w:after="100" w:afterAutospacing="1"/>
        <w:ind w:left="640" w:hanging="640"/>
        <w:rPr>
          <w:rFonts w:cs="Arial"/>
          <w:noProof/>
          <w:sz w:val="22"/>
          <w:szCs w:val="22"/>
          <w:lang w:val="en-US"/>
        </w:rPr>
      </w:pPr>
      <w:r w:rsidRPr="007528E0">
        <w:rPr>
          <w:rFonts w:cs="Arial"/>
          <w:noProof/>
          <w:sz w:val="22"/>
          <w:szCs w:val="22"/>
          <w:lang w:val="en-US"/>
        </w:rPr>
        <w:t xml:space="preserve">49. </w:t>
      </w:r>
      <w:r w:rsidRPr="007528E0">
        <w:rPr>
          <w:rFonts w:cs="Arial"/>
          <w:noProof/>
          <w:sz w:val="22"/>
          <w:szCs w:val="22"/>
          <w:lang w:val="en-US"/>
        </w:rPr>
        <w:tab/>
        <w:t xml:space="preserve">UNEP DTIE Chemicals Branch, WHO Department of Food Safety Z and FD. Guidance for Identifying Populations At Risk From Mercury Exposure. Exposure. 2008;(August):176. </w:t>
      </w:r>
    </w:p>
    <w:p w14:paraId="3D2B94D5" w14:textId="77777777" w:rsidR="0037398A" w:rsidRPr="007528E0" w:rsidRDefault="0037398A" w:rsidP="0037398A">
      <w:pPr>
        <w:widowControl w:val="0"/>
        <w:autoSpaceDE w:val="0"/>
        <w:autoSpaceDN w:val="0"/>
        <w:adjustRightInd w:val="0"/>
        <w:spacing w:before="100" w:beforeAutospacing="1" w:after="100" w:afterAutospacing="1"/>
        <w:ind w:left="640" w:hanging="640"/>
        <w:rPr>
          <w:rFonts w:cs="Arial"/>
          <w:noProof/>
          <w:sz w:val="22"/>
          <w:szCs w:val="22"/>
          <w:lang w:val="en-US"/>
        </w:rPr>
      </w:pPr>
      <w:r w:rsidRPr="007528E0">
        <w:rPr>
          <w:rFonts w:cs="Arial"/>
          <w:noProof/>
          <w:sz w:val="22"/>
          <w:szCs w:val="22"/>
          <w:lang w:val="en-US"/>
        </w:rPr>
        <w:t xml:space="preserve">50. </w:t>
      </w:r>
      <w:r w:rsidRPr="007528E0">
        <w:rPr>
          <w:rFonts w:cs="Arial"/>
          <w:noProof/>
          <w:sz w:val="22"/>
          <w:szCs w:val="22"/>
          <w:lang w:val="en-US"/>
        </w:rPr>
        <w:tab/>
        <w:t xml:space="preserve">World Health Organization. IPCS. Elemental mercury and inorganic mercury compounds: human health aspects, Geneve. 2003. </w:t>
      </w:r>
    </w:p>
    <w:p w14:paraId="4BF9809A" w14:textId="77777777" w:rsidR="0037398A" w:rsidRPr="007528E0" w:rsidRDefault="0037398A" w:rsidP="0037398A">
      <w:pPr>
        <w:widowControl w:val="0"/>
        <w:autoSpaceDE w:val="0"/>
        <w:autoSpaceDN w:val="0"/>
        <w:adjustRightInd w:val="0"/>
        <w:spacing w:before="100" w:beforeAutospacing="1" w:after="100" w:afterAutospacing="1"/>
        <w:ind w:left="640" w:hanging="640"/>
        <w:rPr>
          <w:rFonts w:cs="Arial"/>
          <w:noProof/>
          <w:sz w:val="22"/>
          <w:szCs w:val="22"/>
          <w:lang w:val="en-US"/>
        </w:rPr>
      </w:pPr>
      <w:r w:rsidRPr="007528E0">
        <w:rPr>
          <w:rFonts w:cs="Arial"/>
          <w:noProof/>
          <w:sz w:val="22"/>
          <w:szCs w:val="22"/>
          <w:lang w:val="en-US"/>
        </w:rPr>
        <w:t xml:space="preserve">51. </w:t>
      </w:r>
      <w:r w:rsidRPr="007528E0">
        <w:rPr>
          <w:rFonts w:cs="Arial"/>
          <w:noProof/>
          <w:sz w:val="22"/>
          <w:szCs w:val="22"/>
          <w:lang w:val="en-US"/>
        </w:rPr>
        <w:tab/>
        <w:t xml:space="preserve">WHO WHO. Elemental mercury and inorganic mercury compounds: human health aspects. Concise International Chemical Assessment Document. 2003. </w:t>
      </w:r>
    </w:p>
    <w:p w14:paraId="3DC769E3" w14:textId="77777777" w:rsidR="0037398A" w:rsidRPr="007528E0" w:rsidRDefault="0037398A" w:rsidP="0037398A">
      <w:pPr>
        <w:widowControl w:val="0"/>
        <w:autoSpaceDE w:val="0"/>
        <w:autoSpaceDN w:val="0"/>
        <w:adjustRightInd w:val="0"/>
        <w:spacing w:before="100" w:beforeAutospacing="1" w:after="100" w:afterAutospacing="1"/>
        <w:ind w:left="640" w:hanging="640"/>
        <w:rPr>
          <w:rFonts w:cs="Arial"/>
          <w:noProof/>
          <w:sz w:val="22"/>
          <w:szCs w:val="22"/>
        </w:rPr>
      </w:pPr>
      <w:r w:rsidRPr="007528E0">
        <w:rPr>
          <w:rFonts w:cs="Arial"/>
          <w:noProof/>
          <w:sz w:val="22"/>
          <w:szCs w:val="22"/>
          <w:lang w:val="en-US"/>
        </w:rPr>
        <w:t xml:space="preserve">52. </w:t>
      </w:r>
      <w:r w:rsidRPr="007528E0">
        <w:rPr>
          <w:rFonts w:cs="Arial"/>
          <w:noProof/>
          <w:sz w:val="22"/>
          <w:szCs w:val="22"/>
          <w:lang w:val="en-US"/>
        </w:rPr>
        <w:tab/>
        <w:t xml:space="preserve">Kosnett, M. Lead, in Critical care toxicology: Diagnosis and management. </w:t>
      </w:r>
      <w:r w:rsidRPr="007528E0">
        <w:rPr>
          <w:rFonts w:cs="Arial"/>
          <w:noProof/>
          <w:sz w:val="22"/>
          <w:szCs w:val="22"/>
        </w:rPr>
        <w:t xml:space="preserve">Elservier Mosby United Sates Am. 2005; </w:t>
      </w:r>
    </w:p>
    <w:p w14:paraId="2636106B" w14:textId="77777777" w:rsidR="0037398A" w:rsidRPr="007528E0" w:rsidRDefault="0037398A" w:rsidP="0037398A">
      <w:pPr>
        <w:widowControl w:val="0"/>
        <w:autoSpaceDE w:val="0"/>
        <w:autoSpaceDN w:val="0"/>
        <w:adjustRightInd w:val="0"/>
        <w:spacing w:before="100" w:beforeAutospacing="1" w:after="100" w:afterAutospacing="1"/>
        <w:ind w:left="640" w:hanging="640"/>
        <w:rPr>
          <w:rFonts w:cs="Arial"/>
          <w:noProof/>
          <w:sz w:val="22"/>
          <w:szCs w:val="22"/>
          <w:lang w:val="en-US"/>
        </w:rPr>
      </w:pPr>
      <w:r w:rsidRPr="007528E0">
        <w:rPr>
          <w:rFonts w:cs="Arial"/>
          <w:noProof/>
          <w:sz w:val="22"/>
          <w:szCs w:val="22"/>
        </w:rPr>
        <w:t xml:space="preserve">53. </w:t>
      </w:r>
      <w:r w:rsidRPr="007528E0">
        <w:rPr>
          <w:rFonts w:cs="Arial"/>
          <w:noProof/>
          <w:sz w:val="22"/>
          <w:szCs w:val="22"/>
        </w:rPr>
        <w:tab/>
        <w:t xml:space="preserve">Moreno A. GJ. Toxicología en urgencias, Guía práctica. </w:t>
      </w:r>
      <w:r w:rsidRPr="007528E0">
        <w:rPr>
          <w:rFonts w:cs="Arial"/>
          <w:noProof/>
          <w:sz w:val="22"/>
          <w:szCs w:val="22"/>
          <w:lang w:val="en-US"/>
        </w:rPr>
        <w:t xml:space="preserve">Capítulo 52: 2015. </w:t>
      </w:r>
    </w:p>
    <w:p w14:paraId="0320A261" w14:textId="77777777" w:rsidR="0037398A" w:rsidRPr="007528E0" w:rsidRDefault="0037398A" w:rsidP="0037398A">
      <w:pPr>
        <w:widowControl w:val="0"/>
        <w:autoSpaceDE w:val="0"/>
        <w:autoSpaceDN w:val="0"/>
        <w:adjustRightInd w:val="0"/>
        <w:spacing w:before="100" w:beforeAutospacing="1" w:after="100" w:afterAutospacing="1"/>
        <w:ind w:left="640" w:hanging="640"/>
        <w:rPr>
          <w:rFonts w:cs="Arial"/>
          <w:noProof/>
          <w:sz w:val="22"/>
          <w:szCs w:val="22"/>
          <w:lang w:val="en-US"/>
        </w:rPr>
      </w:pPr>
      <w:r w:rsidRPr="007528E0">
        <w:rPr>
          <w:rFonts w:cs="Arial"/>
          <w:noProof/>
          <w:sz w:val="22"/>
          <w:szCs w:val="22"/>
          <w:lang w:val="en-US"/>
        </w:rPr>
        <w:t xml:space="preserve">54. </w:t>
      </w:r>
      <w:r w:rsidRPr="007528E0">
        <w:rPr>
          <w:rFonts w:cs="Arial"/>
          <w:noProof/>
          <w:sz w:val="22"/>
          <w:szCs w:val="22"/>
          <w:lang w:val="en-US"/>
        </w:rPr>
        <w:tab/>
        <w:t xml:space="preserve">Needleman, H. Lead poisoning. Annu Rev Med,. 2004;55:209–22. </w:t>
      </w:r>
    </w:p>
    <w:p w14:paraId="16021DFC" w14:textId="77777777" w:rsidR="0037398A" w:rsidRPr="007528E0" w:rsidRDefault="0037398A" w:rsidP="0037398A">
      <w:pPr>
        <w:widowControl w:val="0"/>
        <w:autoSpaceDE w:val="0"/>
        <w:autoSpaceDN w:val="0"/>
        <w:adjustRightInd w:val="0"/>
        <w:spacing w:before="100" w:beforeAutospacing="1" w:after="100" w:afterAutospacing="1"/>
        <w:ind w:left="640" w:hanging="640"/>
        <w:rPr>
          <w:rFonts w:cs="Arial"/>
          <w:noProof/>
          <w:sz w:val="22"/>
          <w:szCs w:val="22"/>
          <w:lang w:val="en-US"/>
        </w:rPr>
      </w:pPr>
      <w:r w:rsidRPr="007528E0">
        <w:rPr>
          <w:rFonts w:cs="Arial"/>
          <w:noProof/>
          <w:sz w:val="22"/>
          <w:szCs w:val="22"/>
          <w:lang w:val="en-US"/>
        </w:rPr>
        <w:t xml:space="preserve">55. </w:t>
      </w:r>
      <w:r w:rsidRPr="007528E0">
        <w:rPr>
          <w:rFonts w:cs="Arial"/>
          <w:noProof/>
          <w:sz w:val="22"/>
          <w:szCs w:val="22"/>
          <w:lang w:val="en-US"/>
        </w:rPr>
        <w:tab/>
        <w:t xml:space="preserve">Cohen, M. and M. Costa. Chromium Compounds in Envinronmental and </w:t>
      </w:r>
      <w:r w:rsidRPr="007528E0">
        <w:rPr>
          <w:rFonts w:cs="Arial"/>
          <w:noProof/>
          <w:sz w:val="22"/>
          <w:szCs w:val="22"/>
          <w:lang w:val="en-US"/>
        </w:rPr>
        <w:lastRenderedPageBreak/>
        <w:t xml:space="preserve">Occupational Medicine, W.N. Rom and S.B. Markowitz. WoltersKluver – Lippincott Williams Wilkins. 2007; </w:t>
      </w:r>
    </w:p>
    <w:p w14:paraId="6A450F9C" w14:textId="77777777" w:rsidR="0037398A" w:rsidRPr="007528E0" w:rsidRDefault="0037398A" w:rsidP="0037398A">
      <w:pPr>
        <w:widowControl w:val="0"/>
        <w:autoSpaceDE w:val="0"/>
        <w:autoSpaceDN w:val="0"/>
        <w:adjustRightInd w:val="0"/>
        <w:spacing w:before="100" w:beforeAutospacing="1" w:after="100" w:afterAutospacing="1"/>
        <w:ind w:left="640" w:hanging="640"/>
        <w:rPr>
          <w:rFonts w:cs="Arial"/>
          <w:noProof/>
          <w:sz w:val="22"/>
          <w:szCs w:val="22"/>
          <w:lang w:val="en-US"/>
        </w:rPr>
      </w:pPr>
      <w:r w:rsidRPr="007528E0">
        <w:rPr>
          <w:rFonts w:cs="Arial"/>
          <w:noProof/>
          <w:sz w:val="22"/>
          <w:szCs w:val="22"/>
          <w:lang w:val="en-US"/>
        </w:rPr>
        <w:t xml:space="preserve">56. </w:t>
      </w:r>
      <w:r w:rsidRPr="007528E0">
        <w:rPr>
          <w:rFonts w:cs="Arial"/>
          <w:noProof/>
          <w:sz w:val="22"/>
          <w:szCs w:val="22"/>
          <w:lang w:val="en-US"/>
        </w:rPr>
        <w:tab/>
        <w:t xml:space="preserve">Bird SM-HUS of A. Chromium, in Goldfrank’sToxicologic Emergencies. 2008. </w:t>
      </w:r>
    </w:p>
    <w:p w14:paraId="7674B3F4" w14:textId="77777777" w:rsidR="0037398A" w:rsidRPr="007528E0" w:rsidRDefault="0037398A" w:rsidP="0037398A">
      <w:pPr>
        <w:widowControl w:val="0"/>
        <w:autoSpaceDE w:val="0"/>
        <w:autoSpaceDN w:val="0"/>
        <w:adjustRightInd w:val="0"/>
        <w:spacing w:before="100" w:beforeAutospacing="1" w:after="100" w:afterAutospacing="1"/>
        <w:ind w:left="640" w:hanging="640"/>
        <w:rPr>
          <w:rFonts w:cs="Arial"/>
          <w:noProof/>
          <w:sz w:val="22"/>
          <w:szCs w:val="22"/>
          <w:lang w:val="en-US"/>
        </w:rPr>
      </w:pPr>
      <w:r w:rsidRPr="007528E0">
        <w:rPr>
          <w:rFonts w:cs="Arial"/>
          <w:noProof/>
          <w:sz w:val="22"/>
          <w:szCs w:val="22"/>
          <w:lang w:val="en-US"/>
        </w:rPr>
        <w:t xml:space="preserve">57. </w:t>
      </w:r>
      <w:r w:rsidRPr="007528E0">
        <w:rPr>
          <w:rFonts w:cs="Arial"/>
          <w:noProof/>
          <w:sz w:val="22"/>
          <w:szCs w:val="22"/>
          <w:lang w:val="en-US"/>
        </w:rPr>
        <w:tab/>
        <w:t>(IARC) IA for R on C. Monographson the evaluation of carcinogenic risks to human [Internet]. 2017. Available from: http://monographs.iarc.fr/ENG/Classification/latest_classif.php</w:t>
      </w:r>
    </w:p>
    <w:p w14:paraId="76288123" w14:textId="77777777" w:rsidR="0037398A" w:rsidRPr="00F87462" w:rsidRDefault="0037398A" w:rsidP="0037398A">
      <w:pPr>
        <w:widowControl w:val="0"/>
        <w:autoSpaceDE w:val="0"/>
        <w:autoSpaceDN w:val="0"/>
        <w:adjustRightInd w:val="0"/>
        <w:spacing w:before="100" w:beforeAutospacing="1" w:after="100" w:afterAutospacing="1"/>
        <w:ind w:left="640" w:hanging="640"/>
        <w:rPr>
          <w:rFonts w:cs="Arial"/>
          <w:noProof/>
          <w:sz w:val="22"/>
          <w:szCs w:val="22"/>
          <w:lang w:val="es-ES"/>
        </w:rPr>
      </w:pPr>
      <w:r w:rsidRPr="007528E0">
        <w:rPr>
          <w:rFonts w:cs="Arial"/>
          <w:noProof/>
          <w:sz w:val="22"/>
          <w:szCs w:val="22"/>
          <w:lang w:val="en-US"/>
        </w:rPr>
        <w:t xml:space="preserve">58. </w:t>
      </w:r>
      <w:r w:rsidRPr="007528E0">
        <w:rPr>
          <w:rFonts w:cs="Arial"/>
          <w:noProof/>
          <w:sz w:val="22"/>
          <w:szCs w:val="22"/>
          <w:lang w:val="en-US"/>
        </w:rPr>
        <w:tab/>
        <w:t xml:space="preserve">Ramírez A. Mercury occupational poisoning. </w:t>
      </w:r>
      <w:r w:rsidRPr="00F87462">
        <w:rPr>
          <w:rFonts w:cs="Arial"/>
          <w:noProof/>
          <w:sz w:val="22"/>
          <w:szCs w:val="22"/>
          <w:lang w:val="es-ES"/>
        </w:rPr>
        <w:t xml:space="preserve">Rev Fac Med. 2008;69 (1)(46):51. </w:t>
      </w:r>
    </w:p>
    <w:p w14:paraId="0AEF1254" w14:textId="77777777" w:rsidR="0037398A" w:rsidRPr="007528E0" w:rsidRDefault="0037398A" w:rsidP="0037398A">
      <w:pPr>
        <w:widowControl w:val="0"/>
        <w:autoSpaceDE w:val="0"/>
        <w:autoSpaceDN w:val="0"/>
        <w:adjustRightInd w:val="0"/>
        <w:spacing w:before="100" w:beforeAutospacing="1" w:after="100" w:afterAutospacing="1"/>
        <w:ind w:left="640" w:hanging="640"/>
        <w:rPr>
          <w:rFonts w:cs="Arial"/>
          <w:noProof/>
          <w:sz w:val="22"/>
          <w:szCs w:val="22"/>
        </w:rPr>
      </w:pPr>
      <w:r w:rsidRPr="007528E0">
        <w:rPr>
          <w:rFonts w:cs="Arial"/>
          <w:noProof/>
          <w:sz w:val="22"/>
          <w:szCs w:val="22"/>
        </w:rPr>
        <w:t xml:space="preserve">59. </w:t>
      </w:r>
      <w:r w:rsidRPr="007528E0">
        <w:rPr>
          <w:rFonts w:cs="Arial"/>
          <w:noProof/>
          <w:sz w:val="22"/>
          <w:szCs w:val="22"/>
        </w:rPr>
        <w:tab/>
        <w:t xml:space="preserve">(INS) IN de S. Perfil del riesgo de arsénico en arroz, Colombia. Unidad de evaluación de riesgos para la inocuidad de los alimentos. 2013. </w:t>
      </w:r>
    </w:p>
    <w:p w14:paraId="109EE8AD" w14:textId="77777777" w:rsidR="0037398A" w:rsidRPr="007528E0" w:rsidRDefault="0037398A" w:rsidP="0037398A">
      <w:pPr>
        <w:widowControl w:val="0"/>
        <w:autoSpaceDE w:val="0"/>
        <w:autoSpaceDN w:val="0"/>
        <w:adjustRightInd w:val="0"/>
        <w:spacing w:before="100" w:beforeAutospacing="1" w:after="100" w:afterAutospacing="1"/>
        <w:ind w:left="640" w:hanging="640"/>
        <w:rPr>
          <w:rFonts w:cs="Arial"/>
          <w:noProof/>
          <w:sz w:val="22"/>
          <w:szCs w:val="22"/>
        </w:rPr>
      </w:pPr>
      <w:r w:rsidRPr="007528E0">
        <w:rPr>
          <w:rFonts w:cs="Arial"/>
          <w:noProof/>
          <w:sz w:val="22"/>
          <w:szCs w:val="22"/>
        </w:rPr>
        <w:t xml:space="preserve">60. </w:t>
      </w:r>
      <w:r w:rsidRPr="007528E0">
        <w:rPr>
          <w:rFonts w:cs="Arial"/>
          <w:noProof/>
          <w:sz w:val="22"/>
          <w:szCs w:val="22"/>
        </w:rPr>
        <w:tab/>
        <w:t xml:space="preserve">Vargas J. Estudio Evaluativo de los Metales Contaminantes y sus Alternativas de Prevención. Rev Cienc Desarro. 2012;14:9–14. </w:t>
      </w:r>
    </w:p>
    <w:p w14:paraId="3B50E540" w14:textId="77777777" w:rsidR="0037398A" w:rsidRPr="007528E0" w:rsidRDefault="0037398A" w:rsidP="0037398A">
      <w:pPr>
        <w:widowControl w:val="0"/>
        <w:autoSpaceDE w:val="0"/>
        <w:autoSpaceDN w:val="0"/>
        <w:adjustRightInd w:val="0"/>
        <w:spacing w:before="100" w:beforeAutospacing="1" w:after="100" w:afterAutospacing="1"/>
        <w:ind w:left="640" w:hanging="640"/>
        <w:rPr>
          <w:rFonts w:cs="Arial"/>
          <w:noProof/>
          <w:sz w:val="22"/>
          <w:szCs w:val="22"/>
        </w:rPr>
      </w:pPr>
      <w:r w:rsidRPr="007528E0">
        <w:rPr>
          <w:rFonts w:cs="Arial"/>
          <w:noProof/>
          <w:sz w:val="22"/>
          <w:szCs w:val="22"/>
        </w:rPr>
        <w:t xml:space="preserve">61. </w:t>
      </w:r>
      <w:r w:rsidRPr="007528E0">
        <w:rPr>
          <w:rFonts w:cs="Arial"/>
          <w:noProof/>
          <w:sz w:val="22"/>
          <w:szCs w:val="22"/>
        </w:rPr>
        <w:tab/>
        <w:t xml:space="preserve">Henao Robledo F. Riesgos químicos. EcoeEdiciones. 2008. </w:t>
      </w:r>
    </w:p>
    <w:p w14:paraId="2977AF21" w14:textId="77777777" w:rsidR="0037398A" w:rsidRPr="007528E0" w:rsidRDefault="0037398A" w:rsidP="0037398A">
      <w:pPr>
        <w:widowControl w:val="0"/>
        <w:autoSpaceDE w:val="0"/>
        <w:autoSpaceDN w:val="0"/>
        <w:adjustRightInd w:val="0"/>
        <w:spacing w:before="100" w:beforeAutospacing="1" w:after="100" w:afterAutospacing="1"/>
        <w:ind w:left="640" w:hanging="640"/>
        <w:rPr>
          <w:rFonts w:cs="Arial"/>
          <w:noProof/>
          <w:sz w:val="22"/>
          <w:szCs w:val="22"/>
          <w:lang w:val="en-US"/>
        </w:rPr>
      </w:pPr>
      <w:r w:rsidRPr="007528E0">
        <w:rPr>
          <w:rFonts w:cs="Arial"/>
          <w:noProof/>
          <w:sz w:val="22"/>
          <w:szCs w:val="22"/>
        </w:rPr>
        <w:t xml:space="preserve">62. </w:t>
      </w:r>
      <w:r w:rsidRPr="007528E0">
        <w:rPr>
          <w:rFonts w:cs="Arial"/>
          <w:noProof/>
          <w:sz w:val="22"/>
          <w:szCs w:val="22"/>
        </w:rPr>
        <w:tab/>
        <w:t xml:space="preserve">Günter, S. P. The treatment of acute intoxication. </w:t>
      </w:r>
      <w:r w:rsidRPr="00F87462">
        <w:rPr>
          <w:rFonts w:cs="Arial"/>
          <w:noProof/>
          <w:sz w:val="22"/>
          <w:szCs w:val="22"/>
        </w:rPr>
        <w:t xml:space="preserve">Phosphorus. Pabst Sci Publ Berlin. </w:t>
      </w:r>
      <w:r w:rsidRPr="007528E0">
        <w:rPr>
          <w:rFonts w:cs="Arial"/>
          <w:noProof/>
          <w:sz w:val="22"/>
          <w:szCs w:val="22"/>
          <w:lang w:val="en-US"/>
        </w:rPr>
        <w:t xml:space="preserve">1997; </w:t>
      </w:r>
    </w:p>
    <w:p w14:paraId="6F864786" w14:textId="77777777" w:rsidR="0037398A" w:rsidRPr="007528E0" w:rsidRDefault="0037398A" w:rsidP="0037398A">
      <w:pPr>
        <w:widowControl w:val="0"/>
        <w:autoSpaceDE w:val="0"/>
        <w:autoSpaceDN w:val="0"/>
        <w:adjustRightInd w:val="0"/>
        <w:spacing w:before="100" w:beforeAutospacing="1" w:after="100" w:afterAutospacing="1"/>
        <w:ind w:left="640" w:hanging="640"/>
        <w:rPr>
          <w:rFonts w:cs="Arial"/>
          <w:noProof/>
          <w:sz w:val="22"/>
          <w:szCs w:val="22"/>
          <w:lang w:val="en-US"/>
        </w:rPr>
      </w:pPr>
      <w:r w:rsidRPr="007528E0">
        <w:rPr>
          <w:rFonts w:cs="Arial"/>
          <w:noProof/>
          <w:sz w:val="22"/>
          <w:szCs w:val="22"/>
          <w:lang w:val="en-US"/>
        </w:rPr>
        <w:t xml:space="preserve">63. </w:t>
      </w:r>
      <w:r w:rsidRPr="007528E0">
        <w:rPr>
          <w:rFonts w:cs="Arial"/>
          <w:noProof/>
          <w:sz w:val="22"/>
          <w:szCs w:val="22"/>
          <w:lang w:val="en-US"/>
        </w:rPr>
        <w:tab/>
        <w:t xml:space="preserve">Simon S and LP. Acute yellow phosphorus poisoning “Smoking stool Syndrome”. JAMA,. 1976;235(13):1343–4. </w:t>
      </w:r>
    </w:p>
    <w:p w14:paraId="0D72C4E9" w14:textId="77777777" w:rsidR="0037398A" w:rsidRPr="007528E0" w:rsidRDefault="0037398A" w:rsidP="0037398A">
      <w:pPr>
        <w:widowControl w:val="0"/>
        <w:autoSpaceDE w:val="0"/>
        <w:autoSpaceDN w:val="0"/>
        <w:adjustRightInd w:val="0"/>
        <w:spacing w:before="100" w:beforeAutospacing="1" w:after="100" w:afterAutospacing="1"/>
        <w:ind w:left="640" w:hanging="640"/>
        <w:rPr>
          <w:rFonts w:cs="Arial"/>
          <w:noProof/>
          <w:sz w:val="22"/>
          <w:szCs w:val="22"/>
        </w:rPr>
      </w:pPr>
      <w:r w:rsidRPr="007528E0">
        <w:rPr>
          <w:rFonts w:cs="Arial"/>
          <w:noProof/>
          <w:sz w:val="22"/>
          <w:szCs w:val="22"/>
          <w:lang w:val="en-US"/>
        </w:rPr>
        <w:t xml:space="preserve">64. </w:t>
      </w:r>
      <w:r w:rsidRPr="007528E0">
        <w:rPr>
          <w:rFonts w:cs="Arial"/>
          <w:noProof/>
          <w:sz w:val="22"/>
          <w:szCs w:val="22"/>
          <w:lang w:val="en-US"/>
        </w:rPr>
        <w:tab/>
        <w:t xml:space="preserve">González-Andrade F and RL-P. White phosphorus poisoning by oral ingestion of firecrackers or little devils: Current experience in Ecuador. </w:t>
      </w:r>
      <w:r w:rsidRPr="007528E0">
        <w:rPr>
          <w:rFonts w:cs="Arial"/>
          <w:noProof/>
          <w:sz w:val="22"/>
          <w:szCs w:val="22"/>
        </w:rPr>
        <w:t xml:space="preserve">Clin Toxicol. 2011;49:29–33. </w:t>
      </w:r>
    </w:p>
    <w:p w14:paraId="06F8E169" w14:textId="77777777" w:rsidR="0037398A" w:rsidRPr="007528E0" w:rsidRDefault="0037398A" w:rsidP="0037398A">
      <w:pPr>
        <w:widowControl w:val="0"/>
        <w:autoSpaceDE w:val="0"/>
        <w:autoSpaceDN w:val="0"/>
        <w:adjustRightInd w:val="0"/>
        <w:spacing w:before="100" w:beforeAutospacing="1" w:after="100" w:afterAutospacing="1"/>
        <w:ind w:left="640" w:hanging="640"/>
        <w:rPr>
          <w:rFonts w:cs="Arial"/>
          <w:noProof/>
          <w:sz w:val="22"/>
          <w:szCs w:val="22"/>
        </w:rPr>
      </w:pPr>
      <w:r w:rsidRPr="007528E0">
        <w:rPr>
          <w:rFonts w:cs="Arial"/>
          <w:noProof/>
          <w:sz w:val="22"/>
          <w:szCs w:val="22"/>
        </w:rPr>
        <w:t xml:space="preserve">65. </w:t>
      </w:r>
      <w:r w:rsidRPr="007528E0">
        <w:rPr>
          <w:rFonts w:cs="Arial"/>
          <w:noProof/>
          <w:sz w:val="22"/>
          <w:szCs w:val="22"/>
        </w:rPr>
        <w:tab/>
        <w:t xml:space="preserve">González Acosta, F., M. Ortiz Castañeda  and LF. Intoxicación aguda por fosforo blanco. Estudio experimental y clínico (informe preliminar). Acta MédicaColombiana,. 1976;4(1):261–6. </w:t>
      </w:r>
    </w:p>
    <w:p w14:paraId="14EC268E" w14:textId="77777777" w:rsidR="0037398A" w:rsidRPr="007528E0" w:rsidRDefault="0037398A" w:rsidP="0037398A">
      <w:pPr>
        <w:widowControl w:val="0"/>
        <w:autoSpaceDE w:val="0"/>
        <w:autoSpaceDN w:val="0"/>
        <w:adjustRightInd w:val="0"/>
        <w:spacing w:before="100" w:beforeAutospacing="1" w:after="100" w:afterAutospacing="1"/>
        <w:ind w:left="640" w:hanging="640"/>
        <w:rPr>
          <w:rFonts w:cs="Arial"/>
          <w:noProof/>
          <w:sz w:val="22"/>
          <w:szCs w:val="22"/>
          <w:lang w:val="en-US"/>
        </w:rPr>
      </w:pPr>
      <w:r w:rsidRPr="00F87462">
        <w:rPr>
          <w:rFonts w:cs="Arial"/>
          <w:noProof/>
          <w:sz w:val="22"/>
          <w:szCs w:val="22"/>
        </w:rPr>
        <w:t xml:space="preserve">66. </w:t>
      </w:r>
      <w:r w:rsidRPr="00F87462">
        <w:rPr>
          <w:rFonts w:cs="Arial"/>
          <w:noProof/>
          <w:sz w:val="22"/>
          <w:szCs w:val="22"/>
        </w:rPr>
        <w:tab/>
        <w:t xml:space="preserve">Kerns, W., G. Isom  and MK cGraw-HUS of A. Cyanide and hydrogen sulfide. </w:t>
      </w:r>
      <w:r w:rsidRPr="007528E0">
        <w:rPr>
          <w:rFonts w:cs="Arial"/>
          <w:noProof/>
          <w:sz w:val="22"/>
          <w:szCs w:val="22"/>
          <w:lang w:val="en-US"/>
        </w:rPr>
        <w:t xml:space="preserve">8th edition, McGraw Hill., in Goldfrank’sToxicologic Emergencies, L.R. Goldfrank. 2008. </w:t>
      </w:r>
    </w:p>
    <w:p w14:paraId="428FCBE9" w14:textId="77777777" w:rsidR="0037398A" w:rsidRPr="007528E0" w:rsidRDefault="0037398A" w:rsidP="0037398A">
      <w:pPr>
        <w:widowControl w:val="0"/>
        <w:autoSpaceDE w:val="0"/>
        <w:autoSpaceDN w:val="0"/>
        <w:adjustRightInd w:val="0"/>
        <w:spacing w:before="100" w:beforeAutospacing="1" w:after="100" w:afterAutospacing="1"/>
        <w:ind w:left="640" w:hanging="640"/>
        <w:rPr>
          <w:rFonts w:cs="Arial"/>
          <w:noProof/>
          <w:sz w:val="22"/>
          <w:szCs w:val="22"/>
        </w:rPr>
      </w:pPr>
      <w:r w:rsidRPr="007528E0">
        <w:rPr>
          <w:rFonts w:cs="Arial"/>
          <w:noProof/>
          <w:sz w:val="22"/>
          <w:szCs w:val="22"/>
          <w:lang w:val="en-US"/>
        </w:rPr>
        <w:t xml:space="preserve">67. </w:t>
      </w:r>
      <w:r w:rsidRPr="007528E0">
        <w:rPr>
          <w:rFonts w:cs="Arial"/>
          <w:noProof/>
          <w:sz w:val="22"/>
          <w:szCs w:val="22"/>
          <w:lang w:val="en-US"/>
        </w:rPr>
        <w:tab/>
        <w:t xml:space="preserve">Pettersen, J. and S. Cohen. The effects of cyanide on brain mitochondrial cytochrome oxidase and respiratory activities. </w:t>
      </w:r>
      <w:r w:rsidRPr="007528E0">
        <w:rPr>
          <w:rFonts w:cs="Arial"/>
          <w:noProof/>
          <w:sz w:val="22"/>
          <w:szCs w:val="22"/>
        </w:rPr>
        <w:t xml:space="preserve">ApplToxicol. 1993;13:9–14. </w:t>
      </w:r>
    </w:p>
    <w:p w14:paraId="218E7792" w14:textId="77777777" w:rsidR="0037398A" w:rsidRPr="007528E0" w:rsidRDefault="0037398A" w:rsidP="0037398A">
      <w:pPr>
        <w:widowControl w:val="0"/>
        <w:autoSpaceDE w:val="0"/>
        <w:autoSpaceDN w:val="0"/>
        <w:adjustRightInd w:val="0"/>
        <w:spacing w:before="100" w:beforeAutospacing="1" w:after="100" w:afterAutospacing="1"/>
        <w:ind w:left="640" w:hanging="640"/>
        <w:rPr>
          <w:rFonts w:cs="Arial"/>
          <w:noProof/>
          <w:sz w:val="22"/>
          <w:szCs w:val="22"/>
          <w:lang w:val="en-US"/>
        </w:rPr>
      </w:pPr>
      <w:r w:rsidRPr="007528E0">
        <w:rPr>
          <w:rFonts w:cs="Arial"/>
          <w:noProof/>
          <w:sz w:val="22"/>
          <w:szCs w:val="22"/>
        </w:rPr>
        <w:t xml:space="preserve">68. </w:t>
      </w:r>
      <w:r w:rsidRPr="007528E0">
        <w:rPr>
          <w:rFonts w:cs="Arial"/>
          <w:noProof/>
          <w:sz w:val="22"/>
          <w:szCs w:val="22"/>
        </w:rPr>
        <w:tab/>
        <w:t xml:space="preserve">Perez Hernandez, T. and N. Patino Reyes. Manual para el analisis toxicologico en el laboratorio de urgencias. </w:t>
      </w:r>
      <w:r w:rsidRPr="007528E0">
        <w:rPr>
          <w:rFonts w:cs="Arial"/>
          <w:noProof/>
          <w:sz w:val="22"/>
          <w:szCs w:val="22"/>
          <w:lang w:val="en-US"/>
        </w:rPr>
        <w:t xml:space="preserve">2009. </w:t>
      </w:r>
    </w:p>
    <w:p w14:paraId="718DF247" w14:textId="77777777" w:rsidR="0037398A" w:rsidRPr="007528E0" w:rsidRDefault="0037398A" w:rsidP="0037398A">
      <w:pPr>
        <w:widowControl w:val="0"/>
        <w:autoSpaceDE w:val="0"/>
        <w:autoSpaceDN w:val="0"/>
        <w:adjustRightInd w:val="0"/>
        <w:spacing w:before="100" w:beforeAutospacing="1" w:after="100" w:afterAutospacing="1"/>
        <w:ind w:left="640" w:hanging="640"/>
        <w:rPr>
          <w:rFonts w:cs="Arial"/>
          <w:noProof/>
          <w:sz w:val="22"/>
          <w:szCs w:val="22"/>
          <w:lang w:val="en-US"/>
        </w:rPr>
      </w:pPr>
      <w:r w:rsidRPr="007528E0">
        <w:rPr>
          <w:rFonts w:cs="Arial"/>
          <w:noProof/>
          <w:sz w:val="22"/>
          <w:szCs w:val="22"/>
          <w:lang w:val="en-US"/>
        </w:rPr>
        <w:lastRenderedPageBreak/>
        <w:t xml:space="preserve">69. </w:t>
      </w:r>
      <w:r w:rsidRPr="007528E0">
        <w:rPr>
          <w:rFonts w:cs="Arial"/>
          <w:noProof/>
          <w:sz w:val="22"/>
          <w:szCs w:val="22"/>
          <w:lang w:val="en-US"/>
        </w:rPr>
        <w:tab/>
        <w:t xml:space="preserve">Borron S. Recognition and treatment of acute cyanide poisoning. EmergNurs. 2006;32:8–12. </w:t>
      </w:r>
    </w:p>
    <w:p w14:paraId="6D94909E" w14:textId="77777777" w:rsidR="0037398A" w:rsidRPr="007528E0" w:rsidRDefault="0037398A" w:rsidP="0037398A">
      <w:pPr>
        <w:widowControl w:val="0"/>
        <w:autoSpaceDE w:val="0"/>
        <w:autoSpaceDN w:val="0"/>
        <w:adjustRightInd w:val="0"/>
        <w:spacing w:before="100" w:beforeAutospacing="1" w:after="100" w:afterAutospacing="1"/>
        <w:ind w:left="640" w:hanging="640"/>
        <w:rPr>
          <w:rFonts w:cs="Arial"/>
          <w:noProof/>
          <w:sz w:val="22"/>
          <w:szCs w:val="22"/>
          <w:lang w:val="en-US"/>
        </w:rPr>
      </w:pPr>
      <w:r w:rsidRPr="007528E0">
        <w:rPr>
          <w:rFonts w:cs="Arial"/>
          <w:noProof/>
          <w:sz w:val="22"/>
          <w:szCs w:val="22"/>
          <w:lang w:val="en-US"/>
        </w:rPr>
        <w:t xml:space="preserve">70. </w:t>
      </w:r>
      <w:r w:rsidRPr="007528E0">
        <w:rPr>
          <w:rFonts w:cs="Arial"/>
          <w:noProof/>
          <w:sz w:val="22"/>
          <w:szCs w:val="22"/>
          <w:lang w:val="en-US"/>
        </w:rPr>
        <w:tab/>
        <w:t xml:space="preserve">Bhatt, M., J. Obeso  and CM. Time course of postanoxicakinetic-rigid and dystonic syndromes. Neurology,. 1993;43:314–7. </w:t>
      </w:r>
    </w:p>
    <w:p w14:paraId="777CDCEE" w14:textId="77777777" w:rsidR="0037398A" w:rsidRPr="007528E0" w:rsidRDefault="0037398A" w:rsidP="0037398A">
      <w:pPr>
        <w:widowControl w:val="0"/>
        <w:autoSpaceDE w:val="0"/>
        <w:autoSpaceDN w:val="0"/>
        <w:adjustRightInd w:val="0"/>
        <w:spacing w:before="100" w:beforeAutospacing="1" w:after="100" w:afterAutospacing="1"/>
        <w:ind w:left="640" w:hanging="640"/>
        <w:rPr>
          <w:rFonts w:cs="Arial"/>
          <w:noProof/>
          <w:sz w:val="22"/>
          <w:szCs w:val="22"/>
          <w:lang w:val="en-US"/>
        </w:rPr>
      </w:pPr>
      <w:r w:rsidRPr="007528E0">
        <w:rPr>
          <w:rFonts w:cs="Arial"/>
          <w:noProof/>
          <w:sz w:val="22"/>
          <w:szCs w:val="22"/>
          <w:lang w:val="en-US"/>
        </w:rPr>
        <w:t xml:space="preserve">71. </w:t>
      </w:r>
      <w:r w:rsidRPr="007528E0">
        <w:rPr>
          <w:rFonts w:cs="Arial"/>
          <w:noProof/>
          <w:sz w:val="22"/>
          <w:szCs w:val="22"/>
          <w:lang w:val="en-US"/>
        </w:rPr>
        <w:tab/>
        <w:t>Kardon E. Caustic ingestions. In. Medscape Reference [Internet]. 2010. Available from: http://emedicine.medscape.com/article/813772-overview.</w:t>
      </w:r>
    </w:p>
    <w:p w14:paraId="0C348715" w14:textId="77777777" w:rsidR="0037398A" w:rsidRPr="007528E0" w:rsidRDefault="0037398A" w:rsidP="0037398A">
      <w:pPr>
        <w:widowControl w:val="0"/>
        <w:autoSpaceDE w:val="0"/>
        <w:autoSpaceDN w:val="0"/>
        <w:adjustRightInd w:val="0"/>
        <w:spacing w:before="100" w:beforeAutospacing="1" w:after="100" w:afterAutospacing="1"/>
        <w:ind w:left="640" w:hanging="640"/>
        <w:rPr>
          <w:rFonts w:cs="Arial"/>
          <w:noProof/>
          <w:sz w:val="22"/>
          <w:szCs w:val="22"/>
          <w:lang w:val="en-US"/>
        </w:rPr>
      </w:pPr>
      <w:r w:rsidRPr="007528E0">
        <w:rPr>
          <w:rFonts w:cs="Arial"/>
          <w:noProof/>
          <w:sz w:val="22"/>
          <w:szCs w:val="22"/>
          <w:lang w:val="en-US"/>
        </w:rPr>
        <w:t xml:space="preserve">72. </w:t>
      </w:r>
      <w:r w:rsidRPr="007528E0">
        <w:rPr>
          <w:rFonts w:cs="Arial"/>
          <w:noProof/>
          <w:sz w:val="22"/>
          <w:szCs w:val="22"/>
          <w:lang w:val="en-US"/>
        </w:rPr>
        <w:tab/>
        <w:t xml:space="preserve">Kay M and RW. Caustic ingestions in children Current opinion in pediatrics. Pediatrics. 2010;5(20):651–4. </w:t>
      </w:r>
    </w:p>
    <w:p w14:paraId="562EE467" w14:textId="77777777" w:rsidR="0037398A" w:rsidRPr="007528E0" w:rsidRDefault="0037398A" w:rsidP="0037398A">
      <w:pPr>
        <w:widowControl w:val="0"/>
        <w:autoSpaceDE w:val="0"/>
        <w:autoSpaceDN w:val="0"/>
        <w:adjustRightInd w:val="0"/>
        <w:spacing w:before="100" w:beforeAutospacing="1" w:after="100" w:afterAutospacing="1"/>
        <w:ind w:left="640" w:hanging="640"/>
        <w:rPr>
          <w:rFonts w:cs="Arial"/>
          <w:noProof/>
          <w:sz w:val="22"/>
          <w:szCs w:val="22"/>
        </w:rPr>
      </w:pPr>
      <w:r w:rsidRPr="007528E0">
        <w:rPr>
          <w:rFonts w:cs="Arial"/>
          <w:noProof/>
          <w:sz w:val="22"/>
          <w:szCs w:val="22"/>
          <w:lang w:val="en-US"/>
        </w:rPr>
        <w:t xml:space="preserve">73. </w:t>
      </w:r>
      <w:r w:rsidRPr="007528E0">
        <w:rPr>
          <w:rFonts w:cs="Arial"/>
          <w:noProof/>
          <w:sz w:val="22"/>
          <w:szCs w:val="22"/>
          <w:lang w:val="en-US"/>
        </w:rPr>
        <w:tab/>
        <w:t xml:space="preserve">Salzman M and RO. Updates on the evaluation and management of caustic exposures. </w:t>
      </w:r>
      <w:r w:rsidRPr="007528E0">
        <w:rPr>
          <w:rFonts w:cs="Arial"/>
          <w:noProof/>
          <w:sz w:val="22"/>
          <w:szCs w:val="22"/>
        </w:rPr>
        <w:t xml:space="preserve">Med Clin North Am. 2007;2(25):459–76. </w:t>
      </w:r>
    </w:p>
    <w:p w14:paraId="5FFD30F6" w14:textId="77777777" w:rsidR="0037398A" w:rsidRPr="007528E0" w:rsidRDefault="0037398A" w:rsidP="0037398A">
      <w:pPr>
        <w:widowControl w:val="0"/>
        <w:autoSpaceDE w:val="0"/>
        <w:autoSpaceDN w:val="0"/>
        <w:adjustRightInd w:val="0"/>
        <w:spacing w:before="100" w:beforeAutospacing="1" w:after="100" w:afterAutospacing="1"/>
        <w:ind w:left="640" w:hanging="640"/>
        <w:rPr>
          <w:rFonts w:cs="Arial"/>
          <w:noProof/>
          <w:sz w:val="22"/>
          <w:szCs w:val="22"/>
          <w:lang w:val="en-US"/>
        </w:rPr>
      </w:pPr>
      <w:r w:rsidRPr="007528E0">
        <w:rPr>
          <w:rFonts w:cs="Arial"/>
          <w:noProof/>
          <w:sz w:val="22"/>
          <w:szCs w:val="22"/>
        </w:rPr>
        <w:t xml:space="preserve">74. </w:t>
      </w:r>
      <w:r w:rsidRPr="007528E0">
        <w:rPr>
          <w:rFonts w:cs="Arial"/>
          <w:noProof/>
          <w:sz w:val="22"/>
          <w:szCs w:val="22"/>
        </w:rPr>
        <w:tab/>
        <w:t xml:space="preserve">Alzate LM. Intoxicación crónica con mercurio en mineros del oro y frecuencia de malformaciones congénitas, abortos y muertes perinatales en el municipio de Quinchìa, Departamento de Risaralda. </w:t>
      </w:r>
      <w:r w:rsidRPr="007528E0">
        <w:rPr>
          <w:rFonts w:cs="Arial"/>
          <w:noProof/>
          <w:sz w:val="22"/>
          <w:szCs w:val="22"/>
          <w:lang w:val="en-US"/>
        </w:rPr>
        <w:t xml:space="preserve">Universidad de Antioquia. Medellín.1996.; </w:t>
      </w:r>
    </w:p>
    <w:p w14:paraId="0F4C3CA4" w14:textId="77777777" w:rsidR="0037398A" w:rsidRPr="007528E0" w:rsidRDefault="0037398A" w:rsidP="0037398A">
      <w:pPr>
        <w:widowControl w:val="0"/>
        <w:autoSpaceDE w:val="0"/>
        <w:autoSpaceDN w:val="0"/>
        <w:adjustRightInd w:val="0"/>
        <w:spacing w:before="100" w:beforeAutospacing="1" w:after="100" w:afterAutospacing="1"/>
        <w:ind w:left="640" w:hanging="640"/>
        <w:rPr>
          <w:rFonts w:cs="Arial"/>
          <w:noProof/>
          <w:sz w:val="22"/>
          <w:szCs w:val="22"/>
        </w:rPr>
      </w:pPr>
      <w:r w:rsidRPr="007528E0">
        <w:rPr>
          <w:rFonts w:cs="Arial"/>
          <w:noProof/>
          <w:sz w:val="22"/>
          <w:szCs w:val="22"/>
          <w:lang w:val="en-US"/>
        </w:rPr>
        <w:t xml:space="preserve">75. </w:t>
      </w:r>
      <w:r w:rsidRPr="007528E0">
        <w:rPr>
          <w:rFonts w:cs="Arial"/>
          <w:noProof/>
          <w:sz w:val="22"/>
          <w:szCs w:val="22"/>
          <w:lang w:val="en-US"/>
        </w:rPr>
        <w:tab/>
        <w:t xml:space="preserve">Havanond C and PH. Initial signs and symptoms as prognostic indicators of severe gastrointestinal tract injury due to corrosive ingestion. </w:t>
      </w:r>
      <w:r w:rsidRPr="007528E0">
        <w:rPr>
          <w:rFonts w:cs="Arial"/>
          <w:noProof/>
          <w:sz w:val="22"/>
          <w:szCs w:val="22"/>
        </w:rPr>
        <w:t xml:space="preserve">J Emerg Med. 2007;4(33):349–53. </w:t>
      </w:r>
    </w:p>
    <w:p w14:paraId="7ABF08EF" w14:textId="77777777" w:rsidR="0037398A" w:rsidRPr="007528E0" w:rsidRDefault="0037398A" w:rsidP="0037398A">
      <w:pPr>
        <w:widowControl w:val="0"/>
        <w:autoSpaceDE w:val="0"/>
        <w:autoSpaceDN w:val="0"/>
        <w:adjustRightInd w:val="0"/>
        <w:spacing w:before="100" w:beforeAutospacing="1" w:after="100" w:afterAutospacing="1"/>
        <w:ind w:left="640" w:hanging="640"/>
        <w:rPr>
          <w:rFonts w:cs="Arial"/>
          <w:noProof/>
          <w:sz w:val="22"/>
          <w:szCs w:val="22"/>
        </w:rPr>
      </w:pPr>
      <w:r w:rsidRPr="007528E0">
        <w:rPr>
          <w:rFonts w:cs="Arial"/>
          <w:noProof/>
          <w:sz w:val="22"/>
          <w:szCs w:val="22"/>
        </w:rPr>
        <w:t xml:space="preserve">76. </w:t>
      </w:r>
      <w:r w:rsidRPr="007528E0">
        <w:rPr>
          <w:rFonts w:cs="Arial"/>
          <w:noProof/>
          <w:sz w:val="22"/>
          <w:szCs w:val="22"/>
        </w:rPr>
        <w:tab/>
        <w:t xml:space="preserve">Córdoba, A., et al. Plantas tóxicas caseras en la ciudad de Manizales. Biosalud Rev Ciencias Básicas. 2003;1–15. </w:t>
      </w:r>
    </w:p>
    <w:p w14:paraId="0DC6C338" w14:textId="77777777" w:rsidR="0037398A" w:rsidRPr="007528E0" w:rsidRDefault="0037398A" w:rsidP="0037398A">
      <w:pPr>
        <w:widowControl w:val="0"/>
        <w:autoSpaceDE w:val="0"/>
        <w:autoSpaceDN w:val="0"/>
        <w:adjustRightInd w:val="0"/>
        <w:spacing w:before="100" w:beforeAutospacing="1" w:after="100" w:afterAutospacing="1"/>
        <w:ind w:left="640" w:hanging="640"/>
        <w:rPr>
          <w:rFonts w:cs="Arial"/>
          <w:noProof/>
          <w:sz w:val="22"/>
          <w:szCs w:val="22"/>
        </w:rPr>
      </w:pPr>
      <w:r w:rsidRPr="007528E0">
        <w:rPr>
          <w:rFonts w:cs="Arial"/>
          <w:noProof/>
          <w:sz w:val="22"/>
          <w:szCs w:val="22"/>
        </w:rPr>
        <w:t xml:space="preserve">77. </w:t>
      </w:r>
      <w:r w:rsidRPr="007528E0">
        <w:rPr>
          <w:rFonts w:cs="Arial"/>
          <w:noProof/>
          <w:sz w:val="22"/>
          <w:szCs w:val="22"/>
        </w:rPr>
        <w:tab/>
        <w:t xml:space="preserve">Fernández Alonso, J.L., A. Galindo Bonilla  and JMI. Las plantas como evidencia legal. Desarrollo de la botánica forense en Colombia. Rev la Acad Colomb Ciencias Exactas, Físicas y Nat. 2007;31(119):181–98. </w:t>
      </w:r>
    </w:p>
    <w:p w14:paraId="1D3C01B4" w14:textId="77777777" w:rsidR="0037398A" w:rsidRPr="007528E0" w:rsidRDefault="0037398A" w:rsidP="0037398A">
      <w:pPr>
        <w:spacing w:before="100" w:beforeAutospacing="1" w:after="100" w:afterAutospacing="1"/>
        <w:rPr>
          <w:rFonts w:cs="Arial"/>
          <w:sz w:val="22"/>
          <w:szCs w:val="22"/>
        </w:rPr>
      </w:pPr>
      <w:r w:rsidRPr="007528E0">
        <w:rPr>
          <w:rFonts w:cs="Arial"/>
          <w:sz w:val="22"/>
          <w:szCs w:val="22"/>
        </w:rPr>
        <w:fldChar w:fldCharType="end"/>
      </w:r>
    </w:p>
    <w:p w14:paraId="5F0C1E64" w14:textId="77777777" w:rsidR="00B10FF8" w:rsidRPr="007528E0" w:rsidRDefault="00B10FF8" w:rsidP="005F12FD">
      <w:pPr>
        <w:rPr>
          <w:rFonts w:asciiTheme="majorHAnsi" w:hAnsiTheme="majorHAnsi" w:cstheme="majorHAnsi"/>
          <w:b/>
        </w:rPr>
      </w:pPr>
    </w:p>
    <w:sectPr w:rsidR="00B10FF8" w:rsidRPr="007528E0" w:rsidSect="00BB20CE">
      <w:headerReference w:type="default" r:id="rId13"/>
      <w:footerReference w:type="default" r:id="rId14"/>
      <w:pgSz w:w="12240" w:h="15840"/>
      <w:pgMar w:top="2381" w:right="1701" w:bottom="1985"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8F8FAD" w14:textId="77777777" w:rsidR="00607F9D" w:rsidRDefault="00607F9D" w:rsidP="00733FA3">
      <w:r>
        <w:separator/>
      </w:r>
    </w:p>
  </w:endnote>
  <w:endnote w:type="continuationSeparator" w:id="0">
    <w:p w14:paraId="1A644CB1" w14:textId="77777777" w:rsidR="00607F9D" w:rsidRDefault="00607F9D" w:rsidP="00733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altName w:val="Arial"/>
    <w:charset w:val="00"/>
    <w:family w:val="swiss"/>
    <w:pitch w:val="variable"/>
    <w:sig w:usb0="00000000" w:usb1="5000A1FF" w:usb2="00000000" w:usb3="00000000" w:csb0="000001BF" w:csb1="00000000"/>
  </w:font>
  <w:font w:name="Swis721 Blk BT">
    <w:charset w:val="00"/>
    <w:family w:val="swiss"/>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36939494"/>
      <w:docPartObj>
        <w:docPartGallery w:val="Page Numbers (Bottom of Page)"/>
        <w:docPartUnique/>
      </w:docPartObj>
    </w:sdtPr>
    <w:sdtEndPr>
      <w:rPr>
        <w:rFonts w:cs="Arial"/>
        <w:sz w:val="20"/>
        <w:szCs w:val="20"/>
      </w:rPr>
    </w:sdtEndPr>
    <w:sdtContent>
      <w:p w14:paraId="090FADC3" w14:textId="77777777" w:rsidR="00F87462" w:rsidRDefault="00F87462" w:rsidP="004C44DA">
        <w:pPr>
          <w:pStyle w:val="Piedepgina"/>
          <w:jc w:val="right"/>
        </w:pPr>
        <w:r>
          <w:softHyphen/>
        </w:r>
      </w:p>
      <w:p w14:paraId="3989B9ED" w14:textId="77777777" w:rsidR="00F87462" w:rsidRPr="004C44DA" w:rsidRDefault="00F87462" w:rsidP="004C44DA">
        <w:pPr>
          <w:pStyle w:val="Piedepgina"/>
          <w:jc w:val="right"/>
          <w:rPr>
            <w:rFonts w:cs="Arial"/>
            <w:sz w:val="20"/>
            <w:szCs w:val="20"/>
          </w:rPr>
        </w:pPr>
        <w:r w:rsidRPr="004C44DA">
          <w:rPr>
            <w:rFonts w:cs="Arial"/>
            <w:sz w:val="20"/>
            <w:szCs w:val="20"/>
          </w:rPr>
          <w:fldChar w:fldCharType="begin"/>
        </w:r>
        <w:r w:rsidRPr="004C44DA">
          <w:rPr>
            <w:rFonts w:cs="Arial"/>
            <w:sz w:val="20"/>
            <w:szCs w:val="20"/>
          </w:rPr>
          <w:instrText xml:space="preserve"> PAGE </w:instrText>
        </w:r>
        <w:r w:rsidRPr="004C44DA">
          <w:rPr>
            <w:rFonts w:cs="Arial"/>
            <w:sz w:val="20"/>
            <w:szCs w:val="20"/>
          </w:rPr>
          <w:fldChar w:fldCharType="separate"/>
        </w:r>
        <w:r>
          <w:rPr>
            <w:rFonts w:cs="Arial"/>
            <w:noProof/>
            <w:sz w:val="20"/>
            <w:szCs w:val="20"/>
          </w:rPr>
          <w:t>54</w:t>
        </w:r>
        <w:r w:rsidRPr="004C44DA">
          <w:rPr>
            <w:rFonts w:cs="Arial"/>
            <w:sz w:val="20"/>
            <w:szCs w:val="20"/>
          </w:rPr>
          <w:fldChar w:fldCharType="end"/>
        </w:r>
        <w:r w:rsidRPr="004C44DA">
          <w:rPr>
            <w:rFonts w:cs="Arial"/>
            <w:sz w:val="20"/>
            <w:szCs w:val="20"/>
          </w:rPr>
          <w:t xml:space="preserve"> de </w:t>
        </w:r>
        <w:r w:rsidRPr="004C44DA">
          <w:rPr>
            <w:rStyle w:val="Nmerodepgina"/>
            <w:rFonts w:cs="Arial"/>
            <w:sz w:val="20"/>
            <w:szCs w:val="20"/>
          </w:rPr>
          <w:fldChar w:fldCharType="begin"/>
        </w:r>
        <w:r w:rsidRPr="004C44DA">
          <w:rPr>
            <w:rStyle w:val="Nmerodepgina"/>
            <w:rFonts w:cs="Arial"/>
            <w:sz w:val="20"/>
            <w:szCs w:val="20"/>
          </w:rPr>
          <w:instrText xml:space="preserve"> NUMPAGES </w:instrText>
        </w:r>
        <w:r w:rsidRPr="004C44DA">
          <w:rPr>
            <w:rStyle w:val="Nmerodepgina"/>
            <w:rFonts w:cs="Arial"/>
            <w:sz w:val="20"/>
            <w:szCs w:val="20"/>
          </w:rPr>
          <w:fldChar w:fldCharType="separate"/>
        </w:r>
        <w:r>
          <w:rPr>
            <w:rStyle w:val="Nmerodepgina"/>
            <w:rFonts w:cs="Arial"/>
            <w:noProof/>
            <w:sz w:val="20"/>
            <w:szCs w:val="20"/>
          </w:rPr>
          <w:t>58</w:t>
        </w:r>
        <w:r w:rsidRPr="004C44DA">
          <w:rPr>
            <w:rStyle w:val="Nmerodepgina"/>
            <w:rFonts w:cs="Arial"/>
            <w:sz w:val="20"/>
            <w:szCs w:val="20"/>
          </w:rPr>
          <w:fldChar w:fldCharType="end"/>
        </w:r>
      </w:p>
    </w:sdtContent>
  </w:sdt>
  <w:p w14:paraId="73AE99C1" w14:textId="506F0EC3" w:rsidR="00F87462" w:rsidRDefault="00F87462" w:rsidP="009F3D5F">
    <w:pPr>
      <w:pStyle w:val="Piedepgina"/>
      <w:jc w:val="center"/>
    </w:pPr>
    <w:r>
      <w:rPr>
        <w:noProof/>
        <w:lang w:val="es-CO" w:eastAsia="es-CO"/>
      </w:rPr>
      <w:drawing>
        <wp:inline distT="0" distB="0" distL="0" distR="0" wp14:anchorId="4F961CB1" wp14:editId="1652F0AC">
          <wp:extent cx="5612130" cy="718820"/>
          <wp:effectExtent l="0" t="0" r="7620" b="5080"/>
          <wp:docPr id="2" name="Imagen 2" descr="Imagen que contiene captura de pantalla&#10;&#10;Descripción generada con confianza muy al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G_Pie de página documentos.jpg"/>
                  <pic:cNvPicPr/>
                </pic:nvPicPr>
                <pic:blipFill>
                  <a:blip r:embed="rId1"/>
                  <a:stretch>
                    <a:fillRect/>
                  </a:stretch>
                </pic:blipFill>
                <pic:spPr>
                  <a:xfrm>
                    <a:off x="0" y="0"/>
                    <a:ext cx="5612130" cy="71882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F07DCC" w14:textId="77777777" w:rsidR="00607F9D" w:rsidRDefault="00607F9D" w:rsidP="00733FA3">
      <w:r>
        <w:separator/>
      </w:r>
    </w:p>
  </w:footnote>
  <w:footnote w:type="continuationSeparator" w:id="0">
    <w:p w14:paraId="59CAFCC6" w14:textId="77777777" w:rsidR="00607F9D" w:rsidRDefault="00607F9D" w:rsidP="00733F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9A7048" w14:textId="6B4147F4" w:rsidR="00F87462" w:rsidRPr="00AC0960" w:rsidRDefault="00F87462" w:rsidP="00AC0960">
    <w:pPr>
      <w:pStyle w:val="Encabezado"/>
    </w:pPr>
    <w:r>
      <w:rPr>
        <w:noProof/>
        <w:lang w:val="es-CO" w:eastAsia="es-CO"/>
      </w:rPr>
      <w:drawing>
        <wp:inline distT="0" distB="0" distL="0" distR="0" wp14:anchorId="4272466A" wp14:editId="3E873E7A">
          <wp:extent cx="5612130" cy="871220"/>
          <wp:effectExtent l="0" t="0" r="7620" b="508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G_Membrete papelería_2018_08_21_Cabezote documentos.jpg"/>
                  <pic:cNvPicPr/>
                </pic:nvPicPr>
                <pic:blipFill>
                  <a:blip r:embed="rId1"/>
                  <a:stretch>
                    <a:fillRect/>
                  </a:stretch>
                </pic:blipFill>
                <pic:spPr>
                  <a:xfrm>
                    <a:off x="0" y="0"/>
                    <a:ext cx="5612130" cy="8712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E35F2"/>
    <w:multiLevelType w:val="hybridMultilevel"/>
    <w:tmpl w:val="906A9EC4"/>
    <w:lvl w:ilvl="0" w:tplc="364C592C">
      <w:start w:val="1"/>
      <w:numFmt w:val="decimal"/>
      <w:lvlText w:val="%1."/>
      <w:lvlJc w:val="left"/>
      <w:pPr>
        <w:tabs>
          <w:tab w:val="num" w:pos="360"/>
        </w:tabs>
        <w:ind w:left="360" w:hanging="360"/>
      </w:pPr>
    </w:lvl>
    <w:lvl w:ilvl="1" w:tplc="EB84C12C">
      <w:start w:val="1"/>
      <w:numFmt w:val="lowerLetter"/>
      <w:lvlText w:val="%2."/>
      <w:lvlJc w:val="left"/>
      <w:pPr>
        <w:tabs>
          <w:tab w:val="num" w:pos="1080"/>
        </w:tabs>
        <w:ind w:left="1080" w:hanging="360"/>
      </w:pPr>
      <w:rPr>
        <w:rFonts w:hint="default"/>
      </w:rPr>
    </w:lvl>
    <w:lvl w:ilvl="2" w:tplc="771849EE">
      <w:start w:val="1"/>
      <w:numFmt w:val="decimal"/>
      <w:lvlText w:val="%3."/>
      <w:lvlJc w:val="left"/>
      <w:pPr>
        <w:tabs>
          <w:tab w:val="num" w:pos="2227"/>
        </w:tabs>
        <w:ind w:left="2227" w:hanging="607"/>
      </w:pPr>
      <w:rPr>
        <w:rFonts w:hint="default"/>
      </w:rPr>
    </w:lvl>
    <w:lvl w:ilvl="3" w:tplc="0EFC33A2">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 w15:restartNumberingAfterBreak="0">
    <w:nsid w:val="0D344576"/>
    <w:multiLevelType w:val="hybridMultilevel"/>
    <w:tmpl w:val="F34E9254"/>
    <w:lvl w:ilvl="0" w:tplc="46C8C020">
      <w:start w:val="1"/>
      <w:numFmt w:val="bullet"/>
      <w:lvlText w:val="•"/>
      <w:lvlJc w:val="left"/>
      <w:pPr>
        <w:tabs>
          <w:tab w:val="num" w:pos="720"/>
        </w:tabs>
        <w:ind w:left="720" w:hanging="360"/>
      </w:pPr>
      <w:rPr>
        <w:rFonts w:ascii="Arial" w:hAnsi="Arial" w:hint="default"/>
      </w:rPr>
    </w:lvl>
    <w:lvl w:ilvl="1" w:tplc="4454B7C6" w:tentative="1">
      <w:start w:val="1"/>
      <w:numFmt w:val="bullet"/>
      <w:lvlText w:val="•"/>
      <w:lvlJc w:val="left"/>
      <w:pPr>
        <w:tabs>
          <w:tab w:val="num" w:pos="1440"/>
        </w:tabs>
        <w:ind w:left="1440" w:hanging="360"/>
      </w:pPr>
      <w:rPr>
        <w:rFonts w:ascii="Arial" w:hAnsi="Arial" w:hint="default"/>
      </w:rPr>
    </w:lvl>
    <w:lvl w:ilvl="2" w:tplc="DC3EE74E" w:tentative="1">
      <w:start w:val="1"/>
      <w:numFmt w:val="bullet"/>
      <w:lvlText w:val="•"/>
      <w:lvlJc w:val="left"/>
      <w:pPr>
        <w:tabs>
          <w:tab w:val="num" w:pos="2160"/>
        </w:tabs>
        <w:ind w:left="2160" w:hanging="360"/>
      </w:pPr>
      <w:rPr>
        <w:rFonts w:ascii="Arial" w:hAnsi="Arial" w:hint="default"/>
      </w:rPr>
    </w:lvl>
    <w:lvl w:ilvl="3" w:tplc="1BF4CFDC" w:tentative="1">
      <w:start w:val="1"/>
      <w:numFmt w:val="bullet"/>
      <w:lvlText w:val="•"/>
      <w:lvlJc w:val="left"/>
      <w:pPr>
        <w:tabs>
          <w:tab w:val="num" w:pos="2880"/>
        </w:tabs>
        <w:ind w:left="2880" w:hanging="360"/>
      </w:pPr>
      <w:rPr>
        <w:rFonts w:ascii="Arial" w:hAnsi="Arial" w:hint="default"/>
      </w:rPr>
    </w:lvl>
    <w:lvl w:ilvl="4" w:tplc="E8384D42" w:tentative="1">
      <w:start w:val="1"/>
      <w:numFmt w:val="bullet"/>
      <w:lvlText w:val="•"/>
      <w:lvlJc w:val="left"/>
      <w:pPr>
        <w:tabs>
          <w:tab w:val="num" w:pos="3600"/>
        </w:tabs>
        <w:ind w:left="3600" w:hanging="360"/>
      </w:pPr>
      <w:rPr>
        <w:rFonts w:ascii="Arial" w:hAnsi="Arial" w:hint="default"/>
      </w:rPr>
    </w:lvl>
    <w:lvl w:ilvl="5" w:tplc="5EB856C8" w:tentative="1">
      <w:start w:val="1"/>
      <w:numFmt w:val="bullet"/>
      <w:lvlText w:val="•"/>
      <w:lvlJc w:val="left"/>
      <w:pPr>
        <w:tabs>
          <w:tab w:val="num" w:pos="4320"/>
        </w:tabs>
        <w:ind w:left="4320" w:hanging="360"/>
      </w:pPr>
      <w:rPr>
        <w:rFonts w:ascii="Arial" w:hAnsi="Arial" w:hint="default"/>
      </w:rPr>
    </w:lvl>
    <w:lvl w:ilvl="6" w:tplc="B4E41E06" w:tentative="1">
      <w:start w:val="1"/>
      <w:numFmt w:val="bullet"/>
      <w:lvlText w:val="•"/>
      <w:lvlJc w:val="left"/>
      <w:pPr>
        <w:tabs>
          <w:tab w:val="num" w:pos="5040"/>
        </w:tabs>
        <w:ind w:left="5040" w:hanging="360"/>
      </w:pPr>
      <w:rPr>
        <w:rFonts w:ascii="Arial" w:hAnsi="Arial" w:hint="default"/>
      </w:rPr>
    </w:lvl>
    <w:lvl w:ilvl="7" w:tplc="4E86DC02" w:tentative="1">
      <w:start w:val="1"/>
      <w:numFmt w:val="bullet"/>
      <w:lvlText w:val="•"/>
      <w:lvlJc w:val="left"/>
      <w:pPr>
        <w:tabs>
          <w:tab w:val="num" w:pos="5760"/>
        </w:tabs>
        <w:ind w:left="5760" w:hanging="360"/>
      </w:pPr>
      <w:rPr>
        <w:rFonts w:ascii="Arial" w:hAnsi="Arial" w:hint="default"/>
      </w:rPr>
    </w:lvl>
    <w:lvl w:ilvl="8" w:tplc="E522D07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E3A6AA0"/>
    <w:multiLevelType w:val="hybridMultilevel"/>
    <w:tmpl w:val="A52E54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0484BF9"/>
    <w:multiLevelType w:val="hybridMultilevel"/>
    <w:tmpl w:val="27AA222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203375C"/>
    <w:multiLevelType w:val="hybridMultilevel"/>
    <w:tmpl w:val="04C69084"/>
    <w:lvl w:ilvl="0" w:tplc="B5B2F890">
      <w:start w:val="1"/>
      <w:numFmt w:val="bullet"/>
      <w:lvlText w:val="•"/>
      <w:lvlJc w:val="left"/>
      <w:pPr>
        <w:tabs>
          <w:tab w:val="num" w:pos="720"/>
        </w:tabs>
        <w:ind w:left="720" w:hanging="360"/>
      </w:pPr>
      <w:rPr>
        <w:rFonts w:ascii="Arial" w:hAnsi="Arial" w:hint="default"/>
      </w:rPr>
    </w:lvl>
    <w:lvl w:ilvl="1" w:tplc="54D038FE" w:tentative="1">
      <w:start w:val="1"/>
      <w:numFmt w:val="bullet"/>
      <w:lvlText w:val="•"/>
      <w:lvlJc w:val="left"/>
      <w:pPr>
        <w:tabs>
          <w:tab w:val="num" w:pos="1440"/>
        </w:tabs>
        <w:ind w:left="1440" w:hanging="360"/>
      </w:pPr>
      <w:rPr>
        <w:rFonts w:ascii="Arial" w:hAnsi="Arial" w:hint="default"/>
      </w:rPr>
    </w:lvl>
    <w:lvl w:ilvl="2" w:tplc="CD82A408" w:tentative="1">
      <w:start w:val="1"/>
      <w:numFmt w:val="bullet"/>
      <w:lvlText w:val="•"/>
      <w:lvlJc w:val="left"/>
      <w:pPr>
        <w:tabs>
          <w:tab w:val="num" w:pos="2160"/>
        </w:tabs>
        <w:ind w:left="2160" w:hanging="360"/>
      </w:pPr>
      <w:rPr>
        <w:rFonts w:ascii="Arial" w:hAnsi="Arial" w:hint="default"/>
      </w:rPr>
    </w:lvl>
    <w:lvl w:ilvl="3" w:tplc="4F1E8B56" w:tentative="1">
      <w:start w:val="1"/>
      <w:numFmt w:val="bullet"/>
      <w:lvlText w:val="•"/>
      <w:lvlJc w:val="left"/>
      <w:pPr>
        <w:tabs>
          <w:tab w:val="num" w:pos="2880"/>
        </w:tabs>
        <w:ind w:left="2880" w:hanging="360"/>
      </w:pPr>
      <w:rPr>
        <w:rFonts w:ascii="Arial" w:hAnsi="Arial" w:hint="default"/>
      </w:rPr>
    </w:lvl>
    <w:lvl w:ilvl="4" w:tplc="0A0CC178" w:tentative="1">
      <w:start w:val="1"/>
      <w:numFmt w:val="bullet"/>
      <w:lvlText w:val="•"/>
      <w:lvlJc w:val="left"/>
      <w:pPr>
        <w:tabs>
          <w:tab w:val="num" w:pos="3600"/>
        </w:tabs>
        <w:ind w:left="3600" w:hanging="360"/>
      </w:pPr>
      <w:rPr>
        <w:rFonts w:ascii="Arial" w:hAnsi="Arial" w:hint="default"/>
      </w:rPr>
    </w:lvl>
    <w:lvl w:ilvl="5" w:tplc="BDE21C68" w:tentative="1">
      <w:start w:val="1"/>
      <w:numFmt w:val="bullet"/>
      <w:lvlText w:val="•"/>
      <w:lvlJc w:val="left"/>
      <w:pPr>
        <w:tabs>
          <w:tab w:val="num" w:pos="4320"/>
        </w:tabs>
        <w:ind w:left="4320" w:hanging="360"/>
      </w:pPr>
      <w:rPr>
        <w:rFonts w:ascii="Arial" w:hAnsi="Arial" w:hint="default"/>
      </w:rPr>
    </w:lvl>
    <w:lvl w:ilvl="6" w:tplc="1CC6255A" w:tentative="1">
      <w:start w:val="1"/>
      <w:numFmt w:val="bullet"/>
      <w:lvlText w:val="•"/>
      <w:lvlJc w:val="left"/>
      <w:pPr>
        <w:tabs>
          <w:tab w:val="num" w:pos="5040"/>
        </w:tabs>
        <w:ind w:left="5040" w:hanging="360"/>
      </w:pPr>
      <w:rPr>
        <w:rFonts w:ascii="Arial" w:hAnsi="Arial" w:hint="default"/>
      </w:rPr>
    </w:lvl>
    <w:lvl w:ilvl="7" w:tplc="755E14BC" w:tentative="1">
      <w:start w:val="1"/>
      <w:numFmt w:val="bullet"/>
      <w:lvlText w:val="•"/>
      <w:lvlJc w:val="left"/>
      <w:pPr>
        <w:tabs>
          <w:tab w:val="num" w:pos="5760"/>
        </w:tabs>
        <w:ind w:left="5760" w:hanging="360"/>
      </w:pPr>
      <w:rPr>
        <w:rFonts w:ascii="Arial" w:hAnsi="Arial" w:hint="default"/>
      </w:rPr>
    </w:lvl>
    <w:lvl w:ilvl="8" w:tplc="E0E67C1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8E11900"/>
    <w:multiLevelType w:val="hybridMultilevel"/>
    <w:tmpl w:val="BD3AE212"/>
    <w:lvl w:ilvl="0" w:tplc="80B06FAC">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371662B"/>
    <w:multiLevelType w:val="hybridMultilevel"/>
    <w:tmpl w:val="F190C158"/>
    <w:lvl w:ilvl="0" w:tplc="F8EC40C6">
      <w:start w:val="1"/>
      <w:numFmt w:val="decimal"/>
      <w:lvlText w:val="%1."/>
      <w:lvlJc w:val="left"/>
      <w:pPr>
        <w:tabs>
          <w:tab w:val="num" w:pos="360"/>
        </w:tabs>
        <w:ind w:left="36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41C7BE7"/>
    <w:multiLevelType w:val="hybridMultilevel"/>
    <w:tmpl w:val="63C02B98"/>
    <w:lvl w:ilvl="0" w:tplc="F30CA9F4">
      <w:start w:val="1"/>
      <w:numFmt w:val="bullet"/>
      <w:lvlText w:val="•"/>
      <w:lvlJc w:val="left"/>
      <w:pPr>
        <w:tabs>
          <w:tab w:val="num" w:pos="720"/>
        </w:tabs>
        <w:ind w:left="720" w:hanging="360"/>
      </w:pPr>
      <w:rPr>
        <w:rFonts w:ascii="Arial" w:hAnsi="Arial" w:hint="default"/>
      </w:rPr>
    </w:lvl>
    <w:lvl w:ilvl="1" w:tplc="8EF2523E" w:tentative="1">
      <w:start w:val="1"/>
      <w:numFmt w:val="bullet"/>
      <w:lvlText w:val="•"/>
      <w:lvlJc w:val="left"/>
      <w:pPr>
        <w:tabs>
          <w:tab w:val="num" w:pos="1440"/>
        </w:tabs>
        <w:ind w:left="1440" w:hanging="360"/>
      </w:pPr>
      <w:rPr>
        <w:rFonts w:ascii="Arial" w:hAnsi="Arial" w:hint="default"/>
      </w:rPr>
    </w:lvl>
    <w:lvl w:ilvl="2" w:tplc="A57E3D26" w:tentative="1">
      <w:start w:val="1"/>
      <w:numFmt w:val="bullet"/>
      <w:lvlText w:val="•"/>
      <w:lvlJc w:val="left"/>
      <w:pPr>
        <w:tabs>
          <w:tab w:val="num" w:pos="2160"/>
        </w:tabs>
        <w:ind w:left="2160" w:hanging="360"/>
      </w:pPr>
      <w:rPr>
        <w:rFonts w:ascii="Arial" w:hAnsi="Arial" w:hint="default"/>
      </w:rPr>
    </w:lvl>
    <w:lvl w:ilvl="3" w:tplc="54D4AB3E" w:tentative="1">
      <w:start w:val="1"/>
      <w:numFmt w:val="bullet"/>
      <w:lvlText w:val="•"/>
      <w:lvlJc w:val="left"/>
      <w:pPr>
        <w:tabs>
          <w:tab w:val="num" w:pos="2880"/>
        </w:tabs>
        <w:ind w:left="2880" w:hanging="360"/>
      </w:pPr>
      <w:rPr>
        <w:rFonts w:ascii="Arial" w:hAnsi="Arial" w:hint="default"/>
      </w:rPr>
    </w:lvl>
    <w:lvl w:ilvl="4" w:tplc="F1781CAE" w:tentative="1">
      <w:start w:val="1"/>
      <w:numFmt w:val="bullet"/>
      <w:lvlText w:val="•"/>
      <w:lvlJc w:val="left"/>
      <w:pPr>
        <w:tabs>
          <w:tab w:val="num" w:pos="3600"/>
        </w:tabs>
        <w:ind w:left="3600" w:hanging="360"/>
      </w:pPr>
      <w:rPr>
        <w:rFonts w:ascii="Arial" w:hAnsi="Arial" w:hint="default"/>
      </w:rPr>
    </w:lvl>
    <w:lvl w:ilvl="5" w:tplc="BFDA8494" w:tentative="1">
      <w:start w:val="1"/>
      <w:numFmt w:val="bullet"/>
      <w:lvlText w:val="•"/>
      <w:lvlJc w:val="left"/>
      <w:pPr>
        <w:tabs>
          <w:tab w:val="num" w:pos="4320"/>
        </w:tabs>
        <w:ind w:left="4320" w:hanging="360"/>
      </w:pPr>
      <w:rPr>
        <w:rFonts w:ascii="Arial" w:hAnsi="Arial" w:hint="default"/>
      </w:rPr>
    </w:lvl>
    <w:lvl w:ilvl="6" w:tplc="A064CE76" w:tentative="1">
      <w:start w:val="1"/>
      <w:numFmt w:val="bullet"/>
      <w:lvlText w:val="•"/>
      <w:lvlJc w:val="left"/>
      <w:pPr>
        <w:tabs>
          <w:tab w:val="num" w:pos="5040"/>
        </w:tabs>
        <w:ind w:left="5040" w:hanging="360"/>
      </w:pPr>
      <w:rPr>
        <w:rFonts w:ascii="Arial" w:hAnsi="Arial" w:hint="default"/>
      </w:rPr>
    </w:lvl>
    <w:lvl w:ilvl="7" w:tplc="3A2C17AE" w:tentative="1">
      <w:start w:val="1"/>
      <w:numFmt w:val="bullet"/>
      <w:lvlText w:val="•"/>
      <w:lvlJc w:val="left"/>
      <w:pPr>
        <w:tabs>
          <w:tab w:val="num" w:pos="5760"/>
        </w:tabs>
        <w:ind w:left="5760" w:hanging="360"/>
      </w:pPr>
      <w:rPr>
        <w:rFonts w:ascii="Arial" w:hAnsi="Arial" w:hint="default"/>
      </w:rPr>
    </w:lvl>
    <w:lvl w:ilvl="8" w:tplc="DA80237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72C7033"/>
    <w:multiLevelType w:val="hybridMultilevel"/>
    <w:tmpl w:val="5D7E2EF0"/>
    <w:lvl w:ilvl="0" w:tplc="240A0005">
      <w:start w:val="1"/>
      <w:numFmt w:val="bullet"/>
      <w:lvlText w:val=""/>
      <w:lvlJc w:val="left"/>
      <w:pPr>
        <w:ind w:left="720" w:hanging="360"/>
      </w:pPr>
      <w:rPr>
        <w:rFonts w:ascii="Wingdings" w:hAnsi="Wingding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F4B1EA7"/>
    <w:multiLevelType w:val="hybridMultilevel"/>
    <w:tmpl w:val="B302F0B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1C63886"/>
    <w:multiLevelType w:val="hybridMultilevel"/>
    <w:tmpl w:val="F70AD9A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4FA235F"/>
    <w:multiLevelType w:val="hybridMultilevel"/>
    <w:tmpl w:val="36F6FF30"/>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62A27F9"/>
    <w:multiLevelType w:val="hybridMultilevel"/>
    <w:tmpl w:val="8E085FE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8D75D72"/>
    <w:multiLevelType w:val="hybridMultilevel"/>
    <w:tmpl w:val="4A643F2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455D5616"/>
    <w:multiLevelType w:val="multilevel"/>
    <w:tmpl w:val="C59804A4"/>
    <w:lvl w:ilvl="0">
      <w:start w:val="4"/>
      <w:numFmt w:val="decimal"/>
      <w:lvlText w:val="%1."/>
      <w:lvlJc w:val="left"/>
      <w:pPr>
        <w:ind w:left="360" w:hanging="360"/>
      </w:pPr>
      <w:rPr>
        <w:rFonts w:hint="default"/>
      </w:rPr>
    </w:lvl>
    <w:lvl w:ilvl="1">
      <w:start w:val="2"/>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5" w15:restartNumberingAfterBreak="0">
    <w:nsid w:val="499F232C"/>
    <w:multiLevelType w:val="hybridMultilevel"/>
    <w:tmpl w:val="095680AA"/>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AC361A6"/>
    <w:multiLevelType w:val="hybridMultilevel"/>
    <w:tmpl w:val="C3B2FE8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7" w15:restartNumberingAfterBreak="0">
    <w:nsid w:val="4C906F33"/>
    <w:multiLevelType w:val="hybridMultilevel"/>
    <w:tmpl w:val="B2B8C15E"/>
    <w:lvl w:ilvl="0" w:tplc="240A0017">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8" w15:restartNumberingAfterBreak="0">
    <w:nsid w:val="553E7AFA"/>
    <w:multiLevelType w:val="hybridMultilevel"/>
    <w:tmpl w:val="8EE4266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63A4156"/>
    <w:multiLevelType w:val="hybridMultilevel"/>
    <w:tmpl w:val="B1F474A0"/>
    <w:lvl w:ilvl="0" w:tplc="B500600A">
      <w:start w:val="1"/>
      <w:numFmt w:val="decimal"/>
      <w:lvlText w:val="%1."/>
      <w:lvlJc w:val="left"/>
      <w:pPr>
        <w:ind w:left="360" w:hanging="360"/>
      </w:pPr>
      <w:rPr>
        <w:b/>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0" w15:restartNumberingAfterBreak="0">
    <w:nsid w:val="61BA6DF0"/>
    <w:multiLevelType w:val="hybridMultilevel"/>
    <w:tmpl w:val="D2C8FD36"/>
    <w:lvl w:ilvl="0" w:tplc="0C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63B1586B"/>
    <w:multiLevelType w:val="hybridMultilevel"/>
    <w:tmpl w:val="B1F0FC16"/>
    <w:lvl w:ilvl="0" w:tplc="9B1AD460">
      <w:start w:val="1"/>
      <w:numFmt w:val="bullet"/>
      <w:lvlText w:val="•"/>
      <w:lvlJc w:val="left"/>
      <w:pPr>
        <w:tabs>
          <w:tab w:val="num" w:pos="720"/>
        </w:tabs>
        <w:ind w:left="720" w:hanging="360"/>
      </w:pPr>
      <w:rPr>
        <w:rFonts w:ascii="Arial" w:hAnsi="Arial" w:hint="default"/>
      </w:rPr>
    </w:lvl>
    <w:lvl w:ilvl="1" w:tplc="0F826D80" w:tentative="1">
      <w:start w:val="1"/>
      <w:numFmt w:val="bullet"/>
      <w:lvlText w:val="•"/>
      <w:lvlJc w:val="left"/>
      <w:pPr>
        <w:tabs>
          <w:tab w:val="num" w:pos="1440"/>
        </w:tabs>
        <w:ind w:left="1440" w:hanging="360"/>
      </w:pPr>
      <w:rPr>
        <w:rFonts w:ascii="Arial" w:hAnsi="Arial" w:hint="default"/>
      </w:rPr>
    </w:lvl>
    <w:lvl w:ilvl="2" w:tplc="372CFA9C" w:tentative="1">
      <w:start w:val="1"/>
      <w:numFmt w:val="bullet"/>
      <w:lvlText w:val="•"/>
      <w:lvlJc w:val="left"/>
      <w:pPr>
        <w:tabs>
          <w:tab w:val="num" w:pos="2160"/>
        </w:tabs>
        <w:ind w:left="2160" w:hanging="360"/>
      </w:pPr>
      <w:rPr>
        <w:rFonts w:ascii="Arial" w:hAnsi="Arial" w:hint="default"/>
      </w:rPr>
    </w:lvl>
    <w:lvl w:ilvl="3" w:tplc="C9C2A1B6" w:tentative="1">
      <w:start w:val="1"/>
      <w:numFmt w:val="bullet"/>
      <w:lvlText w:val="•"/>
      <w:lvlJc w:val="left"/>
      <w:pPr>
        <w:tabs>
          <w:tab w:val="num" w:pos="2880"/>
        </w:tabs>
        <w:ind w:left="2880" w:hanging="360"/>
      </w:pPr>
      <w:rPr>
        <w:rFonts w:ascii="Arial" w:hAnsi="Arial" w:hint="default"/>
      </w:rPr>
    </w:lvl>
    <w:lvl w:ilvl="4" w:tplc="7324B89A" w:tentative="1">
      <w:start w:val="1"/>
      <w:numFmt w:val="bullet"/>
      <w:lvlText w:val="•"/>
      <w:lvlJc w:val="left"/>
      <w:pPr>
        <w:tabs>
          <w:tab w:val="num" w:pos="3600"/>
        </w:tabs>
        <w:ind w:left="3600" w:hanging="360"/>
      </w:pPr>
      <w:rPr>
        <w:rFonts w:ascii="Arial" w:hAnsi="Arial" w:hint="default"/>
      </w:rPr>
    </w:lvl>
    <w:lvl w:ilvl="5" w:tplc="67EA1836" w:tentative="1">
      <w:start w:val="1"/>
      <w:numFmt w:val="bullet"/>
      <w:lvlText w:val="•"/>
      <w:lvlJc w:val="left"/>
      <w:pPr>
        <w:tabs>
          <w:tab w:val="num" w:pos="4320"/>
        </w:tabs>
        <w:ind w:left="4320" w:hanging="360"/>
      </w:pPr>
      <w:rPr>
        <w:rFonts w:ascii="Arial" w:hAnsi="Arial" w:hint="default"/>
      </w:rPr>
    </w:lvl>
    <w:lvl w:ilvl="6" w:tplc="34E46CBC" w:tentative="1">
      <w:start w:val="1"/>
      <w:numFmt w:val="bullet"/>
      <w:lvlText w:val="•"/>
      <w:lvlJc w:val="left"/>
      <w:pPr>
        <w:tabs>
          <w:tab w:val="num" w:pos="5040"/>
        </w:tabs>
        <w:ind w:left="5040" w:hanging="360"/>
      </w:pPr>
      <w:rPr>
        <w:rFonts w:ascii="Arial" w:hAnsi="Arial" w:hint="default"/>
      </w:rPr>
    </w:lvl>
    <w:lvl w:ilvl="7" w:tplc="DA708292" w:tentative="1">
      <w:start w:val="1"/>
      <w:numFmt w:val="bullet"/>
      <w:lvlText w:val="•"/>
      <w:lvlJc w:val="left"/>
      <w:pPr>
        <w:tabs>
          <w:tab w:val="num" w:pos="5760"/>
        </w:tabs>
        <w:ind w:left="5760" w:hanging="360"/>
      </w:pPr>
      <w:rPr>
        <w:rFonts w:ascii="Arial" w:hAnsi="Arial" w:hint="default"/>
      </w:rPr>
    </w:lvl>
    <w:lvl w:ilvl="8" w:tplc="9432BC36"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70AC514A"/>
    <w:multiLevelType w:val="hybridMultilevel"/>
    <w:tmpl w:val="A8ECDDDA"/>
    <w:lvl w:ilvl="0" w:tplc="8F18FFF2">
      <w:start w:val="1"/>
      <w:numFmt w:val="bullet"/>
      <w:lvlText w:val="•"/>
      <w:lvlJc w:val="left"/>
      <w:pPr>
        <w:tabs>
          <w:tab w:val="num" w:pos="720"/>
        </w:tabs>
        <w:ind w:left="720" w:hanging="360"/>
      </w:pPr>
      <w:rPr>
        <w:rFonts w:ascii="Arial" w:hAnsi="Arial" w:hint="default"/>
      </w:rPr>
    </w:lvl>
    <w:lvl w:ilvl="1" w:tplc="9D6E2358" w:tentative="1">
      <w:start w:val="1"/>
      <w:numFmt w:val="bullet"/>
      <w:lvlText w:val="•"/>
      <w:lvlJc w:val="left"/>
      <w:pPr>
        <w:tabs>
          <w:tab w:val="num" w:pos="1440"/>
        </w:tabs>
        <w:ind w:left="1440" w:hanging="360"/>
      </w:pPr>
      <w:rPr>
        <w:rFonts w:ascii="Arial" w:hAnsi="Arial" w:hint="default"/>
      </w:rPr>
    </w:lvl>
    <w:lvl w:ilvl="2" w:tplc="40207A66" w:tentative="1">
      <w:start w:val="1"/>
      <w:numFmt w:val="bullet"/>
      <w:lvlText w:val="•"/>
      <w:lvlJc w:val="left"/>
      <w:pPr>
        <w:tabs>
          <w:tab w:val="num" w:pos="2160"/>
        </w:tabs>
        <w:ind w:left="2160" w:hanging="360"/>
      </w:pPr>
      <w:rPr>
        <w:rFonts w:ascii="Arial" w:hAnsi="Arial" w:hint="default"/>
      </w:rPr>
    </w:lvl>
    <w:lvl w:ilvl="3" w:tplc="17E2B460" w:tentative="1">
      <w:start w:val="1"/>
      <w:numFmt w:val="bullet"/>
      <w:lvlText w:val="•"/>
      <w:lvlJc w:val="left"/>
      <w:pPr>
        <w:tabs>
          <w:tab w:val="num" w:pos="2880"/>
        </w:tabs>
        <w:ind w:left="2880" w:hanging="360"/>
      </w:pPr>
      <w:rPr>
        <w:rFonts w:ascii="Arial" w:hAnsi="Arial" w:hint="default"/>
      </w:rPr>
    </w:lvl>
    <w:lvl w:ilvl="4" w:tplc="6FC0A0D0" w:tentative="1">
      <w:start w:val="1"/>
      <w:numFmt w:val="bullet"/>
      <w:lvlText w:val="•"/>
      <w:lvlJc w:val="left"/>
      <w:pPr>
        <w:tabs>
          <w:tab w:val="num" w:pos="3600"/>
        </w:tabs>
        <w:ind w:left="3600" w:hanging="360"/>
      </w:pPr>
      <w:rPr>
        <w:rFonts w:ascii="Arial" w:hAnsi="Arial" w:hint="default"/>
      </w:rPr>
    </w:lvl>
    <w:lvl w:ilvl="5" w:tplc="BECAF9FE" w:tentative="1">
      <w:start w:val="1"/>
      <w:numFmt w:val="bullet"/>
      <w:lvlText w:val="•"/>
      <w:lvlJc w:val="left"/>
      <w:pPr>
        <w:tabs>
          <w:tab w:val="num" w:pos="4320"/>
        </w:tabs>
        <w:ind w:left="4320" w:hanging="360"/>
      </w:pPr>
      <w:rPr>
        <w:rFonts w:ascii="Arial" w:hAnsi="Arial" w:hint="default"/>
      </w:rPr>
    </w:lvl>
    <w:lvl w:ilvl="6" w:tplc="0EF6635E" w:tentative="1">
      <w:start w:val="1"/>
      <w:numFmt w:val="bullet"/>
      <w:lvlText w:val="•"/>
      <w:lvlJc w:val="left"/>
      <w:pPr>
        <w:tabs>
          <w:tab w:val="num" w:pos="5040"/>
        </w:tabs>
        <w:ind w:left="5040" w:hanging="360"/>
      </w:pPr>
      <w:rPr>
        <w:rFonts w:ascii="Arial" w:hAnsi="Arial" w:hint="default"/>
      </w:rPr>
    </w:lvl>
    <w:lvl w:ilvl="7" w:tplc="90E2D86E" w:tentative="1">
      <w:start w:val="1"/>
      <w:numFmt w:val="bullet"/>
      <w:lvlText w:val="•"/>
      <w:lvlJc w:val="left"/>
      <w:pPr>
        <w:tabs>
          <w:tab w:val="num" w:pos="5760"/>
        </w:tabs>
        <w:ind w:left="5760" w:hanging="360"/>
      </w:pPr>
      <w:rPr>
        <w:rFonts w:ascii="Arial" w:hAnsi="Arial" w:hint="default"/>
      </w:rPr>
    </w:lvl>
    <w:lvl w:ilvl="8" w:tplc="960E3102"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730F4F29"/>
    <w:multiLevelType w:val="hybridMultilevel"/>
    <w:tmpl w:val="3866FB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752C5E06"/>
    <w:multiLevelType w:val="hybridMultilevel"/>
    <w:tmpl w:val="A58EAC70"/>
    <w:lvl w:ilvl="0" w:tplc="BA4CA204">
      <w:start w:val="1"/>
      <w:numFmt w:val="bullet"/>
      <w:lvlText w:val="•"/>
      <w:lvlJc w:val="left"/>
      <w:pPr>
        <w:tabs>
          <w:tab w:val="num" w:pos="720"/>
        </w:tabs>
        <w:ind w:left="720" w:hanging="360"/>
      </w:pPr>
      <w:rPr>
        <w:rFonts w:ascii="Arial" w:hAnsi="Arial" w:hint="default"/>
      </w:rPr>
    </w:lvl>
    <w:lvl w:ilvl="1" w:tplc="FCD4F004" w:tentative="1">
      <w:start w:val="1"/>
      <w:numFmt w:val="bullet"/>
      <w:lvlText w:val="•"/>
      <w:lvlJc w:val="left"/>
      <w:pPr>
        <w:tabs>
          <w:tab w:val="num" w:pos="1440"/>
        </w:tabs>
        <w:ind w:left="1440" w:hanging="360"/>
      </w:pPr>
      <w:rPr>
        <w:rFonts w:ascii="Arial" w:hAnsi="Arial" w:hint="default"/>
      </w:rPr>
    </w:lvl>
    <w:lvl w:ilvl="2" w:tplc="68944D60" w:tentative="1">
      <w:start w:val="1"/>
      <w:numFmt w:val="bullet"/>
      <w:lvlText w:val="•"/>
      <w:lvlJc w:val="left"/>
      <w:pPr>
        <w:tabs>
          <w:tab w:val="num" w:pos="2160"/>
        </w:tabs>
        <w:ind w:left="2160" w:hanging="360"/>
      </w:pPr>
      <w:rPr>
        <w:rFonts w:ascii="Arial" w:hAnsi="Arial" w:hint="default"/>
      </w:rPr>
    </w:lvl>
    <w:lvl w:ilvl="3" w:tplc="A95221C8" w:tentative="1">
      <w:start w:val="1"/>
      <w:numFmt w:val="bullet"/>
      <w:lvlText w:val="•"/>
      <w:lvlJc w:val="left"/>
      <w:pPr>
        <w:tabs>
          <w:tab w:val="num" w:pos="2880"/>
        </w:tabs>
        <w:ind w:left="2880" w:hanging="360"/>
      </w:pPr>
      <w:rPr>
        <w:rFonts w:ascii="Arial" w:hAnsi="Arial" w:hint="default"/>
      </w:rPr>
    </w:lvl>
    <w:lvl w:ilvl="4" w:tplc="7FB0E48E" w:tentative="1">
      <w:start w:val="1"/>
      <w:numFmt w:val="bullet"/>
      <w:lvlText w:val="•"/>
      <w:lvlJc w:val="left"/>
      <w:pPr>
        <w:tabs>
          <w:tab w:val="num" w:pos="3600"/>
        </w:tabs>
        <w:ind w:left="3600" w:hanging="360"/>
      </w:pPr>
      <w:rPr>
        <w:rFonts w:ascii="Arial" w:hAnsi="Arial" w:hint="default"/>
      </w:rPr>
    </w:lvl>
    <w:lvl w:ilvl="5" w:tplc="A93CDA10" w:tentative="1">
      <w:start w:val="1"/>
      <w:numFmt w:val="bullet"/>
      <w:lvlText w:val="•"/>
      <w:lvlJc w:val="left"/>
      <w:pPr>
        <w:tabs>
          <w:tab w:val="num" w:pos="4320"/>
        </w:tabs>
        <w:ind w:left="4320" w:hanging="360"/>
      </w:pPr>
      <w:rPr>
        <w:rFonts w:ascii="Arial" w:hAnsi="Arial" w:hint="default"/>
      </w:rPr>
    </w:lvl>
    <w:lvl w:ilvl="6" w:tplc="2F44982C" w:tentative="1">
      <w:start w:val="1"/>
      <w:numFmt w:val="bullet"/>
      <w:lvlText w:val="•"/>
      <w:lvlJc w:val="left"/>
      <w:pPr>
        <w:tabs>
          <w:tab w:val="num" w:pos="5040"/>
        </w:tabs>
        <w:ind w:left="5040" w:hanging="360"/>
      </w:pPr>
      <w:rPr>
        <w:rFonts w:ascii="Arial" w:hAnsi="Arial" w:hint="default"/>
      </w:rPr>
    </w:lvl>
    <w:lvl w:ilvl="7" w:tplc="739A6D84" w:tentative="1">
      <w:start w:val="1"/>
      <w:numFmt w:val="bullet"/>
      <w:lvlText w:val="•"/>
      <w:lvlJc w:val="left"/>
      <w:pPr>
        <w:tabs>
          <w:tab w:val="num" w:pos="5760"/>
        </w:tabs>
        <w:ind w:left="5760" w:hanging="360"/>
      </w:pPr>
      <w:rPr>
        <w:rFonts w:ascii="Arial" w:hAnsi="Arial" w:hint="default"/>
      </w:rPr>
    </w:lvl>
    <w:lvl w:ilvl="8" w:tplc="EFAE8E82"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76ED3A3F"/>
    <w:multiLevelType w:val="hybridMultilevel"/>
    <w:tmpl w:val="7CC88FEE"/>
    <w:lvl w:ilvl="0" w:tplc="16E6DF36">
      <w:start w:val="1"/>
      <w:numFmt w:val="bullet"/>
      <w:lvlText w:val="•"/>
      <w:lvlJc w:val="left"/>
      <w:pPr>
        <w:tabs>
          <w:tab w:val="num" w:pos="720"/>
        </w:tabs>
        <w:ind w:left="720" w:hanging="360"/>
      </w:pPr>
      <w:rPr>
        <w:rFonts w:ascii="Arial" w:hAnsi="Arial" w:hint="default"/>
      </w:rPr>
    </w:lvl>
    <w:lvl w:ilvl="1" w:tplc="CB6A2EA6" w:tentative="1">
      <w:start w:val="1"/>
      <w:numFmt w:val="bullet"/>
      <w:lvlText w:val="•"/>
      <w:lvlJc w:val="left"/>
      <w:pPr>
        <w:tabs>
          <w:tab w:val="num" w:pos="1440"/>
        </w:tabs>
        <w:ind w:left="1440" w:hanging="360"/>
      </w:pPr>
      <w:rPr>
        <w:rFonts w:ascii="Arial" w:hAnsi="Arial" w:hint="default"/>
      </w:rPr>
    </w:lvl>
    <w:lvl w:ilvl="2" w:tplc="2486B09C" w:tentative="1">
      <w:start w:val="1"/>
      <w:numFmt w:val="bullet"/>
      <w:lvlText w:val="•"/>
      <w:lvlJc w:val="left"/>
      <w:pPr>
        <w:tabs>
          <w:tab w:val="num" w:pos="2160"/>
        </w:tabs>
        <w:ind w:left="2160" w:hanging="360"/>
      </w:pPr>
      <w:rPr>
        <w:rFonts w:ascii="Arial" w:hAnsi="Arial" w:hint="default"/>
      </w:rPr>
    </w:lvl>
    <w:lvl w:ilvl="3" w:tplc="050A95E2" w:tentative="1">
      <w:start w:val="1"/>
      <w:numFmt w:val="bullet"/>
      <w:lvlText w:val="•"/>
      <w:lvlJc w:val="left"/>
      <w:pPr>
        <w:tabs>
          <w:tab w:val="num" w:pos="2880"/>
        </w:tabs>
        <w:ind w:left="2880" w:hanging="360"/>
      </w:pPr>
      <w:rPr>
        <w:rFonts w:ascii="Arial" w:hAnsi="Arial" w:hint="default"/>
      </w:rPr>
    </w:lvl>
    <w:lvl w:ilvl="4" w:tplc="773CA27C" w:tentative="1">
      <w:start w:val="1"/>
      <w:numFmt w:val="bullet"/>
      <w:lvlText w:val="•"/>
      <w:lvlJc w:val="left"/>
      <w:pPr>
        <w:tabs>
          <w:tab w:val="num" w:pos="3600"/>
        </w:tabs>
        <w:ind w:left="3600" w:hanging="360"/>
      </w:pPr>
      <w:rPr>
        <w:rFonts w:ascii="Arial" w:hAnsi="Arial" w:hint="default"/>
      </w:rPr>
    </w:lvl>
    <w:lvl w:ilvl="5" w:tplc="094024AE" w:tentative="1">
      <w:start w:val="1"/>
      <w:numFmt w:val="bullet"/>
      <w:lvlText w:val="•"/>
      <w:lvlJc w:val="left"/>
      <w:pPr>
        <w:tabs>
          <w:tab w:val="num" w:pos="4320"/>
        </w:tabs>
        <w:ind w:left="4320" w:hanging="360"/>
      </w:pPr>
      <w:rPr>
        <w:rFonts w:ascii="Arial" w:hAnsi="Arial" w:hint="default"/>
      </w:rPr>
    </w:lvl>
    <w:lvl w:ilvl="6" w:tplc="9892BFE4" w:tentative="1">
      <w:start w:val="1"/>
      <w:numFmt w:val="bullet"/>
      <w:lvlText w:val="•"/>
      <w:lvlJc w:val="left"/>
      <w:pPr>
        <w:tabs>
          <w:tab w:val="num" w:pos="5040"/>
        </w:tabs>
        <w:ind w:left="5040" w:hanging="360"/>
      </w:pPr>
      <w:rPr>
        <w:rFonts w:ascii="Arial" w:hAnsi="Arial" w:hint="default"/>
      </w:rPr>
    </w:lvl>
    <w:lvl w:ilvl="7" w:tplc="0920760C" w:tentative="1">
      <w:start w:val="1"/>
      <w:numFmt w:val="bullet"/>
      <w:lvlText w:val="•"/>
      <w:lvlJc w:val="left"/>
      <w:pPr>
        <w:tabs>
          <w:tab w:val="num" w:pos="5760"/>
        </w:tabs>
        <w:ind w:left="5760" w:hanging="360"/>
      </w:pPr>
      <w:rPr>
        <w:rFonts w:ascii="Arial" w:hAnsi="Arial" w:hint="default"/>
      </w:rPr>
    </w:lvl>
    <w:lvl w:ilvl="8" w:tplc="12EC6A7A" w:tentative="1">
      <w:start w:val="1"/>
      <w:numFmt w:val="bullet"/>
      <w:lvlText w:val="•"/>
      <w:lvlJc w:val="left"/>
      <w:pPr>
        <w:tabs>
          <w:tab w:val="num" w:pos="6480"/>
        </w:tabs>
        <w:ind w:left="6480" w:hanging="360"/>
      </w:pPr>
      <w:rPr>
        <w:rFonts w:ascii="Arial" w:hAnsi="Arial" w:hint="default"/>
      </w:rPr>
    </w:lvl>
  </w:abstractNum>
  <w:num w:numId="1">
    <w:abstractNumId w:val="17"/>
  </w:num>
  <w:num w:numId="2">
    <w:abstractNumId w:val="19"/>
  </w:num>
  <w:num w:numId="3">
    <w:abstractNumId w:val="14"/>
  </w:num>
  <w:num w:numId="4">
    <w:abstractNumId w:val="0"/>
  </w:num>
  <w:num w:numId="5">
    <w:abstractNumId w:val="8"/>
  </w:num>
  <w:num w:numId="6">
    <w:abstractNumId w:val="11"/>
  </w:num>
  <w:num w:numId="7">
    <w:abstractNumId w:val="15"/>
  </w:num>
  <w:num w:numId="8">
    <w:abstractNumId w:val="13"/>
  </w:num>
  <w:num w:numId="9">
    <w:abstractNumId w:val="9"/>
  </w:num>
  <w:num w:numId="10">
    <w:abstractNumId w:val="3"/>
  </w:num>
  <w:num w:numId="11">
    <w:abstractNumId w:val="16"/>
  </w:num>
  <w:num w:numId="12">
    <w:abstractNumId w:val="18"/>
  </w:num>
  <w:num w:numId="13">
    <w:abstractNumId w:val="2"/>
  </w:num>
  <w:num w:numId="14">
    <w:abstractNumId w:val="10"/>
  </w:num>
  <w:num w:numId="15">
    <w:abstractNumId w:val="24"/>
  </w:num>
  <w:num w:numId="16">
    <w:abstractNumId w:val="4"/>
  </w:num>
  <w:num w:numId="17">
    <w:abstractNumId w:val="7"/>
  </w:num>
  <w:num w:numId="18">
    <w:abstractNumId w:val="1"/>
  </w:num>
  <w:num w:numId="19">
    <w:abstractNumId w:val="21"/>
  </w:num>
  <w:num w:numId="20">
    <w:abstractNumId w:val="22"/>
  </w:num>
  <w:num w:numId="21">
    <w:abstractNumId w:val="25"/>
  </w:num>
  <w:num w:numId="22">
    <w:abstractNumId w:val="12"/>
  </w:num>
  <w:num w:numId="23">
    <w:abstractNumId w:val="0"/>
    <w:lvlOverride w:ilvl="0">
      <w:startOverride w:val="8"/>
    </w:lvlOverride>
  </w:num>
  <w:num w:numId="24">
    <w:abstractNumId w:val="5"/>
  </w:num>
  <w:num w:numId="25">
    <w:abstractNumId w:val="6"/>
  </w:num>
  <w:num w:numId="26">
    <w:abstractNumId w:val="23"/>
  </w:num>
  <w:num w:numId="27">
    <w:abstractNumId w:val="2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33FA3"/>
    <w:rsid w:val="00006ED5"/>
    <w:rsid w:val="00010D00"/>
    <w:rsid w:val="00011981"/>
    <w:rsid w:val="0001328C"/>
    <w:rsid w:val="00013545"/>
    <w:rsid w:val="0001514B"/>
    <w:rsid w:val="00017020"/>
    <w:rsid w:val="000177BE"/>
    <w:rsid w:val="00030914"/>
    <w:rsid w:val="00031222"/>
    <w:rsid w:val="0003226E"/>
    <w:rsid w:val="00034AF9"/>
    <w:rsid w:val="000408FF"/>
    <w:rsid w:val="00043E0C"/>
    <w:rsid w:val="00044944"/>
    <w:rsid w:val="00051EE2"/>
    <w:rsid w:val="0006169E"/>
    <w:rsid w:val="00072124"/>
    <w:rsid w:val="00072630"/>
    <w:rsid w:val="00082530"/>
    <w:rsid w:val="00085999"/>
    <w:rsid w:val="00087FBE"/>
    <w:rsid w:val="00090F87"/>
    <w:rsid w:val="000A3B02"/>
    <w:rsid w:val="000A4105"/>
    <w:rsid w:val="000A5335"/>
    <w:rsid w:val="000C1D4A"/>
    <w:rsid w:val="000C1E77"/>
    <w:rsid w:val="000C6E73"/>
    <w:rsid w:val="000D0385"/>
    <w:rsid w:val="000D1548"/>
    <w:rsid w:val="000D5A35"/>
    <w:rsid w:val="000D638F"/>
    <w:rsid w:val="000D646C"/>
    <w:rsid w:val="000E1C26"/>
    <w:rsid w:val="000E573C"/>
    <w:rsid w:val="000F0E14"/>
    <w:rsid w:val="000F4FDA"/>
    <w:rsid w:val="00105661"/>
    <w:rsid w:val="00105C46"/>
    <w:rsid w:val="00111A38"/>
    <w:rsid w:val="001175F7"/>
    <w:rsid w:val="00117F28"/>
    <w:rsid w:val="001264B8"/>
    <w:rsid w:val="001312B8"/>
    <w:rsid w:val="00131773"/>
    <w:rsid w:val="00131957"/>
    <w:rsid w:val="001347B5"/>
    <w:rsid w:val="00136AFF"/>
    <w:rsid w:val="00140B9F"/>
    <w:rsid w:val="0014470C"/>
    <w:rsid w:val="0015040A"/>
    <w:rsid w:val="00165058"/>
    <w:rsid w:val="001755D4"/>
    <w:rsid w:val="00176882"/>
    <w:rsid w:val="001769CA"/>
    <w:rsid w:val="001B0719"/>
    <w:rsid w:val="001B2867"/>
    <w:rsid w:val="001C0688"/>
    <w:rsid w:val="001C0B96"/>
    <w:rsid w:val="001E0DFF"/>
    <w:rsid w:val="001E2072"/>
    <w:rsid w:val="001E7C99"/>
    <w:rsid w:val="001F1639"/>
    <w:rsid w:val="00204607"/>
    <w:rsid w:val="00212C53"/>
    <w:rsid w:val="00216959"/>
    <w:rsid w:val="00217521"/>
    <w:rsid w:val="002213CE"/>
    <w:rsid w:val="00254285"/>
    <w:rsid w:val="00270331"/>
    <w:rsid w:val="00270D50"/>
    <w:rsid w:val="00273AB8"/>
    <w:rsid w:val="0027460A"/>
    <w:rsid w:val="00277234"/>
    <w:rsid w:val="0028226C"/>
    <w:rsid w:val="00285BEE"/>
    <w:rsid w:val="00286BBE"/>
    <w:rsid w:val="00287712"/>
    <w:rsid w:val="00290951"/>
    <w:rsid w:val="002A2D96"/>
    <w:rsid w:val="002A66AD"/>
    <w:rsid w:val="002A6A91"/>
    <w:rsid w:val="002B0A7E"/>
    <w:rsid w:val="002B41DB"/>
    <w:rsid w:val="002B5D48"/>
    <w:rsid w:val="002C334E"/>
    <w:rsid w:val="002C49B3"/>
    <w:rsid w:val="002C50BD"/>
    <w:rsid w:val="002D086D"/>
    <w:rsid w:val="002D4FFF"/>
    <w:rsid w:val="002D58EE"/>
    <w:rsid w:val="002D7EE1"/>
    <w:rsid w:val="002E1240"/>
    <w:rsid w:val="002E2734"/>
    <w:rsid w:val="002E3DEA"/>
    <w:rsid w:val="002F236A"/>
    <w:rsid w:val="002F697D"/>
    <w:rsid w:val="003113ED"/>
    <w:rsid w:val="003168C7"/>
    <w:rsid w:val="00317B39"/>
    <w:rsid w:val="00320E8F"/>
    <w:rsid w:val="003213C6"/>
    <w:rsid w:val="003308D7"/>
    <w:rsid w:val="0035166C"/>
    <w:rsid w:val="0036130E"/>
    <w:rsid w:val="0037398A"/>
    <w:rsid w:val="00376920"/>
    <w:rsid w:val="00383970"/>
    <w:rsid w:val="0039531C"/>
    <w:rsid w:val="00396AB3"/>
    <w:rsid w:val="003A5B55"/>
    <w:rsid w:val="003B3ECF"/>
    <w:rsid w:val="003B62DE"/>
    <w:rsid w:val="003C05F9"/>
    <w:rsid w:val="003C2D4B"/>
    <w:rsid w:val="003C2F51"/>
    <w:rsid w:val="003C34DE"/>
    <w:rsid w:val="003C4BA6"/>
    <w:rsid w:val="003C7474"/>
    <w:rsid w:val="003D018B"/>
    <w:rsid w:val="003E2BE9"/>
    <w:rsid w:val="003E4E7F"/>
    <w:rsid w:val="003F0670"/>
    <w:rsid w:val="004020FA"/>
    <w:rsid w:val="00411877"/>
    <w:rsid w:val="00413DC0"/>
    <w:rsid w:val="00415CD0"/>
    <w:rsid w:val="0042340B"/>
    <w:rsid w:val="0042404F"/>
    <w:rsid w:val="004422A9"/>
    <w:rsid w:val="0045191D"/>
    <w:rsid w:val="00461C5B"/>
    <w:rsid w:val="0047190D"/>
    <w:rsid w:val="004730AF"/>
    <w:rsid w:val="0047348F"/>
    <w:rsid w:val="004A313D"/>
    <w:rsid w:val="004A4E62"/>
    <w:rsid w:val="004C2AE3"/>
    <w:rsid w:val="004C3016"/>
    <w:rsid w:val="004C44DA"/>
    <w:rsid w:val="004C7A31"/>
    <w:rsid w:val="004D4E6E"/>
    <w:rsid w:val="004D610D"/>
    <w:rsid w:val="004E0B55"/>
    <w:rsid w:val="004F057C"/>
    <w:rsid w:val="004F1392"/>
    <w:rsid w:val="004F3AC7"/>
    <w:rsid w:val="004F7406"/>
    <w:rsid w:val="00500F27"/>
    <w:rsid w:val="00506A0D"/>
    <w:rsid w:val="0050745E"/>
    <w:rsid w:val="0051078C"/>
    <w:rsid w:val="00513692"/>
    <w:rsid w:val="00513987"/>
    <w:rsid w:val="00515454"/>
    <w:rsid w:val="005202E5"/>
    <w:rsid w:val="00522CC2"/>
    <w:rsid w:val="005272F4"/>
    <w:rsid w:val="00535A34"/>
    <w:rsid w:val="00546085"/>
    <w:rsid w:val="005540D2"/>
    <w:rsid w:val="00564B52"/>
    <w:rsid w:val="00577319"/>
    <w:rsid w:val="00582C34"/>
    <w:rsid w:val="005841B4"/>
    <w:rsid w:val="0058569D"/>
    <w:rsid w:val="0059793E"/>
    <w:rsid w:val="005A728B"/>
    <w:rsid w:val="005B6A9A"/>
    <w:rsid w:val="005C5D00"/>
    <w:rsid w:val="005C7B7A"/>
    <w:rsid w:val="005D25A2"/>
    <w:rsid w:val="005D4091"/>
    <w:rsid w:val="005E2D65"/>
    <w:rsid w:val="005E2FC6"/>
    <w:rsid w:val="005F12FD"/>
    <w:rsid w:val="005F5CC5"/>
    <w:rsid w:val="00602655"/>
    <w:rsid w:val="006060BC"/>
    <w:rsid w:val="00607F9D"/>
    <w:rsid w:val="006116B7"/>
    <w:rsid w:val="0061775C"/>
    <w:rsid w:val="0062045D"/>
    <w:rsid w:val="00620A3E"/>
    <w:rsid w:val="00625C49"/>
    <w:rsid w:val="00627305"/>
    <w:rsid w:val="0062769F"/>
    <w:rsid w:val="006277A6"/>
    <w:rsid w:val="0063148B"/>
    <w:rsid w:val="00631D40"/>
    <w:rsid w:val="0065056B"/>
    <w:rsid w:val="00650A21"/>
    <w:rsid w:val="00652A3C"/>
    <w:rsid w:val="0065482C"/>
    <w:rsid w:val="006574C2"/>
    <w:rsid w:val="0066034D"/>
    <w:rsid w:val="00661568"/>
    <w:rsid w:val="00665BFD"/>
    <w:rsid w:val="00667234"/>
    <w:rsid w:val="0067136B"/>
    <w:rsid w:val="00672ED3"/>
    <w:rsid w:val="00680476"/>
    <w:rsid w:val="006827ED"/>
    <w:rsid w:val="006874BC"/>
    <w:rsid w:val="00687585"/>
    <w:rsid w:val="00690D03"/>
    <w:rsid w:val="0069371F"/>
    <w:rsid w:val="0069636F"/>
    <w:rsid w:val="006A10DF"/>
    <w:rsid w:val="006A3BAD"/>
    <w:rsid w:val="006B41BC"/>
    <w:rsid w:val="006C100E"/>
    <w:rsid w:val="006C1320"/>
    <w:rsid w:val="006C1F65"/>
    <w:rsid w:val="006C3CA3"/>
    <w:rsid w:val="006C4A6C"/>
    <w:rsid w:val="006E66A6"/>
    <w:rsid w:val="006E72D7"/>
    <w:rsid w:val="006F4B37"/>
    <w:rsid w:val="00712DE8"/>
    <w:rsid w:val="007131EA"/>
    <w:rsid w:val="00713707"/>
    <w:rsid w:val="0071508E"/>
    <w:rsid w:val="00715A66"/>
    <w:rsid w:val="007200C8"/>
    <w:rsid w:val="00720ED5"/>
    <w:rsid w:val="00723991"/>
    <w:rsid w:val="00724281"/>
    <w:rsid w:val="007269A5"/>
    <w:rsid w:val="00727415"/>
    <w:rsid w:val="00733FA3"/>
    <w:rsid w:val="00734342"/>
    <w:rsid w:val="00741F12"/>
    <w:rsid w:val="007426F5"/>
    <w:rsid w:val="007528E0"/>
    <w:rsid w:val="00756603"/>
    <w:rsid w:val="00761138"/>
    <w:rsid w:val="00762B5E"/>
    <w:rsid w:val="00763A88"/>
    <w:rsid w:val="00772674"/>
    <w:rsid w:val="00772F3E"/>
    <w:rsid w:val="007770B4"/>
    <w:rsid w:val="00782139"/>
    <w:rsid w:val="00783649"/>
    <w:rsid w:val="00794F8A"/>
    <w:rsid w:val="007974D5"/>
    <w:rsid w:val="007A1E35"/>
    <w:rsid w:val="007B7654"/>
    <w:rsid w:val="007C146C"/>
    <w:rsid w:val="007C1B7B"/>
    <w:rsid w:val="007C53BD"/>
    <w:rsid w:val="007D2FE9"/>
    <w:rsid w:val="007D5D92"/>
    <w:rsid w:val="007E3A44"/>
    <w:rsid w:val="007E7D54"/>
    <w:rsid w:val="007F2B0B"/>
    <w:rsid w:val="007F41E1"/>
    <w:rsid w:val="00803E37"/>
    <w:rsid w:val="00804732"/>
    <w:rsid w:val="0080563B"/>
    <w:rsid w:val="00813ED0"/>
    <w:rsid w:val="00815397"/>
    <w:rsid w:val="00816989"/>
    <w:rsid w:val="0082240B"/>
    <w:rsid w:val="00823483"/>
    <w:rsid w:val="00824168"/>
    <w:rsid w:val="00826EE4"/>
    <w:rsid w:val="00832576"/>
    <w:rsid w:val="0083366A"/>
    <w:rsid w:val="00833CCF"/>
    <w:rsid w:val="00834070"/>
    <w:rsid w:val="00841EFD"/>
    <w:rsid w:val="00850E2C"/>
    <w:rsid w:val="0085109B"/>
    <w:rsid w:val="008536C5"/>
    <w:rsid w:val="00855764"/>
    <w:rsid w:val="0085634D"/>
    <w:rsid w:val="00866828"/>
    <w:rsid w:val="00870702"/>
    <w:rsid w:val="0087145B"/>
    <w:rsid w:val="00877B65"/>
    <w:rsid w:val="00880403"/>
    <w:rsid w:val="008821CA"/>
    <w:rsid w:val="008900DF"/>
    <w:rsid w:val="00892194"/>
    <w:rsid w:val="008960DA"/>
    <w:rsid w:val="0089768E"/>
    <w:rsid w:val="008A29BD"/>
    <w:rsid w:val="008B0BBA"/>
    <w:rsid w:val="008B0F95"/>
    <w:rsid w:val="008B22B5"/>
    <w:rsid w:val="008B49A0"/>
    <w:rsid w:val="008C0F3C"/>
    <w:rsid w:val="008C6088"/>
    <w:rsid w:val="008C7C09"/>
    <w:rsid w:val="008D4F0D"/>
    <w:rsid w:val="008D6A49"/>
    <w:rsid w:val="008E02AA"/>
    <w:rsid w:val="008E1D61"/>
    <w:rsid w:val="008E6346"/>
    <w:rsid w:val="008F3D59"/>
    <w:rsid w:val="008F4B86"/>
    <w:rsid w:val="008F667A"/>
    <w:rsid w:val="00914F0C"/>
    <w:rsid w:val="00915E7C"/>
    <w:rsid w:val="00925626"/>
    <w:rsid w:val="00927D80"/>
    <w:rsid w:val="00930F2C"/>
    <w:rsid w:val="009408A9"/>
    <w:rsid w:val="0094282D"/>
    <w:rsid w:val="00943A8F"/>
    <w:rsid w:val="00945CBB"/>
    <w:rsid w:val="009507D5"/>
    <w:rsid w:val="00951D2D"/>
    <w:rsid w:val="00952F64"/>
    <w:rsid w:val="00962590"/>
    <w:rsid w:val="00965E38"/>
    <w:rsid w:val="009666B5"/>
    <w:rsid w:val="0097129F"/>
    <w:rsid w:val="00981931"/>
    <w:rsid w:val="009822D2"/>
    <w:rsid w:val="00984E78"/>
    <w:rsid w:val="00986651"/>
    <w:rsid w:val="00992575"/>
    <w:rsid w:val="009A3024"/>
    <w:rsid w:val="009A63F3"/>
    <w:rsid w:val="009A6609"/>
    <w:rsid w:val="009A686F"/>
    <w:rsid w:val="009B4213"/>
    <w:rsid w:val="009B75F1"/>
    <w:rsid w:val="009D13E8"/>
    <w:rsid w:val="009D2727"/>
    <w:rsid w:val="009D2FEE"/>
    <w:rsid w:val="009D38F2"/>
    <w:rsid w:val="009D4EEF"/>
    <w:rsid w:val="009D70C3"/>
    <w:rsid w:val="009E01F3"/>
    <w:rsid w:val="009E07DB"/>
    <w:rsid w:val="009E196D"/>
    <w:rsid w:val="009E3212"/>
    <w:rsid w:val="009F3D5F"/>
    <w:rsid w:val="00A0101E"/>
    <w:rsid w:val="00A01F99"/>
    <w:rsid w:val="00A03B21"/>
    <w:rsid w:val="00A144ED"/>
    <w:rsid w:val="00A213E8"/>
    <w:rsid w:val="00A31125"/>
    <w:rsid w:val="00A3162C"/>
    <w:rsid w:val="00A4145C"/>
    <w:rsid w:val="00A4210E"/>
    <w:rsid w:val="00A42371"/>
    <w:rsid w:val="00A42ACA"/>
    <w:rsid w:val="00A46E0F"/>
    <w:rsid w:val="00A47529"/>
    <w:rsid w:val="00A50F21"/>
    <w:rsid w:val="00A55D42"/>
    <w:rsid w:val="00A63593"/>
    <w:rsid w:val="00A728D4"/>
    <w:rsid w:val="00A76F3D"/>
    <w:rsid w:val="00A862E9"/>
    <w:rsid w:val="00A920B1"/>
    <w:rsid w:val="00A9532C"/>
    <w:rsid w:val="00AA69D8"/>
    <w:rsid w:val="00AB0A36"/>
    <w:rsid w:val="00AB16A5"/>
    <w:rsid w:val="00AB62C4"/>
    <w:rsid w:val="00AB6F21"/>
    <w:rsid w:val="00AB70B7"/>
    <w:rsid w:val="00AC0960"/>
    <w:rsid w:val="00AC12A1"/>
    <w:rsid w:val="00AC144C"/>
    <w:rsid w:val="00AC7BFD"/>
    <w:rsid w:val="00AD05A1"/>
    <w:rsid w:val="00AD3684"/>
    <w:rsid w:val="00AD488A"/>
    <w:rsid w:val="00AE14C6"/>
    <w:rsid w:val="00AE65F1"/>
    <w:rsid w:val="00B071E6"/>
    <w:rsid w:val="00B10FF8"/>
    <w:rsid w:val="00B127B4"/>
    <w:rsid w:val="00B1421B"/>
    <w:rsid w:val="00B20AE2"/>
    <w:rsid w:val="00B24B6A"/>
    <w:rsid w:val="00B34468"/>
    <w:rsid w:val="00B4141A"/>
    <w:rsid w:val="00B438D2"/>
    <w:rsid w:val="00B46F80"/>
    <w:rsid w:val="00B5577A"/>
    <w:rsid w:val="00B63E75"/>
    <w:rsid w:val="00B644B2"/>
    <w:rsid w:val="00B66629"/>
    <w:rsid w:val="00B723F8"/>
    <w:rsid w:val="00B82C7F"/>
    <w:rsid w:val="00B83A09"/>
    <w:rsid w:val="00B867CF"/>
    <w:rsid w:val="00B911A8"/>
    <w:rsid w:val="00B919CA"/>
    <w:rsid w:val="00B92406"/>
    <w:rsid w:val="00BA05F9"/>
    <w:rsid w:val="00BA66A9"/>
    <w:rsid w:val="00BA72C5"/>
    <w:rsid w:val="00BA77F5"/>
    <w:rsid w:val="00BB053C"/>
    <w:rsid w:val="00BB149C"/>
    <w:rsid w:val="00BB20CE"/>
    <w:rsid w:val="00BB6CA1"/>
    <w:rsid w:val="00BC0DB7"/>
    <w:rsid w:val="00BC0E71"/>
    <w:rsid w:val="00BD0BB9"/>
    <w:rsid w:val="00BD379D"/>
    <w:rsid w:val="00BD509C"/>
    <w:rsid w:val="00BD5B51"/>
    <w:rsid w:val="00BD649D"/>
    <w:rsid w:val="00BE1058"/>
    <w:rsid w:val="00BE2F6C"/>
    <w:rsid w:val="00BE4379"/>
    <w:rsid w:val="00BF008A"/>
    <w:rsid w:val="00BF23E8"/>
    <w:rsid w:val="00BF5BD4"/>
    <w:rsid w:val="00C01072"/>
    <w:rsid w:val="00C04103"/>
    <w:rsid w:val="00C1107C"/>
    <w:rsid w:val="00C159DF"/>
    <w:rsid w:val="00C2495C"/>
    <w:rsid w:val="00C25015"/>
    <w:rsid w:val="00C4005C"/>
    <w:rsid w:val="00C4189C"/>
    <w:rsid w:val="00C42AFD"/>
    <w:rsid w:val="00C460E7"/>
    <w:rsid w:val="00C51CE9"/>
    <w:rsid w:val="00C73C02"/>
    <w:rsid w:val="00C80AA0"/>
    <w:rsid w:val="00C8214E"/>
    <w:rsid w:val="00C90AD6"/>
    <w:rsid w:val="00C9279C"/>
    <w:rsid w:val="00CA2EFF"/>
    <w:rsid w:val="00CA750C"/>
    <w:rsid w:val="00CA7705"/>
    <w:rsid w:val="00CC093D"/>
    <w:rsid w:val="00CC3750"/>
    <w:rsid w:val="00CD6425"/>
    <w:rsid w:val="00CD6AC9"/>
    <w:rsid w:val="00CE3D8F"/>
    <w:rsid w:val="00CF655B"/>
    <w:rsid w:val="00CF69B9"/>
    <w:rsid w:val="00D035B7"/>
    <w:rsid w:val="00D037B8"/>
    <w:rsid w:val="00D0435F"/>
    <w:rsid w:val="00D24DB3"/>
    <w:rsid w:val="00D27EB8"/>
    <w:rsid w:val="00D31D20"/>
    <w:rsid w:val="00D35050"/>
    <w:rsid w:val="00D54E8C"/>
    <w:rsid w:val="00D62ECB"/>
    <w:rsid w:val="00D63010"/>
    <w:rsid w:val="00D636DD"/>
    <w:rsid w:val="00D6650B"/>
    <w:rsid w:val="00D66C0A"/>
    <w:rsid w:val="00D713F7"/>
    <w:rsid w:val="00D74DB9"/>
    <w:rsid w:val="00D805B0"/>
    <w:rsid w:val="00D8532A"/>
    <w:rsid w:val="00D86AC2"/>
    <w:rsid w:val="00D93147"/>
    <w:rsid w:val="00DA1E7A"/>
    <w:rsid w:val="00DA518B"/>
    <w:rsid w:val="00DA5211"/>
    <w:rsid w:val="00DA67F7"/>
    <w:rsid w:val="00DB0542"/>
    <w:rsid w:val="00DB0C58"/>
    <w:rsid w:val="00DB248F"/>
    <w:rsid w:val="00DB4D67"/>
    <w:rsid w:val="00DB626A"/>
    <w:rsid w:val="00DC22FB"/>
    <w:rsid w:val="00DC4F92"/>
    <w:rsid w:val="00DC6705"/>
    <w:rsid w:val="00DD3248"/>
    <w:rsid w:val="00DD396A"/>
    <w:rsid w:val="00DD3D4A"/>
    <w:rsid w:val="00DE497C"/>
    <w:rsid w:val="00DE5750"/>
    <w:rsid w:val="00DF3117"/>
    <w:rsid w:val="00DF3C87"/>
    <w:rsid w:val="00DF59EF"/>
    <w:rsid w:val="00E04433"/>
    <w:rsid w:val="00E04662"/>
    <w:rsid w:val="00E049EA"/>
    <w:rsid w:val="00E0526C"/>
    <w:rsid w:val="00E20613"/>
    <w:rsid w:val="00E24573"/>
    <w:rsid w:val="00E27476"/>
    <w:rsid w:val="00E27652"/>
    <w:rsid w:val="00E30DF8"/>
    <w:rsid w:val="00E3194B"/>
    <w:rsid w:val="00E327D3"/>
    <w:rsid w:val="00E3296B"/>
    <w:rsid w:val="00E32A65"/>
    <w:rsid w:val="00E35CD8"/>
    <w:rsid w:val="00E37644"/>
    <w:rsid w:val="00E46B78"/>
    <w:rsid w:val="00E47168"/>
    <w:rsid w:val="00E509AA"/>
    <w:rsid w:val="00E54DDA"/>
    <w:rsid w:val="00E60D19"/>
    <w:rsid w:val="00E61E43"/>
    <w:rsid w:val="00E679A3"/>
    <w:rsid w:val="00E753BF"/>
    <w:rsid w:val="00E83046"/>
    <w:rsid w:val="00E84F62"/>
    <w:rsid w:val="00E85FD9"/>
    <w:rsid w:val="00E93FCE"/>
    <w:rsid w:val="00E971D8"/>
    <w:rsid w:val="00EA133D"/>
    <w:rsid w:val="00EA199A"/>
    <w:rsid w:val="00EA2F01"/>
    <w:rsid w:val="00EB5D29"/>
    <w:rsid w:val="00EC0285"/>
    <w:rsid w:val="00EE01C8"/>
    <w:rsid w:val="00EF1385"/>
    <w:rsid w:val="00EF58D0"/>
    <w:rsid w:val="00F031BD"/>
    <w:rsid w:val="00F06408"/>
    <w:rsid w:val="00F215C9"/>
    <w:rsid w:val="00F24564"/>
    <w:rsid w:val="00F25476"/>
    <w:rsid w:val="00F30615"/>
    <w:rsid w:val="00F339C1"/>
    <w:rsid w:val="00F40B87"/>
    <w:rsid w:val="00F47012"/>
    <w:rsid w:val="00F47B25"/>
    <w:rsid w:val="00F527FE"/>
    <w:rsid w:val="00F535A4"/>
    <w:rsid w:val="00F55C9E"/>
    <w:rsid w:val="00F63375"/>
    <w:rsid w:val="00F6458C"/>
    <w:rsid w:val="00F64CAA"/>
    <w:rsid w:val="00F709FA"/>
    <w:rsid w:val="00F72444"/>
    <w:rsid w:val="00F74D56"/>
    <w:rsid w:val="00F83FEF"/>
    <w:rsid w:val="00F84853"/>
    <w:rsid w:val="00F863F9"/>
    <w:rsid w:val="00F86BEE"/>
    <w:rsid w:val="00F87462"/>
    <w:rsid w:val="00F977B8"/>
    <w:rsid w:val="00FA445D"/>
    <w:rsid w:val="00FA5DD7"/>
    <w:rsid w:val="00FB21DD"/>
    <w:rsid w:val="00FB265B"/>
    <w:rsid w:val="00FC3FF5"/>
    <w:rsid w:val="00FC69F8"/>
    <w:rsid w:val="00FD39DC"/>
    <w:rsid w:val="00FE6978"/>
    <w:rsid w:val="00FF2FF7"/>
    <w:rsid w:val="00FF4E14"/>
    <w:rsid w:val="00FF6518"/>
    <w:rsid w:val="00FF7CBB"/>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5A2E73C"/>
  <w15:docId w15:val="{A4BEE879-22FF-43D7-88A4-E80B3F8E0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iPriority="0"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5015"/>
    <w:pPr>
      <w:jc w:val="both"/>
    </w:pPr>
    <w:rPr>
      <w:rFonts w:ascii="Arial" w:hAnsi="Arial"/>
    </w:rPr>
  </w:style>
  <w:style w:type="paragraph" w:styleId="Ttulo1">
    <w:name w:val="heading 1"/>
    <w:basedOn w:val="Normal"/>
    <w:next w:val="Normal"/>
    <w:link w:val="Ttulo1Car"/>
    <w:autoRedefine/>
    <w:uiPriority w:val="9"/>
    <w:qFormat/>
    <w:rsid w:val="00A213E8"/>
    <w:pPr>
      <w:keepNext/>
      <w:keepLines/>
      <w:outlineLvl w:val="0"/>
    </w:pPr>
    <w:rPr>
      <w:rFonts w:eastAsiaTheme="majorEastAsia" w:cs="Arial"/>
      <w:b/>
      <w:bCs/>
      <w:lang w:val="es-ES"/>
    </w:rPr>
  </w:style>
  <w:style w:type="paragraph" w:styleId="Ttulo2">
    <w:name w:val="heading 2"/>
    <w:basedOn w:val="Normal"/>
    <w:next w:val="Normal"/>
    <w:link w:val="Ttulo2Car"/>
    <w:autoRedefine/>
    <w:uiPriority w:val="9"/>
    <w:unhideWhenUsed/>
    <w:qFormat/>
    <w:rsid w:val="0027460A"/>
    <w:pPr>
      <w:keepNext/>
      <w:keepLines/>
      <w:outlineLvl w:val="1"/>
    </w:pPr>
    <w:rPr>
      <w:rFonts w:eastAsiaTheme="majorEastAsia" w:cs="Arial"/>
      <w:b/>
      <w:bCs/>
    </w:rPr>
  </w:style>
  <w:style w:type="paragraph" w:styleId="Ttulo3">
    <w:name w:val="heading 3"/>
    <w:basedOn w:val="Normal"/>
    <w:next w:val="Normal"/>
    <w:link w:val="Ttulo3Car"/>
    <w:autoRedefine/>
    <w:uiPriority w:val="9"/>
    <w:unhideWhenUsed/>
    <w:qFormat/>
    <w:rsid w:val="0027460A"/>
    <w:pPr>
      <w:keepNext/>
      <w:keepLines/>
      <w:outlineLvl w:val="2"/>
    </w:pPr>
    <w:rPr>
      <w:rFonts w:eastAsiaTheme="majorEastAsia" w:cs="Arial"/>
      <w:b/>
      <w:bCs/>
      <w:szCs w:val="20"/>
      <w:lang w:val="es-CO" w:eastAsia="es-CO"/>
    </w:rPr>
  </w:style>
  <w:style w:type="paragraph" w:styleId="Ttulo4">
    <w:name w:val="heading 4"/>
    <w:basedOn w:val="Normal"/>
    <w:next w:val="Normal"/>
    <w:link w:val="Ttulo4Car"/>
    <w:uiPriority w:val="9"/>
    <w:unhideWhenUsed/>
    <w:qFormat/>
    <w:rsid w:val="0027460A"/>
    <w:pPr>
      <w:keepNext/>
      <w:keepLines/>
      <w:spacing w:before="200"/>
      <w:outlineLvl w:val="3"/>
    </w:pPr>
    <w:rPr>
      <w:rFonts w:eastAsiaTheme="majorEastAsia" w:cstheme="majorBidi"/>
      <w:bCs/>
      <w:i/>
      <w:iCs/>
      <w:color w:val="000000" w:themeColor="text1"/>
    </w:rPr>
  </w:style>
  <w:style w:type="paragraph" w:styleId="Ttulo5">
    <w:name w:val="heading 5"/>
    <w:basedOn w:val="Normal"/>
    <w:next w:val="Normal"/>
    <w:link w:val="Ttulo5Car"/>
    <w:uiPriority w:val="9"/>
    <w:unhideWhenUsed/>
    <w:qFormat/>
    <w:rsid w:val="00320E8F"/>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qFormat/>
    <w:rsid w:val="00B10FF8"/>
    <w:pPr>
      <w:spacing w:before="240" w:after="60"/>
      <w:jc w:val="left"/>
      <w:outlineLvl w:val="5"/>
    </w:pPr>
    <w:rPr>
      <w:rFonts w:ascii="Times New Roman" w:eastAsia="Times New Roman" w:hAnsi="Times New Roman" w:cs="Times New Roman"/>
      <w:b/>
      <w:bCs/>
      <w:sz w:val="22"/>
      <w:szCs w:val="22"/>
      <w:lang w:val="es-ES"/>
    </w:rPr>
  </w:style>
  <w:style w:type="paragraph" w:styleId="Ttulo7">
    <w:name w:val="heading 7"/>
    <w:basedOn w:val="Normal"/>
    <w:next w:val="Normal"/>
    <w:link w:val="Ttulo7Car"/>
    <w:qFormat/>
    <w:rsid w:val="00B10FF8"/>
    <w:pPr>
      <w:keepNext/>
      <w:spacing w:line="180" w:lineRule="exact"/>
      <w:ind w:right="584"/>
      <w:outlineLvl w:val="6"/>
    </w:pPr>
    <w:rPr>
      <w:rFonts w:eastAsia="Times New Roman" w:cs="Times New Roman"/>
      <w:b/>
      <w:sz w:val="18"/>
      <w:lang w:val="es-CO"/>
    </w:rPr>
  </w:style>
  <w:style w:type="paragraph" w:styleId="Ttulo8">
    <w:name w:val="heading 8"/>
    <w:basedOn w:val="Normal"/>
    <w:next w:val="Normal"/>
    <w:link w:val="Ttulo8Car"/>
    <w:qFormat/>
    <w:rsid w:val="00B10FF8"/>
    <w:pPr>
      <w:keepNext/>
      <w:ind w:right="584"/>
      <w:jc w:val="center"/>
      <w:outlineLvl w:val="7"/>
    </w:pPr>
    <w:rPr>
      <w:rFonts w:eastAsia="Times New Roman" w:cs="Times New Roman"/>
      <w:b/>
      <w:sz w:val="18"/>
      <w:lang w:val="es-CO"/>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213E8"/>
    <w:rPr>
      <w:rFonts w:ascii="Arial" w:eastAsiaTheme="majorEastAsia" w:hAnsi="Arial" w:cs="Arial"/>
      <w:b/>
      <w:bCs/>
      <w:lang w:val="es-ES"/>
    </w:rPr>
  </w:style>
  <w:style w:type="character" w:customStyle="1" w:styleId="Ttulo2Car">
    <w:name w:val="Título 2 Car"/>
    <w:basedOn w:val="Fuentedeprrafopredeter"/>
    <w:link w:val="Ttulo2"/>
    <w:uiPriority w:val="9"/>
    <w:rsid w:val="0027460A"/>
    <w:rPr>
      <w:rFonts w:ascii="Arial" w:eastAsiaTheme="majorEastAsia" w:hAnsi="Arial" w:cs="Arial"/>
      <w:b/>
      <w:bCs/>
    </w:rPr>
  </w:style>
  <w:style w:type="character" w:customStyle="1" w:styleId="Ttulo3Car">
    <w:name w:val="Título 3 Car"/>
    <w:basedOn w:val="Fuentedeprrafopredeter"/>
    <w:link w:val="Ttulo3"/>
    <w:uiPriority w:val="9"/>
    <w:rsid w:val="0027460A"/>
    <w:rPr>
      <w:rFonts w:ascii="Arial" w:eastAsiaTheme="majorEastAsia" w:hAnsi="Arial" w:cs="Arial"/>
      <w:b/>
      <w:bCs/>
      <w:szCs w:val="20"/>
      <w:lang w:val="es-CO" w:eastAsia="es-CO"/>
    </w:rPr>
  </w:style>
  <w:style w:type="character" w:customStyle="1" w:styleId="Ttulo4Car">
    <w:name w:val="Título 4 Car"/>
    <w:basedOn w:val="Fuentedeprrafopredeter"/>
    <w:link w:val="Ttulo4"/>
    <w:uiPriority w:val="9"/>
    <w:rsid w:val="0027460A"/>
    <w:rPr>
      <w:rFonts w:ascii="Arial" w:eastAsiaTheme="majorEastAsia" w:hAnsi="Arial" w:cstheme="majorBidi"/>
      <w:bCs/>
      <w:i/>
      <w:iCs/>
      <w:color w:val="000000" w:themeColor="text1"/>
    </w:rPr>
  </w:style>
  <w:style w:type="character" w:customStyle="1" w:styleId="Ttulo5Car">
    <w:name w:val="Título 5 Car"/>
    <w:basedOn w:val="Fuentedeprrafopredeter"/>
    <w:link w:val="Ttulo5"/>
    <w:uiPriority w:val="9"/>
    <w:rsid w:val="00320E8F"/>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rsid w:val="00B10FF8"/>
    <w:rPr>
      <w:rFonts w:ascii="Times New Roman" w:eastAsia="Times New Roman" w:hAnsi="Times New Roman" w:cs="Times New Roman"/>
      <w:b/>
      <w:bCs/>
      <w:sz w:val="22"/>
      <w:szCs w:val="22"/>
      <w:lang w:val="es-ES"/>
    </w:rPr>
  </w:style>
  <w:style w:type="character" w:customStyle="1" w:styleId="Ttulo7Car">
    <w:name w:val="Título 7 Car"/>
    <w:basedOn w:val="Fuentedeprrafopredeter"/>
    <w:link w:val="Ttulo7"/>
    <w:rsid w:val="00B10FF8"/>
    <w:rPr>
      <w:rFonts w:ascii="Arial" w:eastAsia="Times New Roman" w:hAnsi="Arial" w:cs="Times New Roman"/>
      <w:b/>
      <w:sz w:val="18"/>
      <w:lang w:val="es-CO"/>
    </w:rPr>
  </w:style>
  <w:style w:type="character" w:customStyle="1" w:styleId="Ttulo8Car">
    <w:name w:val="Título 8 Car"/>
    <w:basedOn w:val="Fuentedeprrafopredeter"/>
    <w:link w:val="Ttulo8"/>
    <w:rsid w:val="00B10FF8"/>
    <w:rPr>
      <w:rFonts w:ascii="Arial" w:eastAsia="Times New Roman" w:hAnsi="Arial" w:cs="Times New Roman"/>
      <w:b/>
      <w:sz w:val="18"/>
      <w:lang w:val="es-CO"/>
    </w:rPr>
  </w:style>
  <w:style w:type="paragraph" w:styleId="Encabezado">
    <w:name w:val="header"/>
    <w:basedOn w:val="Normal"/>
    <w:link w:val="EncabezadoCar"/>
    <w:uiPriority w:val="99"/>
    <w:unhideWhenUsed/>
    <w:rsid w:val="00733FA3"/>
    <w:pPr>
      <w:tabs>
        <w:tab w:val="center" w:pos="4252"/>
        <w:tab w:val="right" w:pos="8504"/>
      </w:tabs>
    </w:pPr>
  </w:style>
  <w:style w:type="character" w:customStyle="1" w:styleId="EncabezadoCar">
    <w:name w:val="Encabezado Car"/>
    <w:basedOn w:val="Fuentedeprrafopredeter"/>
    <w:link w:val="Encabezado"/>
    <w:uiPriority w:val="99"/>
    <w:rsid w:val="00733FA3"/>
  </w:style>
  <w:style w:type="paragraph" w:styleId="Piedepgina">
    <w:name w:val="footer"/>
    <w:basedOn w:val="Normal"/>
    <w:link w:val="PiedepginaCar"/>
    <w:uiPriority w:val="99"/>
    <w:unhideWhenUsed/>
    <w:rsid w:val="00733FA3"/>
    <w:pPr>
      <w:tabs>
        <w:tab w:val="center" w:pos="4252"/>
        <w:tab w:val="right" w:pos="8504"/>
      </w:tabs>
    </w:pPr>
  </w:style>
  <w:style w:type="character" w:customStyle="1" w:styleId="PiedepginaCar">
    <w:name w:val="Pie de página Car"/>
    <w:basedOn w:val="Fuentedeprrafopredeter"/>
    <w:link w:val="Piedepgina"/>
    <w:uiPriority w:val="99"/>
    <w:rsid w:val="00733FA3"/>
  </w:style>
  <w:style w:type="paragraph" w:styleId="Textodeglobo">
    <w:name w:val="Balloon Text"/>
    <w:basedOn w:val="Normal"/>
    <w:link w:val="TextodegloboCar"/>
    <w:uiPriority w:val="99"/>
    <w:unhideWhenUsed/>
    <w:rsid w:val="00733FA3"/>
    <w:rPr>
      <w:rFonts w:ascii="Lucida Grande" w:hAnsi="Lucida Grande" w:cs="Lucida Grande"/>
      <w:sz w:val="18"/>
      <w:szCs w:val="18"/>
    </w:rPr>
  </w:style>
  <w:style w:type="character" w:customStyle="1" w:styleId="TextodegloboCar">
    <w:name w:val="Texto de globo Car"/>
    <w:basedOn w:val="Fuentedeprrafopredeter"/>
    <w:link w:val="Textodeglobo"/>
    <w:uiPriority w:val="99"/>
    <w:rsid w:val="00733FA3"/>
    <w:rPr>
      <w:rFonts w:ascii="Lucida Grande" w:hAnsi="Lucida Grande" w:cs="Lucida Grande"/>
      <w:sz w:val="18"/>
      <w:szCs w:val="18"/>
    </w:rPr>
  </w:style>
  <w:style w:type="paragraph" w:styleId="Fecha">
    <w:name w:val="Date"/>
    <w:basedOn w:val="Normal"/>
    <w:next w:val="Normal"/>
    <w:link w:val="FechaCar"/>
    <w:rsid w:val="00C4189C"/>
    <w:pPr>
      <w:spacing w:after="260" w:line="220" w:lineRule="atLeast"/>
      <w:ind w:left="835" w:right="-360"/>
    </w:pPr>
    <w:rPr>
      <w:rFonts w:ascii="Times New Roman" w:eastAsia="Times New Roman" w:hAnsi="Times New Roman" w:cs="Times New Roman"/>
      <w:sz w:val="20"/>
      <w:szCs w:val="20"/>
      <w:lang w:val="en-US"/>
    </w:rPr>
  </w:style>
  <w:style w:type="character" w:customStyle="1" w:styleId="FechaCar">
    <w:name w:val="Fecha Car"/>
    <w:basedOn w:val="Fuentedeprrafopredeter"/>
    <w:link w:val="Fecha"/>
    <w:rsid w:val="00C4189C"/>
    <w:rPr>
      <w:rFonts w:ascii="Times New Roman" w:eastAsia="Times New Roman" w:hAnsi="Times New Roman" w:cs="Times New Roman"/>
      <w:sz w:val="20"/>
      <w:szCs w:val="20"/>
      <w:lang w:val="en-US"/>
    </w:rPr>
  </w:style>
  <w:style w:type="paragraph" w:customStyle="1" w:styleId="InsideAddress">
    <w:name w:val="Inside Address"/>
    <w:basedOn w:val="Normal"/>
    <w:rsid w:val="00C4189C"/>
    <w:pPr>
      <w:ind w:left="835" w:right="-360"/>
    </w:pPr>
    <w:rPr>
      <w:rFonts w:ascii="Times New Roman" w:eastAsia="Times New Roman" w:hAnsi="Times New Roman" w:cs="Times New Roman"/>
      <w:sz w:val="20"/>
      <w:szCs w:val="20"/>
      <w:lang w:val="en-US"/>
    </w:rPr>
  </w:style>
  <w:style w:type="paragraph" w:customStyle="1" w:styleId="CcList">
    <w:name w:val="Cc List"/>
    <w:basedOn w:val="Normal"/>
    <w:rsid w:val="003C4BA6"/>
    <w:pPr>
      <w:keepLines/>
      <w:ind w:left="1195" w:right="-360" w:hanging="360"/>
    </w:pPr>
    <w:rPr>
      <w:rFonts w:ascii="Times New Roman" w:eastAsia="Times New Roman" w:hAnsi="Times New Roman" w:cs="Times New Roman"/>
      <w:sz w:val="20"/>
      <w:szCs w:val="20"/>
      <w:lang w:val="en-US"/>
    </w:rPr>
  </w:style>
  <w:style w:type="paragraph" w:styleId="Textoindependiente2">
    <w:name w:val="Body Text 2"/>
    <w:basedOn w:val="Normal"/>
    <w:link w:val="Textoindependiente2Car"/>
    <w:rsid w:val="0062045D"/>
    <w:pPr>
      <w:spacing w:line="360" w:lineRule="auto"/>
    </w:pPr>
    <w:rPr>
      <w:rFonts w:eastAsia="Times New Roman" w:cs="Times New Roman"/>
      <w:sz w:val="22"/>
      <w:szCs w:val="20"/>
    </w:rPr>
  </w:style>
  <w:style w:type="character" w:customStyle="1" w:styleId="Textoindependiente2Car">
    <w:name w:val="Texto independiente 2 Car"/>
    <w:basedOn w:val="Fuentedeprrafopredeter"/>
    <w:link w:val="Textoindependiente2"/>
    <w:rsid w:val="0062045D"/>
    <w:rPr>
      <w:rFonts w:ascii="Arial" w:eastAsia="Times New Roman" w:hAnsi="Arial" w:cs="Times New Roman"/>
      <w:sz w:val="22"/>
      <w:szCs w:val="20"/>
    </w:rPr>
  </w:style>
  <w:style w:type="paragraph" w:customStyle="1" w:styleId="Default">
    <w:name w:val="Default"/>
    <w:rsid w:val="00965E38"/>
    <w:pPr>
      <w:autoSpaceDE w:val="0"/>
      <w:autoSpaceDN w:val="0"/>
      <w:adjustRightInd w:val="0"/>
    </w:pPr>
    <w:rPr>
      <w:rFonts w:ascii="Arial" w:hAnsi="Arial" w:cs="Arial"/>
      <w:color w:val="000000"/>
      <w:lang w:val="es-CO"/>
    </w:rPr>
  </w:style>
  <w:style w:type="paragraph" w:customStyle="1" w:styleId="TITULO">
    <w:name w:val="TITULO"/>
    <w:basedOn w:val="Normal"/>
    <w:uiPriority w:val="99"/>
    <w:rsid w:val="00320E8F"/>
    <w:pPr>
      <w:autoSpaceDE w:val="0"/>
      <w:autoSpaceDN w:val="0"/>
      <w:spacing w:before="600" w:after="360"/>
      <w:jc w:val="right"/>
    </w:pPr>
    <w:rPr>
      <w:rFonts w:ascii="Swis721 Blk BT" w:eastAsia="Times New Roman" w:hAnsi="Swis721 Blk BT" w:cs="Swis721 Blk BT"/>
      <w:b/>
      <w:bCs/>
      <w:sz w:val="48"/>
      <w:szCs w:val="48"/>
      <w:lang w:val="es-ES"/>
    </w:rPr>
  </w:style>
  <w:style w:type="paragraph" w:styleId="Sinespaciado">
    <w:name w:val="No Spacing"/>
    <w:link w:val="SinespaciadoCar"/>
    <w:uiPriority w:val="1"/>
    <w:qFormat/>
    <w:rsid w:val="00320E8F"/>
    <w:pPr>
      <w:jc w:val="both"/>
    </w:pPr>
    <w:rPr>
      <w:rFonts w:ascii="Arial" w:hAnsi="Arial"/>
      <w:sz w:val="22"/>
      <w:szCs w:val="20"/>
      <w:lang w:val="es-CO" w:eastAsia="es-CO"/>
    </w:rPr>
  </w:style>
  <w:style w:type="character" w:customStyle="1" w:styleId="SinespaciadoCar">
    <w:name w:val="Sin espaciado Car"/>
    <w:basedOn w:val="Fuentedeprrafopredeter"/>
    <w:link w:val="Sinespaciado"/>
    <w:uiPriority w:val="1"/>
    <w:rsid w:val="00176882"/>
    <w:rPr>
      <w:rFonts w:ascii="Arial" w:hAnsi="Arial"/>
      <w:sz w:val="22"/>
      <w:szCs w:val="20"/>
      <w:lang w:val="es-CO" w:eastAsia="es-CO"/>
    </w:rPr>
  </w:style>
  <w:style w:type="paragraph" w:styleId="Prrafodelista">
    <w:name w:val="List Paragraph"/>
    <w:basedOn w:val="Normal"/>
    <w:link w:val="PrrafodelistaCar"/>
    <w:qFormat/>
    <w:rsid w:val="00320E8F"/>
    <w:pPr>
      <w:spacing w:after="200" w:line="276" w:lineRule="auto"/>
      <w:ind w:left="720"/>
      <w:contextualSpacing/>
    </w:pPr>
    <w:rPr>
      <w:sz w:val="22"/>
      <w:szCs w:val="20"/>
      <w:lang w:val="es-CO" w:eastAsia="es-CO"/>
    </w:rPr>
  </w:style>
  <w:style w:type="character" w:customStyle="1" w:styleId="PrrafodelistaCar">
    <w:name w:val="Párrafo de lista Car"/>
    <w:link w:val="Prrafodelista"/>
    <w:locked/>
    <w:rsid w:val="00176882"/>
    <w:rPr>
      <w:rFonts w:ascii="Arial" w:hAnsi="Arial"/>
      <w:sz w:val="22"/>
      <w:szCs w:val="20"/>
      <w:lang w:val="es-CO" w:eastAsia="es-CO"/>
    </w:rPr>
  </w:style>
  <w:style w:type="character" w:styleId="Hipervnculo">
    <w:name w:val="Hyperlink"/>
    <w:basedOn w:val="Fuentedeprrafopredeter"/>
    <w:uiPriority w:val="99"/>
    <w:unhideWhenUsed/>
    <w:rsid w:val="00320E8F"/>
    <w:rPr>
      <w:color w:val="0000FF" w:themeColor="hyperlink"/>
      <w:u w:val="single"/>
    </w:rPr>
  </w:style>
  <w:style w:type="paragraph" w:styleId="Textoindependiente">
    <w:name w:val="Body Text"/>
    <w:basedOn w:val="Normal"/>
    <w:link w:val="TextoindependienteCar"/>
    <w:uiPriority w:val="99"/>
    <w:unhideWhenUsed/>
    <w:rsid w:val="00320E8F"/>
    <w:pPr>
      <w:spacing w:after="120"/>
    </w:pPr>
  </w:style>
  <w:style w:type="character" w:customStyle="1" w:styleId="TextoindependienteCar">
    <w:name w:val="Texto independiente Car"/>
    <w:basedOn w:val="Fuentedeprrafopredeter"/>
    <w:link w:val="Textoindependiente"/>
    <w:uiPriority w:val="99"/>
    <w:rsid w:val="00320E8F"/>
  </w:style>
  <w:style w:type="paragraph" w:customStyle="1" w:styleId="Pa9">
    <w:name w:val="Pa9"/>
    <w:basedOn w:val="Normal"/>
    <w:next w:val="Normal"/>
    <w:uiPriority w:val="99"/>
    <w:rsid w:val="00320E8F"/>
    <w:pPr>
      <w:autoSpaceDE w:val="0"/>
      <w:autoSpaceDN w:val="0"/>
      <w:adjustRightInd w:val="0"/>
      <w:spacing w:line="241" w:lineRule="atLeast"/>
    </w:pPr>
    <w:rPr>
      <w:rFonts w:ascii="Univers" w:eastAsiaTheme="minorHAnsi" w:hAnsi="Univers"/>
      <w:lang w:val="es-CO" w:eastAsia="en-US"/>
    </w:rPr>
  </w:style>
  <w:style w:type="paragraph" w:styleId="Listaconvietas">
    <w:name w:val="List Bullet"/>
    <w:basedOn w:val="Normal"/>
    <w:autoRedefine/>
    <w:rsid w:val="00320E8F"/>
    <w:pPr>
      <w:tabs>
        <w:tab w:val="left" w:pos="0"/>
      </w:tabs>
      <w:ind w:right="-518"/>
    </w:pPr>
    <w:rPr>
      <w:rFonts w:ascii="Arial Narrow" w:eastAsia="Times New Roman" w:hAnsi="Arial Narrow" w:cs="Arial"/>
      <w:color w:val="000000"/>
      <w:sz w:val="18"/>
      <w:szCs w:val="18"/>
      <w:lang w:val="es-CO" w:eastAsia="es-CO"/>
    </w:rPr>
  </w:style>
  <w:style w:type="character" w:customStyle="1" w:styleId="hps">
    <w:name w:val="hps"/>
    <w:basedOn w:val="Fuentedeprrafopredeter"/>
    <w:rsid w:val="00320E8F"/>
  </w:style>
  <w:style w:type="character" w:customStyle="1" w:styleId="longtext">
    <w:name w:val="long_text"/>
    <w:basedOn w:val="Fuentedeprrafopredeter"/>
    <w:rsid w:val="00320E8F"/>
  </w:style>
  <w:style w:type="paragraph" w:styleId="NormalWeb">
    <w:name w:val="Normal (Web)"/>
    <w:basedOn w:val="Normal"/>
    <w:uiPriority w:val="99"/>
    <w:rsid w:val="009D2727"/>
    <w:pPr>
      <w:spacing w:before="100" w:beforeAutospacing="1" w:after="100" w:afterAutospacing="1"/>
    </w:pPr>
    <w:rPr>
      <w:rFonts w:ascii="Times New Roman" w:eastAsia="Times New Roman" w:hAnsi="Times New Roman" w:cs="Times New Roman"/>
      <w:lang w:val="es-ES"/>
    </w:rPr>
  </w:style>
  <w:style w:type="character" w:customStyle="1" w:styleId="apple-converted-space">
    <w:name w:val="apple-converted-space"/>
    <w:basedOn w:val="Fuentedeprrafopredeter"/>
    <w:rsid w:val="009D2727"/>
  </w:style>
  <w:style w:type="character" w:styleId="Ttulodellibro">
    <w:name w:val="Book Title"/>
    <w:uiPriority w:val="33"/>
    <w:qFormat/>
    <w:rsid w:val="00376920"/>
    <w:rPr>
      <w:rFonts w:ascii="Arial" w:hAnsi="Arial"/>
      <w:b/>
      <w:bCs/>
      <w:smallCaps/>
      <w:spacing w:val="5"/>
    </w:rPr>
  </w:style>
  <w:style w:type="character" w:styleId="Refdecomentario">
    <w:name w:val="annotation reference"/>
    <w:basedOn w:val="Fuentedeprrafopredeter"/>
    <w:uiPriority w:val="99"/>
    <w:unhideWhenUsed/>
    <w:rsid w:val="00E93FCE"/>
    <w:rPr>
      <w:sz w:val="16"/>
      <w:szCs w:val="16"/>
    </w:rPr>
  </w:style>
  <w:style w:type="paragraph" w:styleId="Textocomentario">
    <w:name w:val="annotation text"/>
    <w:basedOn w:val="Normal"/>
    <w:link w:val="TextocomentarioCar"/>
    <w:uiPriority w:val="99"/>
    <w:unhideWhenUsed/>
    <w:rsid w:val="00E93FCE"/>
    <w:rPr>
      <w:sz w:val="20"/>
      <w:szCs w:val="20"/>
    </w:rPr>
  </w:style>
  <w:style w:type="character" w:customStyle="1" w:styleId="TextocomentarioCar">
    <w:name w:val="Texto comentario Car"/>
    <w:basedOn w:val="Fuentedeprrafopredeter"/>
    <w:link w:val="Textocomentario"/>
    <w:uiPriority w:val="99"/>
    <w:rsid w:val="00E93FCE"/>
    <w:rPr>
      <w:sz w:val="20"/>
      <w:szCs w:val="20"/>
    </w:rPr>
  </w:style>
  <w:style w:type="character" w:customStyle="1" w:styleId="hlfld-contribauthor">
    <w:name w:val="hlfld-contribauthor"/>
    <w:basedOn w:val="Fuentedeprrafopredeter"/>
    <w:rsid w:val="002B41DB"/>
  </w:style>
  <w:style w:type="character" w:customStyle="1" w:styleId="nlmgiven-names">
    <w:name w:val="nlm_given-names"/>
    <w:basedOn w:val="Fuentedeprrafopredeter"/>
    <w:rsid w:val="002B41DB"/>
  </w:style>
  <w:style w:type="character" w:customStyle="1" w:styleId="nlmarticle-title">
    <w:name w:val="nlm_article-title"/>
    <w:basedOn w:val="Fuentedeprrafopredeter"/>
    <w:rsid w:val="002B41DB"/>
  </w:style>
  <w:style w:type="character" w:customStyle="1" w:styleId="nlmyear">
    <w:name w:val="nlm_year"/>
    <w:basedOn w:val="Fuentedeprrafopredeter"/>
    <w:rsid w:val="002B41DB"/>
  </w:style>
  <w:style w:type="character" w:customStyle="1" w:styleId="nlmfpage">
    <w:name w:val="nlm_fpage"/>
    <w:basedOn w:val="Fuentedeprrafopredeter"/>
    <w:rsid w:val="002B41DB"/>
  </w:style>
  <w:style w:type="character" w:styleId="Nmerodepgina">
    <w:name w:val="page number"/>
    <w:basedOn w:val="Fuentedeprrafopredeter"/>
    <w:rsid w:val="00E509AA"/>
  </w:style>
  <w:style w:type="table" w:styleId="Tablaconcuadrcula">
    <w:name w:val="Table Grid"/>
    <w:basedOn w:val="Tablanormal"/>
    <w:uiPriority w:val="39"/>
    <w:rsid w:val="0045191D"/>
    <w:rPr>
      <w:rFonts w:eastAsiaTheme="minorHAns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9">
    <w:name w:val="CM19"/>
    <w:basedOn w:val="Default"/>
    <w:next w:val="Default"/>
    <w:rsid w:val="0045191D"/>
    <w:rPr>
      <w:rFonts w:eastAsia="Times New Roman"/>
      <w:lang w:val="es-ES"/>
    </w:rPr>
  </w:style>
  <w:style w:type="paragraph" w:styleId="Asuntodelcomentario">
    <w:name w:val="annotation subject"/>
    <w:basedOn w:val="Textocomentario"/>
    <w:next w:val="Textocomentario"/>
    <w:link w:val="AsuntodelcomentarioCar"/>
    <w:uiPriority w:val="99"/>
    <w:unhideWhenUsed/>
    <w:rsid w:val="0058569D"/>
    <w:rPr>
      <w:b/>
      <w:bCs/>
    </w:rPr>
  </w:style>
  <w:style w:type="character" w:customStyle="1" w:styleId="AsuntodelcomentarioCar">
    <w:name w:val="Asunto del comentario Car"/>
    <w:basedOn w:val="TextocomentarioCar"/>
    <w:link w:val="Asuntodelcomentario"/>
    <w:uiPriority w:val="99"/>
    <w:rsid w:val="0058569D"/>
    <w:rPr>
      <w:b/>
      <w:bCs/>
      <w:sz w:val="20"/>
      <w:szCs w:val="20"/>
    </w:rPr>
  </w:style>
  <w:style w:type="character" w:customStyle="1" w:styleId="Mencinsinresolver1">
    <w:name w:val="Mención sin resolver1"/>
    <w:basedOn w:val="Fuentedeprrafopredeter"/>
    <w:uiPriority w:val="99"/>
    <w:semiHidden/>
    <w:unhideWhenUsed/>
    <w:rsid w:val="00D6650B"/>
    <w:rPr>
      <w:color w:val="808080"/>
      <w:shd w:val="clear" w:color="auto" w:fill="E6E6E6"/>
    </w:rPr>
  </w:style>
  <w:style w:type="paragraph" w:styleId="Descripcin">
    <w:name w:val="caption"/>
    <w:basedOn w:val="Normal"/>
    <w:next w:val="Normal"/>
    <w:uiPriority w:val="35"/>
    <w:unhideWhenUsed/>
    <w:qFormat/>
    <w:rsid w:val="00FC69F8"/>
    <w:pPr>
      <w:spacing w:after="200"/>
    </w:pPr>
    <w:rPr>
      <w:i/>
      <w:iCs/>
      <w:color w:val="1F497D" w:themeColor="text2"/>
      <w:sz w:val="18"/>
      <w:szCs w:val="18"/>
    </w:rPr>
  </w:style>
  <w:style w:type="paragraph" w:styleId="TtuloTDC">
    <w:name w:val="TOC Heading"/>
    <w:basedOn w:val="Ttulo1"/>
    <w:next w:val="Normal"/>
    <w:uiPriority w:val="39"/>
    <w:unhideWhenUsed/>
    <w:qFormat/>
    <w:rsid w:val="00E27652"/>
    <w:pPr>
      <w:spacing w:before="480" w:line="276" w:lineRule="auto"/>
      <w:outlineLvl w:val="9"/>
    </w:pPr>
    <w:rPr>
      <w:b w:val="0"/>
      <w:bCs w:val="0"/>
      <w:sz w:val="28"/>
      <w:szCs w:val="28"/>
      <w:lang w:val="es-CO" w:eastAsia="es-CO"/>
    </w:rPr>
  </w:style>
  <w:style w:type="paragraph" w:styleId="TDC1">
    <w:name w:val="toc 1"/>
    <w:basedOn w:val="Normal"/>
    <w:next w:val="Normal"/>
    <w:autoRedefine/>
    <w:uiPriority w:val="39"/>
    <w:unhideWhenUsed/>
    <w:qFormat/>
    <w:rsid w:val="00376920"/>
    <w:pPr>
      <w:spacing w:before="120"/>
      <w:jc w:val="left"/>
    </w:pPr>
    <w:rPr>
      <w:rFonts w:asciiTheme="minorHAnsi" w:hAnsiTheme="minorHAnsi"/>
      <w:b/>
      <w:bCs/>
    </w:rPr>
  </w:style>
  <w:style w:type="paragraph" w:styleId="TDC2">
    <w:name w:val="toc 2"/>
    <w:basedOn w:val="Normal"/>
    <w:next w:val="Normal"/>
    <w:autoRedefine/>
    <w:uiPriority w:val="39"/>
    <w:unhideWhenUsed/>
    <w:qFormat/>
    <w:rsid w:val="00376920"/>
    <w:pPr>
      <w:ind w:left="240"/>
      <w:jc w:val="left"/>
    </w:pPr>
    <w:rPr>
      <w:rFonts w:asciiTheme="minorHAnsi" w:hAnsiTheme="minorHAnsi"/>
      <w:b/>
      <w:bCs/>
      <w:sz w:val="22"/>
      <w:szCs w:val="22"/>
    </w:rPr>
  </w:style>
  <w:style w:type="paragraph" w:styleId="TDC3">
    <w:name w:val="toc 3"/>
    <w:basedOn w:val="Normal"/>
    <w:next w:val="Normal"/>
    <w:autoRedefine/>
    <w:uiPriority w:val="39"/>
    <w:unhideWhenUsed/>
    <w:qFormat/>
    <w:rsid w:val="00FF2FF7"/>
    <w:pPr>
      <w:ind w:left="480"/>
      <w:jc w:val="left"/>
    </w:pPr>
    <w:rPr>
      <w:rFonts w:asciiTheme="minorHAnsi" w:hAnsiTheme="minorHAnsi"/>
      <w:sz w:val="22"/>
      <w:szCs w:val="22"/>
    </w:rPr>
  </w:style>
  <w:style w:type="character" w:styleId="Hipervnculovisitado">
    <w:name w:val="FollowedHyperlink"/>
    <w:basedOn w:val="Fuentedeprrafopredeter"/>
    <w:uiPriority w:val="99"/>
    <w:unhideWhenUsed/>
    <w:rsid w:val="00131957"/>
    <w:rPr>
      <w:color w:val="800080" w:themeColor="followedHyperlink"/>
      <w:u w:val="single"/>
    </w:rPr>
  </w:style>
  <w:style w:type="paragraph" w:styleId="Revisin">
    <w:name w:val="Revision"/>
    <w:hidden/>
    <w:uiPriority w:val="99"/>
    <w:semiHidden/>
    <w:rsid w:val="00E32A65"/>
  </w:style>
  <w:style w:type="character" w:styleId="Referenciasutil">
    <w:name w:val="Subtle Reference"/>
    <w:basedOn w:val="Fuentedeprrafopredeter"/>
    <w:uiPriority w:val="31"/>
    <w:qFormat/>
    <w:rsid w:val="00A213E8"/>
    <w:rPr>
      <w:smallCaps/>
      <w:color w:val="5A5A5A" w:themeColor="text1" w:themeTint="A5"/>
    </w:rPr>
  </w:style>
  <w:style w:type="paragraph" w:customStyle="1" w:styleId="t1">
    <w:name w:val="t1"/>
    <w:basedOn w:val="Normal"/>
    <w:rsid w:val="00176882"/>
    <w:pPr>
      <w:widowControl w:val="0"/>
      <w:spacing w:line="240" w:lineRule="atLeast"/>
      <w:jc w:val="left"/>
    </w:pPr>
    <w:rPr>
      <w:rFonts w:ascii="Times New Roman" w:eastAsia="Times New Roman" w:hAnsi="Times New Roman" w:cs="Times New Roman"/>
      <w:snapToGrid w:val="0"/>
      <w:szCs w:val="20"/>
      <w:lang w:val="es-ES"/>
    </w:rPr>
  </w:style>
  <w:style w:type="paragraph" w:customStyle="1" w:styleId="p3">
    <w:name w:val="p3"/>
    <w:basedOn w:val="Normal"/>
    <w:rsid w:val="00176882"/>
    <w:pPr>
      <w:widowControl w:val="0"/>
      <w:tabs>
        <w:tab w:val="left" w:pos="1380"/>
      </w:tabs>
      <w:spacing w:line="240" w:lineRule="atLeast"/>
      <w:jc w:val="left"/>
    </w:pPr>
    <w:rPr>
      <w:rFonts w:ascii="Times New Roman" w:eastAsia="Times New Roman" w:hAnsi="Times New Roman" w:cs="Times New Roman"/>
      <w:snapToGrid w:val="0"/>
      <w:szCs w:val="20"/>
      <w:lang w:val="es-ES"/>
    </w:rPr>
  </w:style>
  <w:style w:type="paragraph" w:customStyle="1" w:styleId="p4">
    <w:name w:val="p4"/>
    <w:basedOn w:val="Normal"/>
    <w:rsid w:val="00176882"/>
    <w:pPr>
      <w:widowControl w:val="0"/>
      <w:tabs>
        <w:tab w:val="left" w:pos="240"/>
      </w:tabs>
      <w:spacing w:line="240" w:lineRule="atLeast"/>
      <w:ind w:left="1152" w:hanging="288"/>
      <w:jc w:val="left"/>
    </w:pPr>
    <w:rPr>
      <w:rFonts w:ascii="Times New Roman" w:eastAsia="Times New Roman" w:hAnsi="Times New Roman" w:cs="Times New Roman"/>
      <w:snapToGrid w:val="0"/>
      <w:szCs w:val="20"/>
      <w:lang w:val="es-ES"/>
    </w:rPr>
  </w:style>
  <w:style w:type="paragraph" w:customStyle="1" w:styleId="p6">
    <w:name w:val="p6"/>
    <w:basedOn w:val="Normal"/>
    <w:rsid w:val="00176882"/>
    <w:pPr>
      <w:widowControl w:val="0"/>
      <w:spacing w:line="240" w:lineRule="atLeast"/>
      <w:ind w:left="1152" w:hanging="288"/>
      <w:jc w:val="left"/>
    </w:pPr>
    <w:rPr>
      <w:rFonts w:ascii="Times New Roman" w:eastAsia="Times New Roman" w:hAnsi="Times New Roman" w:cs="Times New Roman"/>
      <w:snapToGrid w:val="0"/>
      <w:szCs w:val="20"/>
      <w:lang w:val="es-ES"/>
    </w:rPr>
  </w:style>
  <w:style w:type="paragraph" w:customStyle="1" w:styleId="p7">
    <w:name w:val="p7"/>
    <w:basedOn w:val="Normal"/>
    <w:rsid w:val="00176882"/>
    <w:pPr>
      <w:widowControl w:val="0"/>
      <w:spacing w:line="240" w:lineRule="atLeast"/>
      <w:ind w:left="1200"/>
      <w:jc w:val="left"/>
    </w:pPr>
    <w:rPr>
      <w:rFonts w:ascii="Times New Roman" w:eastAsia="Times New Roman" w:hAnsi="Times New Roman" w:cs="Times New Roman"/>
      <w:snapToGrid w:val="0"/>
      <w:szCs w:val="20"/>
      <w:lang w:val="es-ES"/>
    </w:rPr>
  </w:style>
  <w:style w:type="paragraph" w:customStyle="1" w:styleId="small">
    <w:name w:val="small"/>
    <w:basedOn w:val="Normal"/>
    <w:rsid w:val="00176882"/>
    <w:pPr>
      <w:spacing w:before="100" w:beforeAutospacing="1" w:after="100" w:afterAutospacing="1"/>
      <w:jc w:val="left"/>
    </w:pPr>
    <w:rPr>
      <w:rFonts w:ascii="Times New Roman" w:eastAsia="Times New Roman" w:hAnsi="Times New Roman" w:cs="Times New Roman"/>
      <w:lang w:val="es-CO" w:eastAsia="es-CO"/>
    </w:rPr>
  </w:style>
  <w:style w:type="table" w:customStyle="1" w:styleId="Tablanormal51">
    <w:name w:val="Tabla normal 51"/>
    <w:basedOn w:val="Tablanormal"/>
    <w:uiPriority w:val="45"/>
    <w:rsid w:val="00176882"/>
    <w:rPr>
      <w:rFonts w:eastAsiaTheme="minorHAnsi"/>
      <w:sz w:val="22"/>
      <w:szCs w:val="22"/>
      <w:lang w:val="es-CO"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Sombreadoclaro">
    <w:name w:val="Light Shading"/>
    <w:basedOn w:val="Tablanormal"/>
    <w:uiPriority w:val="60"/>
    <w:rsid w:val="0017688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pple-style-span">
    <w:name w:val="apple-style-span"/>
    <w:rsid w:val="00176882"/>
  </w:style>
  <w:style w:type="character" w:customStyle="1" w:styleId="normalchar1">
    <w:name w:val="normal__char1"/>
    <w:rsid w:val="00176882"/>
    <w:rPr>
      <w:rFonts w:ascii="Calibri" w:hAnsi="Calibri" w:hint="default"/>
      <w:sz w:val="22"/>
      <w:szCs w:val="22"/>
    </w:rPr>
  </w:style>
  <w:style w:type="paragraph" w:styleId="TDC4">
    <w:name w:val="toc 4"/>
    <w:basedOn w:val="Normal"/>
    <w:next w:val="Normal"/>
    <w:autoRedefine/>
    <w:uiPriority w:val="39"/>
    <w:unhideWhenUsed/>
    <w:rsid w:val="00E61E43"/>
    <w:pPr>
      <w:ind w:left="720"/>
      <w:jc w:val="left"/>
    </w:pPr>
    <w:rPr>
      <w:rFonts w:asciiTheme="minorHAnsi" w:hAnsiTheme="minorHAnsi"/>
      <w:sz w:val="20"/>
      <w:szCs w:val="20"/>
    </w:rPr>
  </w:style>
  <w:style w:type="paragraph" w:styleId="TDC5">
    <w:name w:val="toc 5"/>
    <w:basedOn w:val="Normal"/>
    <w:next w:val="Normal"/>
    <w:autoRedefine/>
    <w:uiPriority w:val="39"/>
    <w:unhideWhenUsed/>
    <w:rsid w:val="00E61E43"/>
    <w:pPr>
      <w:ind w:left="960"/>
      <w:jc w:val="left"/>
    </w:pPr>
    <w:rPr>
      <w:rFonts w:asciiTheme="minorHAnsi" w:hAnsiTheme="minorHAnsi"/>
      <w:sz w:val="20"/>
      <w:szCs w:val="20"/>
    </w:rPr>
  </w:style>
  <w:style w:type="paragraph" w:styleId="TDC6">
    <w:name w:val="toc 6"/>
    <w:basedOn w:val="Normal"/>
    <w:next w:val="Normal"/>
    <w:autoRedefine/>
    <w:uiPriority w:val="39"/>
    <w:unhideWhenUsed/>
    <w:rsid w:val="00E61E43"/>
    <w:pPr>
      <w:ind w:left="1200"/>
      <w:jc w:val="left"/>
    </w:pPr>
    <w:rPr>
      <w:rFonts w:asciiTheme="minorHAnsi" w:hAnsiTheme="minorHAnsi"/>
      <w:sz w:val="20"/>
      <w:szCs w:val="20"/>
    </w:rPr>
  </w:style>
  <w:style w:type="paragraph" w:styleId="TDC7">
    <w:name w:val="toc 7"/>
    <w:basedOn w:val="Normal"/>
    <w:next w:val="Normal"/>
    <w:autoRedefine/>
    <w:uiPriority w:val="39"/>
    <w:unhideWhenUsed/>
    <w:rsid w:val="00E61E43"/>
    <w:pPr>
      <w:ind w:left="1440"/>
      <w:jc w:val="left"/>
    </w:pPr>
    <w:rPr>
      <w:rFonts w:asciiTheme="minorHAnsi" w:hAnsiTheme="minorHAnsi"/>
      <w:sz w:val="20"/>
      <w:szCs w:val="20"/>
    </w:rPr>
  </w:style>
  <w:style w:type="paragraph" w:styleId="TDC8">
    <w:name w:val="toc 8"/>
    <w:basedOn w:val="Normal"/>
    <w:next w:val="Normal"/>
    <w:autoRedefine/>
    <w:uiPriority w:val="39"/>
    <w:unhideWhenUsed/>
    <w:rsid w:val="00E61E43"/>
    <w:pPr>
      <w:ind w:left="1680"/>
      <w:jc w:val="left"/>
    </w:pPr>
    <w:rPr>
      <w:rFonts w:asciiTheme="minorHAnsi" w:hAnsiTheme="minorHAnsi"/>
      <w:sz w:val="20"/>
      <w:szCs w:val="20"/>
    </w:rPr>
  </w:style>
  <w:style w:type="paragraph" w:styleId="TDC9">
    <w:name w:val="toc 9"/>
    <w:basedOn w:val="Normal"/>
    <w:next w:val="Normal"/>
    <w:autoRedefine/>
    <w:uiPriority w:val="39"/>
    <w:unhideWhenUsed/>
    <w:rsid w:val="00E61E43"/>
    <w:pPr>
      <w:ind w:left="1920"/>
      <w:jc w:val="left"/>
    </w:pPr>
    <w:rPr>
      <w:rFonts w:asciiTheme="minorHAnsi" w:hAnsiTheme="minorHAnsi"/>
      <w:sz w:val="20"/>
      <w:szCs w:val="20"/>
    </w:rPr>
  </w:style>
  <w:style w:type="paragraph" w:styleId="Textoindependiente3">
    <w:name w:val="Body Text 3"/>
    <w:basedOn w:val="Normal"/>
    <w:link w:val="Textoindependiente3Car"/>
    <w:rsid w:val="00B10FF8"/>
    <w:pPr>
      <w:jc w:val="center"/>
    </w:pPr>
    <w:rPr>
      <w:rFonts w:ascii="Arial Narrow" w:eastAsia="Times New Roman" w:hAnsi="Arial Narrow" w:cs="Times New Roman"/>
      <w:sz w:val="20"/>
      <w:szCs w:val="20"/>
      <w:lang w:val="es-ES"/>
    </w:rPr>
  </w:style>
  <w:style w:type="character" w:customStyle="1" w:styleId="Textoindependiente3Car">
    <w:name w:val="Texto independiente 3 Car"/>
    <w:basedOn w:val="Fuentedeprrafopredeter"/>
    <w:link w:val="Textoindependiente3"/>
    <w:rsid w:val="00B10FF8"/>
    <w:rPr>
      <w:rFonts w:ascii="Arial Narrow" w:eastAsia="Times New Roman" w:hAnsi="Arial Narrow" w:cs="Times New Roman"/>
      <w:sz w:val="20"/>
      <w:szCs w:val="20"/>
      <w:lang w:val="es-ES"/>
    </w:rPr>
  </w:style>
  <w:style w:type="paragraph" w:styleId="Textonotapie">
    <w:name w:val="footnote text"/>
    <w:basedOn w:val="Normal"/>
    <w:link w:val="TextonotapieCar"/>
    <w:rsid w:val="00B10FF8"/>
    <w:pPr>
      <w:autoSpaceDE w:val="0"/>
      <w:autoSpaceDN w:val="0"/>
      <w:jc w:val="left"/>
    </w:pPr>
    <w:rPr>
      <w:rFonts w:ascii="Times New Roman" w:eastAsia="Times New Roman" w:hAnsi="Times New Roman" w:cs="Times New Roman"/>
      <w:sz w:val="20"/>
      <w:szCs w:val="20"/>
      <w:lang w:val="es-ES"/>
    </w:rPr>
  </w:style>
  <w:style w:type="character" w:customStyle="1" w:styleId="TextonotapieCar">
    <w:name w:val="Texto nota pie Car"/>
    <w:basedOn w:val="Fuentedeprrafopredeter"/>
    <w:link w:val="Textonotapie"/>
    <w:rsid w:val="00B10FF8"/>
    <w:rPr>
      <w:rFonts w:ascii="Times New Roman" w:eastAsia="Times New Roman" w:hAnsi="Times New Roman" w:cs="Times New Roman"/>
      <w:sz w:val="20"/>
      <w:szCs w:val="20"/>
      <w:lang w:val="es-ES"/>
    </w:rPr>
  </w:style>
  <w:style w:type="character" w:styleId="Refdenotaalpie">
    <w:name w:val="footnote reference"/>
    <w:rsid w:val="00B10FF8"/>
    <w:rPr>
      <w:vertAlign w:val="superscript"/>
    </w:rPr>
  </w:style>
  <w:style w:type="paragraph" w:customStyle="1" w:styleId="Textoindependiente31">
    <w:name w:val="Texto independiente 31"/>
    <w:basedOn w:val="Normal"/>
    <w:rsid w:val="00B10FF8"/>
    <w:pPr>
      <w:jc w:val="center"/>
    </w:pPr>
    <w:rPr>
      <w:rFonts w:ascii="Arial Narrow" w:eastAsia="Times New Roman" w:hAnsi="Arial Narrow" w:cs="Times New Roman"/>
      <w:sz w:val="20"/>
      <w:szCs w:val="20"/>
      <w:lang w:val="es-CO"/>
    </w:rPr>
  </w:style>
  <w:style w:type="character" w:styleId="Textoennegrita">
    <w:name w:val="Strong"/>
    <w:uiPriority w:val="22"/>
    <w:qFormat/>
    <w:rsid w:val="00B10FF8"/>
    <w:rPr>
      <w:b/>
      <w:bCs/>
    </w:rPr>
  </w:style>
  <w:style w:type="paragraph" w:styleId="Bibliografa">
    <w:name w:val="Bibliography"/>
    <w:basedOn w:val="Normal"/>
    <w:next w:val="Normal"/>
    <w:uiPriority w:val="37"/>
    <w:unhideWhenUsed/>
    <w:rsid w:val="00B10FF8"/>
    <w:pPr>
      <w:jc w:val="left"/>
    </w:pPr>
    <w:rPr>
      <w:rFonts w:ascii="Times New Roman" w:eastAsia="Times New Roman" w:hAnsi="Times New Roman" w:cs="Times New Roman"/>
      <w:lang w:val="es-ES"/>
    </w:rPr>
  </w:style>
  <w:style w:type="paragraph" w:styleId="Textonotaalfinal">
    <w:name w:val="endnote text"/>
    <w:basedOn w:val="Normal"/>
    <w:link w:val="TextonotaalfinalCar"/>
    <w:autoRedefine/>
    <w:unhideWhenUsed/>
    <w:rsid w:val="00B10FF8"/>
    <w:pPr>
      <w:spacing w:before="20" w:after="20"/>
    </w:pPr>
    <w:rPr>
      <w:rFonts w:ascii="Cambria" w:eastAsia="MS Mincho" w:hAnsi="Cambria" w:cs="Times New Roman"/>
      <w:sz w:val="20"/>
      <w:szCs w:val="20"/>
      <w:lang w:val="x-none" w:eastAsia="en-US"/>
    </w:rPr>
  </w:style>
  <w:style w:type="character" w:customStyle="1" w:styleId="TextonotaalfinalCar">
    <w:name w:val="Texto nota al final Car"/>
    <w:basedOn w:val="Fuentedeprrafopredeter"/>
    <w:link w:val="Textonotaalfinal"/>
    <w:rsid w:val="00B10FF8"/>
    <w:rPr>
      <w:rFonts w:ascii="Cambria" w:eastAsia="MS Mincho" w:hAnsi="Cambria" w:cs="Times New Roman"/>
      <w:sz w:val="20"/>
      <w:szCs w:val="20"/>
      <w:lang w:val="x-none" w:eastAsia="en-US"/>
    </w:rPr>
  </w:style>
  <w:style w:type="paragraph" w:styleId="HTMLconformatoprevio">
    <w:name w:val="HTML Preformatted"/>
    <w:basedOn w:val="Normal"/>
    <w:link w:val="HTMLconformatoprevioCar"/>
    <w:uiPriority w:val="99"/>
    <w:unhideWhenUsed/>
    <w:rsid w:val="00B10F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Times New Roman"/>
      <w:sz w:val="20"/>
      <w:szCs w:val="20"/>
      <w:lang w:val="x-none" w:eastAsia="x-none"/>
    </w:rPr>
  </w:style>
  <w:style w:type="character" w:customStyle="1" w:styleId="HTMLconformatoprevioCar">
    <w:name w:val="HTML con formato previo Car"/>
    <w:basedOn w:val="Fuentedeprrafopredeter"/>
    <w:link w:val="HTMLconformatoprevio"/>
    <w:uiPriority w:val="99"/>
    <w:rsid w:val="00B10FF8"/>
    <w:rPr>
      <w:rFonts w:ascii="Courier New" w:eastAsia="Times New Roman" w:hAnsi="Courier New" w:cs="Times New Roman"/>
      <w:sz w:val="20"/>
      <w:szCs w:val="20"/>
      <w:lang w:val="x-none" w:eastAsia="x-none"/>
    </w:rPr>
  </w:style>
  <w:style w:type="paragraph" w:customStyle="1" w:styleId="Descripcin1">
    <w:name w:val="Descripción1"/>
    <w:basedOn w:val="Normal"/>
    <w:next w:val="Normal"/>
    <w:uiPriority w:val="35"/>
    <w:unhideWhenUsed/>
    <w:qFormat/>
    <w:rsid w:val="00B10FF8"/>
    <w:pPr>
      <w:spacing w:after="200"/>
      <w:jc w:val="left"/>
    </w:pPr>
    <w:rPr>
      <w:rFonts w:ascii="Times New Roman" w:eastAsia="Times New Roman" w:hAnsi="Times New Roman" w:cs="Times New Roman"/>
      <w:b/>
      <w:bCs/>
      <w:color w:val="5B9BD5"/>
      <w:sz w:val="18"/>
      <w:szCs w:val="18"/>
      <w:lang w:val="es-ES"/>
    </w:rPr>
  </w:style>
  <w:style w:type="table" w:styleId="Tablaconlista3">
    <w:name w:val="Table List 3"/>
    <w:basedOn w:val="Tablanormal"/>
    <w:rsid w:val="00B10FF8"/>
    <w:rPr>
      <w:rFonts w:ascii="Times New Roman" w:eastAsia="Times New Roman" w:hAnsi="Times New Roman" w:cs="Times New Roman"/>
      <w:sz w:val="20"/>
      <w:szCs w:val="20"/>
      <w:lang w:val="es-CO" w:eastAsia="es-C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xl67">
    <w:name w:val="xl67"/>
    <w:basedOn w:val="Normal"/>
    <w:rsid w:val="00B10FF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Arial"/>
      <w:b/>
      <w:bCs/>
      <w:sz w:val="14"/>
      <w:szCs w:val="14"/>
      <w:lang w:val="es-CO" w:eastAsia="es-CO"/>
    </w:rPr>
  </w:style>
  <w:style w:type="paragraph" w:customStyle="1" w:styleId="xl68">
    <w:name w:val="xl68"/>
    <w:basedOn w:val="Normal"/>
    <w:rsid w:val="00B10FF8"/>
    <w:pPr>
      <w:spacing w:before="100" w:beforeAutospacing="1" w:after="100" w:afterAutospacing="1"/>
      <w:jc w:val="center"/>
    </w:pPr>
    <w:rPr>
      <w:rFonts w:eastAsia="Times New Roman" w:cs="Arial"/>
      <w:sz w:val="14"/>
      <w:szCs w:val="14"/>
      <w:lang w:val="es-CO" w:eastAsia="es-CO"/>
    </w:rPr>
  </w:style>
  <w:style w:type="paragraph" w:customStyle="1" w:styleId="xl69">
    <w:name w:val="xl69"/>
    <w:basedOn w:val="Normal"/>
    <w:rsid w:val="00B10FF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Arial"/>
      <w:b/>
      <w:bCs/>
      <w:sz w:val="14"/>
      <w:szCs w:val="14"/>
      <w:lang w:val="es-CO" w:eastAsia="es-CO"/>
    </w:rPr>
  </w:style>
  <w:style w:type="paragraph" w:customStyle="1" w:styleId="xl70">
    <w:name w:val="xl70"/>
    <w:basedOn w:val="Normal"/>
    <w:rsid w:val="00B10FF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Arial"/>
      <w:sz w:val="14"/>
      <w:szCs w:val="14"/>
      <w:lang w:val="es-CO" w:eastAsia="es-CO"/>
    </w:rPr>
  </w:style>
  <w:style w:type="paragraph" w:customStyle="1" w:styleId="xl71">
    <w:name w:val="xl71"/>
    <w:basedOn w:val="Normal"/>
    <w:rsid w:val="00B10FF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Arial"/>
      <w:sz w:val="14"/>
      <w:szCs w:val="14"/>
      <w:lang w:val="es-CO" w:eastAsia="es-CO"/>
    </w:rPr>
  </w:style>
  <w:style w:type="paragraph" w:customStyle="1" w:styleId="xl72">
    <w:name w:val="xl72"/>
    <w:basedOn w:val="Normal"/>
    <w:rsid w:val="00B10FF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Arial"/>
      <w:sz w:val="14"/>
      <w:szCs w:val="14"/>
      <w:lang w:val="es-CO" w:eastAsia="es-CO"/>
    </w:rPr>
  </w:style>
  <w:style w:type="paragraph" w:customStyle="1" w:styleId="xl73">
    <w:name w:val="xl73"/>
    <w:basedOn w:val="Normal"/>
    <w:rsid w:val="00B10FF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Arial"/>
      <w:sz w:val="14"/>
      <w:szCs w:val="14"/>
      <w:lang w:val="es-CO" w:eastAsia="es-CO"/>
    </w:rPr>
  </w:style>
  <w:style w:type="paragraph" w:customStyle="1" w:styleId="xl74">
    <w:name w:val="xl74"/>
    <w:basedOn w:val="Normal"/>
    <w:rsid w:val="00B10FF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cs="Arial"/>
      <w:color w:val="000000"/>
      <w:sz w:val="14"/>
      <w:szCs w:val="14"/>
      <w:lang w:val="es-CO" w:eastAsia="es-CO"/>
    </w:rPr>
  </w:style>
  <w:style w:type="paragraph" w:customStyle="1" w:styleId="xl75">
    <w:name w:val="xl75"/>
    <w:basedOn w:val="Normal"/>
    <w:rsid w:val="00B10FF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Arial"/>
      <w:sz w:val="14"/>
      <w:szCs w:val="14"/>
      <w:lang w:val="es-CO" w:eastAsia="es-CO"/>
    </w:rPr>
  </w:style>
  <w:style w:type="paragraph" w:customStyle="1" w:styleId="xl76">
    <w:name w:val="xl76"/>
    <w:basedOn w:val="Normal"/>
    <w:rsid w:val="00B10FF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Arial"/>
      <w:sz w:val="14"/>
      <w:szCs w:val="14"/>
      <w:lang w:val="es-CO" w:eastAsia="es-CO"/>
    </w:rPr>
  </w:style>
  <w:style w:type="paragraph" w:customStyle="1" w:styleId="xl77">
    <w:name w:val="xl77"/>
    <w:basedOn w:val="Normal"/>
    <w:rsid w:val="00B10FF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Arial"/>
      <w:color w:val="000000"/>
      <w:sz w:val="14"/>
      <w:szCs w:val="14"/>
      <w:lang w:val="es-CO" w:eastAsia="es-CO"/>
    </w:rPr>
  </w:style>
  <w:style w:type="paragraph" w:customStyle="1" w:styleId="xl78">
    <w:name w:val="xl78"/>
    <w:basedOn w:val="Normal"/>
    <w:rsid w:val="00B10FF8"/>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eastAsia="Times New Roman" w:cs="Arial"/>
      <w:b/>
      <w:bCs/>
      <w:sz w:val="14"/>
      <w:szCs w:val="14"/>
      <w:lang w:val="es-CO" w:eastAsia="es-CO"/>
    </w:rPr>
  </w:style>
  <w:style w:type="paragraph" w:customStyle="1" w:styleId="xl79">
    <w:name w:val="xl79"/>
    <w:basedOn w:val="Normal"/>
    <w:rsid w:val="00B10FF8"/>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Arial"/>
      <w:b/>
      <w:bCs/>
      <w:sz w:val="14"/>
      <w:szCs w:val="14"/>
      <w:lang w:val="es-CO" w:eastAsia="es-CO"/>
    </w:rPr>
  </w:style>
  <w:style w:type="paragraph" w:customStyle="1" w:styleId="xl80">
    <w:name w:val="xl80"/>
    <w:basedOn w:val="Normal"/>
    <w:rsid w:val="00B10FF8"/>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Arial"/>
      <w:b/>
      <w:bCs/>
      <w:sz w:val="14"/>
      <w:szCs w:val="14"/>
      <w:lang w:val="es-CO" w:eastAsia="es-CO"/>
    </w:rPr>
  </w:style>
  <w:style w:type="paragraph" w:customStyle="1" w:styleId="xl81">
    <w:name w:val="xl81"/>
    <w:basedOn w:val="Normal"/>
    <w:rsid w:val="00B10FF8"/>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eastAsia="Times New Roman" w:cs="Arial"/>
      <w:b/>
      <w:bCs/>
      <w:sz w:val="14"/>
      <w:szCs w:val="14"/>
      <w:lang w:val="es-CO" w:eastAsia="es-CO"/>
    </w:rPr>
  </w:style>
  <w:style w:type="paragraph" w:customStyle="1" w:styleId="xl82">
    <w:name w:val="xl82"/>
    <w:basedOn w:val="Normal"/>
    <w:rsid w:val="00B10FF8"/>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eastAsia="Times New Roman" w:cs="Arial"/>
      <w:b/>
      <w:bCs/>
      <w:sz w:val="14"/>
      <w:szCs w:val="14"/>
      <w:lang w:val="es-CO" w:eastAsia="es-CO"/>
    </w:rPr>
  </w:style>
  <w:style w:type="paragraph" w:customStyle="1" w:styleId="xl83">
    <w:name w:val="xl83"/>
    <w:basedOn w:val="Normal"/>
    <w:rsid w:val="00B10FF8"/>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eastAsia="Times New Roman" w:cs="Arial"/>
      <w:b/>
      <w:bCs/>
      <w:sz w:val="14"/>
      <w:szCs w:val="14"/>
      <w:lang w:val="es-CO" w:eastAsia="es-CO"/>
    </w:rPr>
  </w:style>
  <w:style w:type="paragraph" w:customStyle="1" w:styleId="xl84">
    <w:name w:val="xl84"/>
    <w:basedOn w:val="Normal"/>
    <w:rsid w:val="00B10FF8"/>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eastAsia="Times New Roman" w:cs="Arial"/>
      <w:sz w:val="14"/>
      <w:szCs w:val="14"/>
      <w:lang w:val="es-CO" w:eastAsia="es-CO"/>
    </w:rPr>
  </w:style>
  <w:style w:type="paragraph" w:customStyle="1" w:styleId="xl85">
    <w:name w:val="xl85"/>
    <w:basedOn w:val="Normal"/>
    <w:rsid w:val="00B10FF8"/>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eastAsia="Times New Roman" w:cs="Arial"/>
      <w:sz w:val="14"/>
      <w:szCs w:val="14"/>
      <w:lang w:val="es-CO" w:eastAsia="es-CO"/>
    </w:rPr>
  </w:style>
  <w:style w:type="paragraph" w:customStyle="1" w:styleId="xl86">
    <w:name w:val="xl86"/>
    <w:basedOn w:val="Normal"/>
    <w:rsid w:val="00B10FF8"/>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eastAsia="Times New Roman" w:cs="Arial"/>
      <w:b/>
      <w:bCs/>
      <w:sz w:val="14"/>
      <w:szCs w:val="14"/>
      <w:lang w:val="es-CO" w:eastAsia="es-CO"/>
    </w:rPr>
  </w:style>
  <w:style w:type="paragraph" w:customStyle="1" w:styleId="xl87">
    <w:name w:val="xl87"/>
    <w:basedOn w:val="Normal"/>
    <w:rsid w:val="00B10FF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eastAsia="Times New Roman" w:cs="Arial"/>
      <w:b/>
      <w:bCs/>
      <w:sz w:val="14"/>
      <w:szCs w:val="14"/>
      <w:lang w:val="es-CO" w:eastAsia="es-CO"/>
    </w:rPr>
  </w:style>
  <w:style w:type="paragraph" w:customStyle="1" w:styleId="xl88">
    <w:name w:val="xl88"/>
    <w:basedOn w:val="Normal"/>
    <w:rsid w:val="00B10FF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eastAsia="Times New Roman" w:cs="Arial"/>
      <w:b/>
      <w:bCs/>
      <w:sz w:val="14"/>
      <w:szCs w:val="14"/>
      <w:lang w:val="es-CO" w:eastAsia="es-CO"/>
    </w:rPr>
  </w:style>
  <w:style w:type="paragraph" w:customStyle="1" w:styleId="xl89">
    <w:name w:val="xl89"/>
    <w:basedOn w:val="Normal"/>
    <w:rsid w:val="00B10FF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eastAsia="Times New Roman" w:cs="Arial"/>
      <w:b/>
      <w:bCs/>
      <w:sz w:val="14"/>
      <w:szCs w:val="14"/>
      <w:lang w:val="es-CO" w:eastAsia="es-CO"/>
    </w:rPr>
  </w:style>
  <w:style w:type="paragraph" w:customStyle="1" w:styleId="xl90">
    <w:name w:val="xl90"/>
    <w:basedOn w:val="Normal"/>
    <w:rsid w:val="00B10FF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eastAsia="Times New Roman" w:cs="Arial"/>
      <w:b/>
      <w:bCs/>
      <w:color w:val="000000"/>
      <w:sz w:val="14"/>
      <w:szCs w:val="14"/>
      <w:lang w:val="es-CO" w:eastAsia="es-CO"/>
    </w:rPr>
  </w:style>
  <w:style w:type="paragraph" w:customStyle="1" w:styleId="xl91">
    <w:name w:val="xl91"/>
    <w:basedOn w:val="Normal"/>
    <w:rsid w:val="00B10FF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eastAsia="Times New Roman" w:cs="Arial"/>
      <w:b/>
      <w:bCs/>
      <w:sz w:val="14"/>
      <w:szCs w:val="14"/>
      <w:lang w:val="es-CO" w:eastAsia="es-CO"/>
    </w:rPr>
  </w:style>
  <w:style w:type="paragraph" w:customStyle="1" w:styleId="xl92">
    <w:name w:val="xl92"/>
    <w:basedOn w:val="Normal"/>
    <w:rsid w:val="00B10FF8"/>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eastAsia="Times New Roman" w:cs="Arial"/>
      <w:b/>
      <w:bCs/>
      <w:sz w:val="14"/>
      <w:szCs w:val="14"/>
      <w:lang w:val="es-CO" w:eastAsia="es-CO"/>
    </w:rPr>
  </w:style>
  <w:style w:type="character" w:styleId="Refdenotaalfinal">
    <w:name w:val="endnote reference"/>
    <w:basedOn w:val="Fuentedeprrafopredeter"/>
    <w:uiPriority w:val="99"/>
    <w:rsid w:val="00B10FF8"/>
    <w:rPr>
      <w:vertAlign w:val="superscript"/>
    </w:rPr>
  </w:style>
  <w:style w:type="paragraph" w:customStyle="1" w:styleId="Normal1">
    <w:name w:val="Normal1"/>
    <w:rsid w:val="0037398A"/>
    <w:rPr>
      <w:rFonts w:ascii="Times New Roman" w:eastAsia="Times New Roman" w:hAnsi="Times New Roman" w:cs="Times New Roman"/>
      <w:color w:val="000000"/>
      <w:lang w:eastAsia="ja-JP"/>
    </w:rPr>
  </w:style>
  <w:style w:type="paragraph" w:customStyle="1" w:styleId="Listamulticolor-nfasis11">
    <w:name w:val="Lista multicolor - Énfasis 11"/>
    <w:basedOn w:val="Normal"/>
    <w:link w:val="Listamulticolor-nfasis1Car"/>
    <w:qFormat/>
    <w:rsid w:val="0037398A"/>
    <w:pPr>
      <w:spacing w:after="200" w:line="276" w:lineRule="auto"/>
      <w:ind w:left="720"/>
      <w:contextualSpacing/>
      <w:jc w:val="left"/>
    </w:pPr>
    <w:rPr>
      <w:rFonts w:ascii="Cambria" w:eastAsia="Cambria" w:hAnsi="Cambria" w:cs="Times New Roman"/>
      <w:sz w:val="20"/>
      <w:szCs w:val="20"/>
    </w:rPr>
  </w:style>
  <w:style w:type="character" w:customStyle="1" w:styleId="Listamulticolor-nfasis1Car">
    <w:name w:val="Lista multicolor - Énfasis 1 Car"/>
    <w:link w:val="Listamulticolor-nfasis11"/>
    <w:rsid w:val="0037398A"/>
    <w:rPr>
      <w:rFonts w:ascii="Cambria" w:eastAsia="Cambria" w:hAnsi="Cambria" w:cs="Times New Roman"/>
      <w:sz w:val="20"/>
      <w:szCs w:val="20"/>
    </w:rPr>
  </w:style>
  <w:style w:type="character" w:customStyle="1" w:styleId="il">
    <w:name w:val="il"/>
    <w:basedOn w:val="Fuentedeprrafopredeter"/>
    <w:rsid w:val="0037398A"/>
  </w:style>
  <w:style w:type="paragraph" w:customStyle="1" w:styleId="Sinespaciado1">
    <w:name w:val="Sin espaciado1"/>
    <w:rsid w:val="0037398A"/>
    <w:rPr>
      <w:rFonts w:ascii="Times New Roman" w:eastAsia="Times New Roman" w:hAnsi="Times New Roman" w:cs="Times New Roman"/>
      <w:lang w:val="es-BO" w:eastAsia="pt-BR"/>
    </w:rPr>
  </w:style>
  <w:style w:type="paragraph" w:styleId="Tabladeilustraciones">
    <w:name w:val="table of figures"/>
    <w:basedOn w:val="Normal"/>
    <w:next w:val="Normal"/>
    <w:uiPriority w:val="99"/>
    <w:unhideWhenUsed/>
    <w:rsid w:val="003739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0171911">
      <w:bodyDiv w:val="1"/>
      <w:marLeft w:val="0"/>
      <w:marRight w:val="0"/>
      <w:marTop w:val="0"/>
      <w:marBottom w:val="0"/>
      <w:divBdr>
        <w:top w:val="none" w:sz="0" w:space="0" w:color="auto"/>
        <w:left w:val="none" w:sz="0" w:space="0" w:color="auto"/>
        <w:bottom w:val="none" w:sz="0" w:space="0" w:color="auto"/>
        <w:right w:val="none" w:sz="0" w:space="0" w:color="auto"/>
      </w:divBdr>
    </w:div>
    <w:div w:id="596443139">
      <w:bodyDiv w:val="1"/>
      <w:marLeft w:val="0"/>
      <w:marRight w:val="0"/>
      <w:marTop w:val="0"/>
      <w:marBottom w:val="0"/>
      <w:divBdr>
        <w:top w:val="none" w:sz="0" w:space="0" w:color="auto"/>
        <w:left w:val="none" w:sz="0" w:space="0" w:color="auto"/>
        <w:bottom w:val="none" w:sz="0" w:space="0" w:color="auto"/>
        <w:right w:val="none" w:sz="0" w:space="0" w:color="auto"/>
      </w:divBdr>
    </w:div>
    <w:div w:id="713425646">
      <w:bodyDiv w:val="1"/>
      <w:marLeft w:val="0"/>
      <w:marRight w:val="0"/>
      <w:marTop w:val="0"/>
      <w:marBottom w:val="0"/>
      <w:divBdr>
        <w:top w:val="none" w:sz="0" w:space="0" w:color="auto"/>
        <w:left w:val="none" w:sz="0" w:space="0" w:color="auto"/>
        <w:bottom w:val="none" w:sz="0" w:space="0" w:color="auto"/>
        <w:right w:val="none" w:sz="0" w:space="0" w:color="auto"/>
      </w:divBdr>
    </w:div>
    <w:div w:id="749161697">
      <w:bodyDiv w:val="1"/>
      <w:marLeft w:val="0"/>
      <w:marRight w:val="0"/>
      <w:marTop w:val="0"/>
      <w:marBottom w:val="0"/>
      <w:divBdr>
        <w:top w:val="none" w:sz="0" w:space="0" w:color="auto"/>
        <w:left w:val="none" w:sz="0" w:space="0" w:color="auto"/>
        <w:bottom w:val="none" w:sz="0" w:space="0" w:color="auto"/>
        <w:right w:val="none" w:sz="0" w:space="0" w:color="auto"/>
      </w:divBdr>
    </w:div>
    <w:div w:id="833299225">
      <w:bodyDiv w:val="1"/>
      <w:marLeft w:val="0"/>
      <w:marRight w:val="0"/>
      <w:marTop w:val="0"/>
      <w:marBottom w:val="0"/>
      <w:divBdr>
        <w:top w:val="none" w:sz="0" w:space="0" w:color="auto"/>
        <w:left w:val="none" w:sz="0" w:space="0" w:color="auto"/>
        <w:bottom w:val="none" w:sz="0" w:space="0" w:color="auto"/>
        <w:right w:val="none" w:sz="0" w:space="0" w:color="auto"/>
      </w:divBdr>
    </w:div>
    <w:div w:id="1537111422">
      <w:bodyDiv w:val="1"/>
      <w:marLeft w:val="0"/>
      <w:marRight w:val="0"/>
      <w:marTop w:val="0"/>
      <w:marBottom w:val="0"/>
      <w:divBdr>
        <w:top w:val="none" w:sz="0" w:space="0" w:color="auto"/>
        <w:left w:val="none" w:sz="0" w:space="0" w:color="auto"/>
        <w:bottom w:val="none" w:sz="0" w:space="0" w:color="auto"/>
        <w:right w:val="none" w:sz="0" w:space="0" w:color="auto"/>
      </w:divBdr>
    </w:div>
    <w:div w:id="1547372268">
      <w:bodyDiv w:val="1"/>
      <w:marLeft w:val="0"/>
      <w:marRight w:val="0"/>
      <w:marTop w:val="0"/>
      <w:marBottom w:val="0"/>
      <w:divBdr>
        <w:top w:val="none" w:sz="0" w:space="0" w:color="auto"/>
        <w:left w:val="none" w:sz="0" w:space="0" w:color="auto"/>
        <w:bottom w:val="none" w:sz="0" w:space="0" w:color="auto"/>
        <w:right w:val="none" w:sz="0" w:space="0" w:color="auto"/>
      </w:divBdr>
    </w:div>
    <w:div w:id="1824394377">
      <w:bodyDiv w:val="1"/>
      <w:marLeft w:val="0"/>
      <w:marRight w:val="0"/>
      <w:marTop w:val="0"/>
      <w:marBottom w:val="0"/>
      <w:divBdr>
        <w:top w:val="none" w:sz="0" w:space="0" w:color="auto"/>
        <w:left w:val="none" w:sz="0" w:space="0" w:color="auto"/>
        <w:bottom w:val="none" w:sz="0" w:space="0" w:color="auto"/>
        <w:right w:val="none" w:sz="0" w:space="0" w:color="auto"/>
      </w:divBdr>
    </w:div>
    <w:div w:id="20353003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vimafv@invima.gov.co"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nvima.gov.co/images/pdf/farmacovigilancia_alertas/reportereacciones/FORAM_WORD_1.doc"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esponsable_x0020_de_x0020_la_x0020_plantilla xmlns="a808d69a-b34c-4241-a25e-ce23d8072874">Comunicación Institucional</Responsable_x0020_de_x0020_la_x0020_plantilla>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763DA6E74A02CA46A787CE42B411E569" ma:contentTypeVersion="1" ma:contentTypeDescription="Crear nuevo documento." ma:contentTypeScope="" ma:versionID="377d925d5cd6eb5f39d6849b4b95b766">
  <xsd:schema xmlns:xsd="http://www.w3.org/2001/XMLSchema" xmlns:xs="http://www.w3.org/2001/XMLSchema" xmlns:p="http://schemas.microsoft.com/office/2006/metadata/properties" xmlns:ns2="a808d69a-b34c-4241-a25e-ce23d8072874" targetNamespace="http://schemas.microsoft.com/office/2006/metadata/properties" ma:root="true" ma:fieldsID="1a469e0aa254ad6016038d822bcabbf3" ns2:_="">
    <xsd:import namespace="a808d69a-b34c-4241-a25e-ce23d8072874"/>
    <xsd:element name="properties">
      <xsd:complexType>
        <xsd:sequence>
          <xsd:element name="documentManagement">
            <xsd:complexType>
              <xsd:all>
                <xsd:element ref="ns2:Responsable_x0020_de_x0020_la_x0020_plantill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08d69a-b34c-4241-a25e-ce23d8072874" elementFormDefault="qualified">
    <xsd:import namespace="http://schemas.microsoft.com/office/2006/documentManagement/types"/>
    <xsd:import namespace="http://schemas.microsoft.com/office/infopath/2007/PartnerControls"/>
    <xsd:element name="Responsable_x0020_de_x0020_la_x0020_plantilla" ma:index="8" nillable="true" ma:displayName="Responsable de la plantilla" ma:internalName="Responsable_x0020_de_x0020_la_x0020_plantilla">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25EEC9-6780-4CEB-AB3F-E50305675A03}">
  <ds:schemaRefs>
    <ds:schemaRef ds:uri="http://schemas.microsoft.com/sharepoint/v3/contenttype/forms"/>
  </ds:schemaRefs>
</ds:datastoreItem>
</file>

<file path=customXml/itemProps2.xml><?xml version="1.0" encoding="utf-8"?>
<ds:datastoreItem xmlns:ds="http://schemas.openxmlformats.org/officeDocument/2006/customXml" ds:itemID="{B7FA72D4-BFBF-472B-9F4A-AC538D5D533C}">
  <ds:schemaRefs>
    <ds:schemaRef ds:uri="http://schemas.microsoft.com/office/2006/metadata/properties"/>
    <ds:schemaRef ds:uri="http://schemas.microsoft.com/office/infopath/2007/PartnerControls"/>
    <ds:schemaRef ds:uri="a808d69a-b34c-4241-a25e-ce23d8072874"/>
  </ds:schemaRefs>
</ds:datastoreItem>
</file>

<file path=customXml/itemProps3.xml><?xml version="1.0" encoding="utf-8"?>
<ds:datastoreItem xmlns:ds="http://schemas.openxmlformats.org/officeDocument/2006/customXml" ds:itemID="{8770ADEC-DDAF-4C1A-9CD2-B276AA3F8CA9}">
  <ds:schemaRefs>
    <ds:schemaRef ds:uri="http://schemas.openxmlformats.org/officeDocument/2006/bibliography"/>
  </ds:schemaRefs>
</ds:datastoreItem>
</file>

<file path=customXml/itemProps4.xml><?xml version="1.0" encoding="utf-8"?>
<ds:datastoreItem xmlns:ds="http://schemas.openxmlformats.org/officeDocument/2006/customXml" ds:itemID="{0A630447-365F-4C72-8DB2-F903F8D6F4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08d69a-b34c-4241-a25e-ce23d80728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330</TotalTime>
  <Pages>58</Pages>
  <Words>41845</Words>
  <Characters>230148</Characters>
  <Application>Microsoft Office Word</Application>
  <DocSecurity>0</DocSecurity>
  <Lines>1917</Lines>
  <Paragraphs>542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271451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viviana agudelo</dc:creator>
  <cp:lastModifiedBy>Giomar Sichaca</cp:lastModifiedBy>
  <cp:revision>21</cp:revision>
  <cp:lastPrinted>2017-12-07T03:41:00Z</cp:lastPrinted>
  <dcterms:created xsi:type="dcterms:W3CDTF">2018-08-21T16:45:00Z</dcterms:created>
  <dcterms:modified xsi:type="dcterms:W3CDTF">2021-03-01T02:00:00Z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0x010100763DA6E74A02CA46A787CE42B411E569</vt:lpwstr>
  </property>
</Properties>
</file>