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BD56" w14:textId="45E378ED" w:rsidR="00012CFF" w:rsidRDefault="00012CFF" w:rsidP="005326B5">
      <w:pPr>
        <w:rPr>
          <w:rFonts w:ascii="Arial" w:hAnsi="Arial" w:cs="Arial"/>
          <w:b/>
          <w:bCs/>
        </w:rPr>
      </w:pPr>
      <w:bookmarkStart w:id="0" w:name="_Toc88734517"/>
      <w:r w:rsidRPr="000E17E2">
        <w:rPr>
          <w:rFonts w:ascii="Arial" w:hAnsi="Arial" w:cs="Arial"/>
          <w:b/>
          <w:bCs/>
        </w:rPr>
        <w:t>Referencias</w:t>
      </w:r>
      <w:bookmarkEnd w:id="0"/>
      <w:r w:rsidR="005326B5">
        <w:rPr>
          <w:rFonts w:ascii="Arial" w:hAnsi="Arial" w:cs="Arial"/>
          <w:b/>
          <w:bCs/>
        </w:rPr>
        <w:t xml:space="preserve"> </w:t>
      </w:r>
    </w:p>
    <w:p w14:paraId="5CAB3EAF" w14:textId="77777777" w:rsidR="005326B5" w:rsidRDefault="005326B5" w:rsidP="005326B5">
      <w:pPr>
        <w:rPr>
          <w:rFonts w:ascii="Arial" w:hAnsi="Arial" w:cs="Arial"/>
        </w:rPr>
      </w:pPr>
    </w:p>
    <w:p w14:paraId="57F89C44" w14:textId="770EEE03" w:rsidR="005326B5" w:rsidRPr="005326B5" w:rsidRDefault="00DA3A59" w:rsidP="005326B5">
      <w:pPr>
        <w:rPr>
          <w:rFonts w:ascii="Arial" w:hAnsi="Arial" w:cs="Arial"/>
          <w:sz w:val="24"/>
          <w:szCs w:val="24"/>
        </w:rPr>
      </w:pPr>
      <w:r w:rsidRPr="005326B5">
        <w:rPr>
          <w:rFonts w:ascii="Arial" w:hAnsi="Arial" w:cs="Arial"/>
          <w:sz w:val="24"/>
          <w:szCs w:val="24"/>
        </w:rPr>
        <w:t xml:space="preserve"> </w:t>
      </w:r>
      <w:r>
        <w:rPr>
          <w:rFonts w:ascii="Arial" w:hAnsi="Arial" w:cs="Arial"/>
          <w:sz w:val="24"/>
          <w:szCs w:val="24"/>
        </w:rPr>
        <w:t xml:space="preserve">Unidad </w:t>
      </w:r>
      <w:r w:rsidR="005326B5" w:rsidRPr="005326B5">
        <w:rPr>
          <w:rFonts w:ascii="Arial" w:hAnsi="Arial" w:cs="Arial"/>
          <w:sz w:val="24"/>
          <w:szCs w:val="24"/>
        </w:rPr>
        <w:t>1</w:t>
      </w:r>
    </w:p>
    <w:p w14:paraId="156F426B" w14:textId="77777777" w:rsidR="00012CFF" w:rsidRPr="000E17E2" w:rsidRDefault="00012CFF" w:rsidP="00012CFF">
      <w:pPr>
        <w:spacing w:line="240" w:lineRule="auto"/>
        <w:rPr>
          <w:rFonts w:ascii="Arial" w:hAnsi="Arial" w:cs="Arial"/>
        </w:rPr>
      </w:pPr>
    </w:p>
    <w:p w14:paraId="6853C2DC" w14:textId="77777777" w:rsidR="00012CFF" w:rsidRPr="000E17E2" w:rsidRDefault="00012CFF" w:rsidP="00012CFF">
      <w:pPr>
        <w:pStyle w:val="Prrafodelista"/>
        <w:numPr>
          <w:ilvl w:val="0"/>
          <w:numId w:val="1"/>
        </w:numPr>
        <w:spacing w:line="240" w:lineRule="auto"/>
        <w:ind w:left="426"/>
        <w:jc w:val="both"/>
        <w:rPr>
          <w:rFonts w:ascii="Arial" w:hAnsi="Arial" w:cs="Arial"/>
          <w:sz w:val="24"/>
          <w:szCs w:val="24"/>
        </w:rPr>
      </w:pPr>
      <w:bookmarkStart w:id="1" w:name="_Hlk88472244"/>
      <w:r w:rsidRPr="000E17E2">
        <w:rPr>
          <w:rStyle w:val="markedcontent"/>
          <w:rFonts w:ascii="Arial" w:eastAsia="SimSun" w:hAnsi="Arial" w:cs="Arial"/>
          <w:sz w:val="24"/>
          <w:szCs w:val="24"/>
        </w:rPr>
        <w:t>P</w:t>
      </w:r>
      <w:r>
        <w:rPr>
          <w:rStyle w:val="markedcontent"/>
          <w:rFonts w:ascii="Arial" w:eastAsia="SimSun" w:hAnsi="Arial" w:cs="Arial"/>
          <w:sz w:val="24"/>
          <w:szCs w:val="24"/>
        </w:rPr>
        <w:t xml:space="preserve">rograma de las </w:t>
      </w:r>
      <w:r w:rsidRPr="000E17E2">
        <w:rPr>
          <w:rStyle w:val="markedcontent"/>
          <w:rFonts w:ascii="Arial" w:eastAsia="SimSun" w:hAnsi="Arial" w:cs="Arial"/>
          <w:sz w:val="24"/>
          <w:szCs w:val="24"/>
        </w:rPr>
        <w:t>N</w:t>
      </w:r>
      <w:r>
        <w:rPr>
          <w:rStyle w:val="markedcontent"/>
          <w:rFonts w:ascii="Arial" w:eastAsia="SimSun" w:hAnsi="Arial" w:cs="Arial"/>
          <w:sz w:val="24"/>
          <w:szCs w:val="24"/>
        </w:rPr>
        <w:t xml:space="preserve">aciones </w:t>
      </w:r>
      <w:r w:rsidRPr="000E17E2">
        <w:rPr>
          <w:rStyle w:val="markedcontent"/>
          <w:rFonts w:ascii="Arial" w:eastAsia="SimSun" w:hAnsi="Arial" w:cs="Arial"/>
          <w:sz w:val="24"/>
          <w:szCs w:val="24"/>
        </w:rPr>
        <w:t>U</w:t>
      </w:r>
      <w:r>
        <w:rPr>
          <w:rStyle w:val="markedcontent"/>
          <w:rFonts w:ascii="Arial" w:eastAsia="SimSun" w:hAnsi="Arial" w:cs="Arial"/>
          <w:sz w:val="24"/>
          <w:szCs w:val="24"/>
        </w:rPr>
        <w:t xml:space="preserve">nidas para el </w:t>
      </w:r>
      <w:r w:rsidRPr="000E17E2">
        <w:rPr>
          <w:rStyle w:val="markedcontent"/>
          <w:rFonts w:ascii="Arial" w:eastAsia="SimSun" w:hAnsi="Arial" w:cs="Arial"/>
          <w:sz w:val="24"/>
          <w:szCs w:val="24"/>
        </w:rPr>
        <w:t>M</w:t>
      </w:r>
      <w:r>
        <w:rPr>
          <w:rStyle w:val="markedcontent"/>
          <w:rFonts w:ascii="Arial" w:eastAsia="SimSun" w:hAnsi="Arial" w:cs="Arial"/>
          <w:sz w:val="24"/>
          <w:szCs w:val="24"/>
        </w:rPr>
        <w:t xml:space="preserve">edio </w:t>
      </w:r>
      <w:r w:rsidRPr="000E17E2">
        <w:rPr>
          <w:rStyle w:val="markedcontent"/>
          <w:rFonts w:ascii="Arial" w:eastAsia="SimSun" w:hAnsi="Arial" w:cs="Arial"/>
          <w:sz w:val="24"/>
          <w:szCs w:val="24"/>
        </w:rPr>
        <w:t>A</w:t>
      </w:r>
      <w:r>
        <w:rPr>
          <w:rStyle w:val="markedcontent"/>
          <w:rFonts w:ascii="Arial" w:eastAsia="SimSun" w:hAnsi="Arial" w:cs="Arial"/>
          <w:sz w:val="24"/>
          <w:szCs w:val="24"/>
        </w:rPr>
        <w:t>mbiente</w:t>
      </w:r>
      <w:r w:rsidRPr="000E17E2">
        <w:rPr>
          <w:rStyle w:val="markedcontent"/>
          <w:rFonts w:ascii="Arial" w:eastAsia="SimSun" w:hAnsi="Arial" w:cs="Arial"/>
          <w:sz w:val="24"/>
          <w:szCs w:val="24"/>
        </w:rPr>
        <w:t>. Hacia una gestión racional de las sustancias químicas. Informe de síntesis para los responsables de la toma de decisiones. Programa de las Naciones Unidas para el Medio Ambiente. Informe. Ginebra, Suiza, 2012. Disponible en</w:t>
      </w:r>
      <w:r>
        <w:rPr>
          <w:rStyle w:val="markedcontent"/>
          <w:rFonts w:ascii="Arial" w:eastAsia="SimSun" w:hAnsi="Arial" w:cs="Arial"/>
          <w:sz w:val="24"/>
          <w:szCs w:val="24"/>
        </w:rPr>
        <w:t xml:space="preserve">: </w:t>
      </w:r>
      <w:hyperlink r:id="rId5" w:history="1">
        <w:r w:rsidRPr="0091715E">
          <w:rPr>
            <w:rStyle w:val="Hipervnculo"/>
            <w:rFonts w:ascii="Arial" w:eastAsia="SimSun" w:hAnsi="Arial" w:cs="Arial"/>
            <w:sz w:val="24"/>
            <w:szCs w:val="24"/>
          </w:rPr>
          <w:t>https://wedocs.unep.org/bitstream/handle/20.500.11822/28400/ChemControl_Guid_SP.pdf?sequence=2&amp;isAllowed=y</w:t>
        </w:r>
      </w:hyperlink>
      <w:r>
        <w:rPr>
          <w:rStyle w:val="markedcontent"/>
          <w:rFonts w:ascii="Arial" w:eastAsia="SimSun" w:hAnsi="Arial" w:cs="Arial"/>
          <w:sz w:val="24"/>
          <w:szCs w:val="24"/>
        </w:rPr>
        <w:t xml:space="preserve"> </w:t>
      </w:r>
    </w:p>
    <w:p w14:paraId="70675067" w14:textId="121EF625" w:rsidR="00012CFF" w:rsidRPr="000728DF" w:rsidRDefault="00012CFF" w:rsidP="00012CFF">
      <w:pPr>
        <w:pStyle w:val="Prrafodelista"/>
        <w:numPr>
          <w:ilvl w:val="0"/>
          <w:numId w:val="1"/>
        </w:numPr>
        <w:spacing w:line="240" w:lineRule="auto"/>
        <w:ind w:left="426"/>
        <w:jc w:val="both"/>
        <w:rPr>
          <w:rFonts w:ascii="Arial" w:hAnsi="Arial" w:cs="Arial"/>
          <w:sz w:val="24"/>
          <w:szCs w:val="24"/>
        </w:rPr>
      </w:pPr>
      <w:r w:rsidRPr="000728DF">
        <w:rPr>
          <w:rFonts w:ascii="Arial" w:hAnsi="Arial" w:cs="Arial"/>
          <w:sz w:val="24"/>
          <w:szCs w:val="24"/>
        </w:rPr>
        <w:t>Organización Mundial de la Salud &amp; Programa Internacional sobre Seguridad de las Sustancias Químicas</w:t>
      </w:r>
      <w:r w:rsidRPr="000E17E2">
        <w:rPr>
          <w:rFonts w:ascii="Arial" w:hAnsi="Arial" w:cs="Arial"/>
          <w:sz w:val="24"/>
          <w:szCs w:val="24"/>
        </w:rPr>
        <w:t>.</w:t>
      </w:r>
      <w:r>
        <w:rPr>
          <w:rFonts w:ascii="Arial" w:hAnsi="Arial" w:cs="Arial"/>
          <w:sz w:val="24"/>
          <w:szCs w:val="24"/>
        </w:rPr>
        <w:t xml:space="preserve"> 2017. </w:t>
      </w:r>
      <w:r w:rsidRPr="000728DF">
        <w:rPr>
          <w:rFonts w:ascii="Arial" w:hAnsi="Arial" w:cs="Arial"/>
          <w:color w:val="333333"/>
          <w:sz w:val="24"/>
          <w:szCs w:val="24"/>
          <w:shd w:val="clear" w:color="auto" w:fill="FFFFFF"/>
        </w:rPr>
        <w:t>Herramienta de evaluación de riesgos para la salud humana de la OMS: peligros químicos.</w:t>
      </w:r>
      <w:r>
        <w:rPr>
          <w:rFonts w:ascii="Arial" w:hAnsi="Arial" w:cs="Arial"/>
          <w:color w:val="333333"/>
          <w:sz w:val="24"/>
          <w:szCs w:val="24"/>
          <w:shd w:val="clear" w:color="auto" w:fill="FFFFFF"/>
        </w:rPr>
        <w:t xml:space="preserve"> Disponible en: </w:t>
      </w:r>
      <w:hyperlink r:id="rId6" w:history="1">
        <w:r w:rsidRPr="0091715E">
          <w:rPr>
            <w:rStyle w:val="Hipervnculo"/>
            <w:rFonts w:ascii="Arial" w:eastAsia="SimSun" w:hAnsi="Arial" w:cs="Arial"/>
            <w:sz w:val="24"/>
            <w:szCs w:val="24"/>
          </w:rPr>
          <w:t>https://apps.who.int/iris/handle/10665/2556</w:t>
        </w:r>
        <w:r w:rsidRPr="0091715E">
          <w:rPr>
            <w:rStyle w:val="Hipervnculo"/>
            <w:rFonts w:ascii="Arial" w:hAnsi="Arial" w:cs="Arial"/>
            <w:sz w:val="24"/>
            <w:szCs w:val="24"/>
          </w:rPr>
          <w:t xml:space="preserve"> </w:t>
        </w:r>
        <w:r w:rsidRPr="0091715E">
          <w:rPr>
            <w:rStyle w:val="Hipervnculo"/>
            <w:rFonts w:ascii="Arial" w:eastAsia="SimSun" w:hAnsi="Arial" w:cs="Arial"/>
            <w:sz w:val="24"/>
            <w:szCs w:val="24"/>
          </w:rPr>
          <w:t>Herramienta de evaluación de riesgos para la salud humana de la OMS: peligros químicos. Organización Mundial de la Salud. https://apps.who.int/iris/handle/10665/255613.13</w:t>
        </w:r>
      </w:hyperlink>
      <w:r w:rsidRPr="000728DF">
        <w:rPr>
          <w:rFonts w:ascii="Arial" w:hAnsi="Arial" w:cs="Arial"/>
          <w:color w:val="333333"/>
          <w:sz w:val="24"/>
          <w:szCs w:val="24"/>
          <w:shd w:val="clear" w:color="auto" w:fill="FFFFFF"/>
        </w:rPr>
        <w:t>.</w:t>
      </w:r>
      <w:r w:rsidRPr="000728DF">
        <w:rPr>
          <w:rFonts w:ascii="Arial" w:hAnsi="Arial" w:cs="Arial"/>
          <w:sz w:val="24"/>
          <w:szCs w:val="24"/>
        </w:rPr>
        <w:t xml:space="preserve"> </w:t>
      </w:r>
    </w:p>
    <w:p w14:paraId="4684817E" w14:textId="77777777" w:rsidR="00012CFF" w:rsidRPr="000E17E2" w:rsidRDefault="00012CFF" w:rsidP="00012CFF">
      <w:pPr>
        <w:pStyle w:val="Default"/>
        <w:numPr>
          <w:ilvl w:val="0"/>
          <w:numId w:val="1"/>
        </w:numPr>
        <w:spacing w:line="240" w:lineRule="auto"/>
        <w:ind w:left="426"/>
        <w:jc w:val="both"/>
      </w:pPr>
      <w:r w:rsidRPr="000E17E2">
        <w:t xml:space="preserve">Mendoza C., </w:t>
      </w:r>
      <w:proofErr w:type="spellStart"/>
      <w:r w:rsidRPr="000E17E2">
        <w:t>Ize</w:t>
      </w:r>
      <w:proofErr w:type="spellEnd"/>
      <w:r w:rsidRPr="000E17E2">
        <w:t xml:space="preserve"> L, </w:t>
      </w:r>
      <w:r w:rsidRPr="000E17E2">
        <w:rPr>
          <w:rStyle w:val="markedcontent"/>
          <w:rFonts w:eastAsia="SimSun"/>
        </w:rPr>
        <w:t xml:space="preserve">Las sustancias químicas en México. perspectivas para un manejo adecuado. Rev. </w:t>
      </w:r>
      <w:proofErr w:type="spellStart"/>
      <w:r w:rsidRPr="000E17E2">
        <w:rPr>
          <w:rStyle w:val="markedcontent"/>
          <w:rFonts w:eastAsia="SimSun"/>
        </w:rPr>
        <w:t>Int</w:t>
      </w:r>
      <w:proofErr w:type="spellEnd"/>
      <w:r w:rsidRPr="000E17E2">
        <w:rPr>
          <w:rStyle w:val="markedcontent"/>
          <w:rFonts w:eastAsia="SimSun"/>
        </w:rPr>
        <w:t xml:space="preserve">. </w:t>
      </w:r>
      <w:proofErr w:type="spellStart"/>
      <w:r w:rsidRPr="000E17E2">
        <w:rPr>
          <w:rStyle w:val="markedcontent"/>
          <w:rFonts w:eastAsia="SimSun"/>
        </w:rPr>
        <w:t>Contam</w:t>
      </w:r>
      <w:proofErr w:type="spellEnd"/>
      <w:r w:rsidRPr="000E17E2">
        <w:rPr>
          <w:rStyle w:val="markedcontent"/>
          <w:rFonts w:eastAsia="SimSun"/>
        </w:rPr>
        <w:t xml:space="preserve">. </w:t>
      </w:r>
      <w:proofErr w:type="spellStart"/>
      <w:r w:rsidRPr="000E17E2">
        <w:rPr>
          <w:rStyle w:val="markedcontent"/>
          <w:rFonts w:eastAsia="SimSun"/>
        </w:rPr>
        <w:t>Ambient</w:t>
      </w:r>
      <w:proofErr w:type="spellEnd"/>
      <w:r w:rsidRPr="000E17E2">
        <w:rPr>
          <w:rStyle w:val="markedcontent"/>
          <w:rFonts w:eastAsia="SimSun"/>
        </w:rPr>
        <w:t xml:space="preserve">. 2017. Disponible en </w:t>
      </w:r>
      <w:hyperlink r:id="rId7" w:history="1">
        <w:r w:rsidRPr="000E17E2">
          <w:rPr>
            <w:rStyle w:val="Hipervnculo"/>
          </w:rPr>
          <w:t>https://doi.org/10.20937/rica.2017.33.04.15</w:t>
        </w:r>
      </w:hyperlink>
      <w:r w:rsidRPr="000E17E2">
        <w:t>.</w:t>
      </w:r>
    </w:p>
    <w:p w14:paraId="6468A533" w14:textId="77777777" w:rsidR="00012CFF" w:rsidRPr="000E17E2" w:rsidRDefault="00012CFF" w:rsidP="00012CFF">
      <w:pPr>
        <w:pStyle w:val="Default"/>
        <w:numPr>
          <w:ilvl w:val="0"/>
          <w:numId w:val="1"/>
        </w:numPr>
        <w:spacing w:line="240" w:lineRule="auto"/>
        <w:ind w:left="426"/>
        <w:jc w:val="both"/>
        <w:rPr>
          <w:rStyle w:val="markedcontent"/>
          <w:rFonts w:eastAsia="SimSun"/>
          <w:color w:val="auto"/>
          <w:lang w:eastAsia="es-CO"/>
        </w:rPr>
      </w:pPr>
      <w:r>
        <w:rPr>
          <w:rStyle w:val="markedcontent"/>
          <w:rFonts w:eastAsia="SimSun"/>
          <w:color w:val="auto"/>
          <w:lang w:eastAsia="es-CO"/>
        </w:rPr>
        <w:t xml:space="preserve">Colombia. </w:t>
      </w:r>
      <w:r w:rsidRPr="000E17E2">
        <w:rPr>
          <w:rStyle w:val="markedcontent"/>
          <w:rFonts w:eastAsia="SimSun"/>
          <w:color w:val="auto"/>
          <w:lang w:eastAsia="es-CO"/>
        </w:rPr>
        <w:t xml:space="preserve">Ministerio de la Salud y Protección Social. Plan Decenal de Salud Pública 2012 -2021. </w:t>
      </w:r>
      <w:r>
        <w:rPr>
          <w:rStyle w:val="markedcontent"/>
          <w:rFonts w:eastAsia="SimSun"/>
          <w:color w:val="auto"/>
          <w:lang w:eastAsia="es-CO"/>
        </w:rPr>
        <w:t>A</w:t>
      </w:r>
      <w:r w:rsidRPr="00B933E7">
        <w:rPr>
          <w:rStyle w:val="markedcontent"/>
          <w:rFonts w:eastAsia="SimSun"/>
          <w:color w:val="auto"/>
          <w:lang w:eastAsia="es-CO"/>
        </w:rPr>
        <w:t>bril de 2013</w:t>
      </w:r>
      <w:r>
        <w:rPr>
          <w:rStyle w:val="markedcontent"/>
          <w:rFonts w:eastAsia="SimSun"/>
          <w:color w:val="auto"/>
          <w:lang w:eastAsia="es-CO"/>
        </w:rPr>
        <w:t xml:space="preserve">. Disponible en: </w:t>
      </w:r>
      <w:r w:rsidRPr="00B933E7">
        <w:rPr>
          <w:rStyle w:val="markedcontent"/>
          <w:rFonts w:eastAsia="SimSun"/>
          <w:color w:val="auto"/>
          <w:lang w:eastAsia="es-CO"/>
        </w:rPr>
        <w:t>https://www.minsalud.gov.co/sites/rid/Lists/BibliotecaDigital/RIDE/VS/ED/PSP/PDSP.pdf</w:t>
      </w:r>
    </w:p>
    <w:p w14:paraId="1D967AFC" w14:textId="77777777" w:rsidR="00012CFF" w:rsidRPr="000E17E2" w:rsidRDefault="00012CFF" w:rsidP="00012CFF">
      <w:pPr>
        <w:pStyle w:val="Prrafodelista"/>
        <w:numPr>
          <w:ilvl w:val="0"/>
          <w:numId w:val="1"/>
        </w:numPr>
        <w:autoSpaceDE w:val="0"/>
        <w:autoSpaceDN w:val="0"/>
        <w:spacing w:line="240" w:lineRule="auto"/>
        <w:ind w:left="426"/>
        <w:jc w:val="both"/>
        <w:rPr>
          <w:rStyle w:val="markedcontent"/>
          <w:rFonts w:ascii="Arial" w:eastAsia="SimSun" w:hAnsi="Arial" w:cs="Arial"/>
          <w:sz w:val="24"/>
          <w:szCs w:val="24"/>
        </w:rPr>
      </w:pPr>
      <w:proofErr w:type="spellStart"/>
      <w:r w:rsidRPr="000E17E2">
        <w:rPr>
          <w:rStyle w:val="markedcontent"/>
          <w:rFonts w:ascii="Arial" w:eastAsia="SimSun" w:hAnsi="Arial" w:cs="Arial"/>
          <w:sz w:val="24"/>
          <w:szCs w:val="24"/>
          <w:lang w:val="en-US"/>
        </w:rPr>
        <w:t>Holstege</w:t>
      </w:r>
      <w:proofErr w:type="spellEnd"/>
      <w:r w:rsidRPr="000E17E2">
        <w:rPr>
          <w:rStyle w:val="markedcontent"/>
          <w:rFonts w:ascii="Arial" w:eastAsia="SimSun" w:hAnsi="Arial" w:cs="Arial"/>
          <w:sz w:val="24"/>
          <w:szCs w:val="24"/>
          <w:lang w:val="en-US"/>
        </w:rPr>
        <w:t xml:space="preserve"> CP, Borek HA. Toxidromes. </w:t>
      </w:r>
      <w:r w:rsidRPr="00963B6A">
        <w:rPr>
          <w:rStyle w:val="markedcontent"/>
          <w:rFonts w:ascii="Arial" w:eastAsia="SimSun" w:hAnsi="Arial" w:cs="Arial"/>
          <w:sz w:val="24"/>
          <w:szCs w:val="24"/>
          <w:lang w:val="en-US"/>
        </w:rPr>
        <w:t xml:space="preserve">Critical Care Clinics [Internet]. 2012 Oct 1 [cited 2021 Apr 12];28(4):479–98. </w:t>
      </w:r>
      <w:r w:rsidRPr="000E17E2">
        <w:rPr>
          <w:rStyle w:val="markedcontent"/>
          <w:rFonts w:ascii="Arial" w:eastAsia="SimSun" w:hAnsi="Arial" w:cs="Arial"/>
          <w:sz w:val="24"/>
          <w:szCs w:val="24"/>
        </w:rPr>
        <w:t xml:space="preserve">Disponible en: </w:t>
      </w:r>
      <w:hyperlink r:id="rId8" w:history="1">
        <w:r w:rsidRPr="000E17E2">
          <w:rPr>
            <w:rStyle w:val="markedcontent"/>
            <w:rFonts w:ascii="Arial" w:hAnsi="Arial" w:cs="Arial"/>
            <w:sz w:val="24"/>
            <w:szCs w:val="24"/>
          </w:rPr>
          <w:t>https://linkinghub.elsevier.com/retrieve/pii/S0749070412000607</w:t>
        </w:r>
      </w:hyperlink>
    </w:p>
    <w:p w14:paraId="30F8C6C7" w14:textId="77777777" w:rsidR="00012CFF" w:rsidRPr="000E17E2" w:rsidRDefault="00012CFF" w:rsidP="00012CFF">
      <w:pPr>
        <w:pStyle w:val="Prrafodelista"/>
        <w:autoSpaceDE w:val="0"/>
        <w:autoSpaceDN w:val="0"/>
        <w:spacing w:line="240" w:lineRule="auto"/>
        <w:ind w:left="426"/>
        <w:jc w:val="both"/>
        <w:rPr>
          <w:rStyle w:val="markedcontent"/>
          <w:rFonts w:ascii="Arial" w:eastAsia="SimSun" w:hAnsi="Arial" w:cs="Arial"/>
          <w:sz w:val="24"/>
          <w:szCs w:val="24"/>
        </w:rPr>
      </w:pPr>
    </w:p>
    <w:p w14:paraId="52EE80BB" w14:textId="77777777" w:rsidR="00012CFF" w:rsidRPr="000E17E2" w:rsidRDefault="00012CFF" w:rsidP="00012CFF">
      <w:pPr>
        <w:pStyle w:val="Prrafodelista"/>
        <w:numPr>
          <w:ilvl w:val="0"/>
          <w:numId w:val="1"/>
        </w:numPr>
        <w:autoSpaceDE w:val="0"/>
        <w:autoSpaceDN w:val="0"/>
        <w:spacing w:line="240" w:lineRule="auto"/>
        <w:ind w:left="426"/>
        <w:jc w:val="both"/>
        <w:rPr>
          <w:rStyle w:val="markedcontent"/>
          <w:rFonts w:ascii="Arial" w:eastAsia="SimSun" w:hAnsi="Arial" w:cs="Arial"/>
          <w:sz w:val="24"/>
          <w:szCs w:val="24"/>
        </w:rPr>
      </w:pPr>
      <w:r w:rsidRPr="00963B6A">
        <w:rPr>
          <w:rStyle w:val="markedcontent"/>
          <w:rFonts w:ascii="Arial" w:eastAsia="SimSun" w:hAnsi="Arial" w:cs="Arial"/>
          <w:sz w:val="24"/>
          <w:szCs w:val="24"/>
          <w:lang w:val="en-US"/>
        </w:rPr>
        <w:t xml:space="preserve">Gonzalez N, O’Sullivan F. The poisoned patient. </w:t>
      </w:r>
      <w:proofErr w:type="spellStart"/>
      <w:r w:rsidRPr="00963B6A">
        <w:rPr>
          <w:rStyle w:val="markedcontent"/>
          <w:rFonts w:ascii="Arial" w:eastAsia="SimSun" w:hAnsi="Arial" w:cs="Arial"/>
          <w:sz w:val="24"/>
          <w:szCs w:val="24"/>
          <w:lang w:val="en-US"/>
        </w:rPr>
        <w:t>Anaesthesia</w:t>
      </w:r>
      <w:proofErr w:type="spellEnd"/>
      <w:r w:rsidRPr="00963B6A">
        <w:rPr>
          <w:rStyle w:val="markedcontent"/>
          <w:rFonts w:ascii="Arial" w:eastAsia="SimSun" w:hAnsi="Arial" w:cs="Arial"/>
          <w:sz w:val="24"/>
          <w:szCs w:val="24"/>
          <w:lang w:val="en-US"/>
        </w:rPr>
        <w:t xml:space="preserve"> and Intensive Care Medicine [Internet]. </w:t>
      </w:r>
      <w:r w:rsidRPr="000E17E2">
        <w:rPr>
          <w:rStyle w:val="markedcontent"/>
          <w:rFonts w:ascii="Arial" w:eastAsia="SimSun" w:hAnsi="Arial" w:cs="Arial"/>
          <w:sz w:val="24"/>
          <w:szCs w:val="24"/>
        </w:rPr>
        <w:t xml:space="preserve">2019 </w:t>
      </w:r>
      <w:proofErr w:type="gramStart"/>
      <w:r w:rsidRPr="000E17E2">
        <w:rPr>
          <w:rStyle w:val="markedcontent"/>
          <w:rFonts w:ascii="Arial" w:eastAsia="SimSun" w:hAnsi="Arial" w:cs="Arial"/>
          <w:sz w:val="24"/>
          <w:szCs w:val="24"/>
        </w:rPr>
        <w:t>Nov</w:t>
      </w:r>
      <w:proofErr w:type="gramEnd"/>
      <w:r w:rsidRPr="000E17E2">
        <w:rPr>
          <w:rStyle w:val="markedcontent"/>
          <w:rFonts w:ascii="Arial" w:eastAsia="SimSun" w:hAnsi="Arial" w:cs="Arial"/>
          <w:sz w:val="24"/>
          <w:szCs w:val="24"/>
        </w:rPr>
        <w:t xml:space="preserve"> 1 [citado el 12 abril 2021];20(11): 630–4. Disponible en: </w:t>
      </w:r>
      <w:hyperlink r:id="rId9" w:history="1">
        <w:r w:rsidRPr="000E17E2">
          <w:rPr>
            <w:rStyle w:val="Hipervnculo"/>
            <w:rFonts w:ascii="Arial" w:eastAsia="SimSun" w:hAnsi="Arial" w:cs="Arial"/>
            <w:sz w:val="24"/>
            <w:szCs w:val="24"/>
          </w:rPr>
          <w:t>https://linkinghub.elsevier.com/retrieve/pii/S1472029919302188</w:t>
        </w:r>
      </w:hyperlink>
    </w:p>
    <w:p w14:paraId="22CD67DE" w14:textId="77777777" w:rsidR="00012CFF" w:rsidRPr="000E17E2" w:rsidRDefault="00012CFF" w:rsidP="00012CFF">
      <w:pPr>
        <w:pStyle w:val="Prrafodelista"/>
        <w:spacing w:line="240" w:lineRule="auto"/>
        <w:ind w:left="426"/>
        <w:jc w:val="both"/>
        <w:rPr>
          <w:rStyle w:val="markedcontent"/>
          <w:rFonts w:ascii="Arial" w:eastAsia="SimSun" w:hAnsi="Arial" w:cs="Arial"/>
          <w:sz w:val="24"/>
          <w:szCs w:val="24"/>
        </w:rPr>
      </w:pPr>
    </w:p>
    <w:p w14:paraId="3D1672A3" w14:textId="77777777" w:rsidR="00012CFF" w:rsidRPr="00963B6A" w:rsidRDefault="00012CFF" w:rsidP="00012CFF">
      <w:pPr>
        <w:pStyle w:val="Prrafodelista"/>
        <w:numPr>
          <w:ilvl w:val="0"/>
          <w:numId w:val="1"/>
        </w:numPr>
        <w:autoSpaceDE w:val="0"/>
        <w:autoSpaceDN w:val="0"/>
        <w:spacing w:line="240" w:lineRule="auto"/>
        <w:ind w:left="426"/>
        <w:jc w:val="both"/>
        <w:rPr>
          <w:rStyle w:val="markedcontent"/>
          <w:rFonts w:ascii="Arial" w:eastAsia="SimSun" w:hAnsi="Arial" w:cs="Arial"/>
          <w:sz w:val="24"/>
          <w:szCs w:val="24"/>
          <w:lang w:val="en-US"/>
        </w:rPr>
      </w:pPr>
      <w:r w:rsidRPr="00963B6A">
        <w:rPr>
          <w:rFonts w:ascii="Arial" w:hAnsi="Arial" w:cs="Arial"/>
          <w:sz w:val="24"/>
          <w:szCs w:val="24"/>
          <w:lang w:val="en-US"/>
        </w:rPr>
        <w:t xml:space="preserve">Waring WS. The acute management of poisoning. </w:t>
      </w:r>
      <w:r w:rsidRPr="00B766AA">
        <w:rPr>
          <w:rFonts w:ascii="Arial" w:hAnsi="Arial" w:cs="Arial"/>
          <w:sz w:val="24"/>
          <w:szCs w:val="24"/>
        </w:rPr>
        <w:t xml:space="preserve">Medicine [Internet]. </w:t>
      </w:r>
      <w:r w:rsidRPr="00963B6A">
        <w:rPr>
          <w:rFonts w:ascii="Arial" w:hAnsi="Arial" w:cs="Arial"/>
          <w:sz w:val="24"/>
          <w:szCs w:val="24"/>
        </w:rPr>
        <w:t xml:space="preserve">2021 </w:t>
      </w:r>
      <w:proofErr w:type="gramStart"/>
      <w:r w:rsidRPr="00963B6A">
        <w:rPr>
          <w:rFonts w:ascii="Arial" w:hAnsi="Arial" w:cs="Arial"/>
          <w:sz w:val="24"/>
          <w:szCs w:val="24"/>
        </w:rPr>
        <w:t>Feb</w:t>
      </w:r>
      <w:proofErr w:type="gramEnd"/>
      <w:r w:rsidRPr="00963B6A">
        <w:rPr>
          <w:rFonts w:ascii="Arial" w:hAnsi="Arial" w:cs="Arial"/>
          <w:sz w:val="24"/>
          <w:szCs w:val="24"/>
        </w:rPr>
        <w:t xml:space="preserve"> 1 [citado el 12 abril 2021];49(2):110–5. </w:t>
      </w:r>
      <w:r w:rsidRPr="00963B6A">
        <w:rPr>
          <w:rFonts w:ascii="Arial" w:hAnsi="Arial" w:cs="Arial"/>
          <w:sz w:val="24"/>
          <w:szCs w:val="24"/>
          <w:lang w:val="en-US"/>
        </w:rPr>
        <w:t xml:space="preserve">Disponible </w:t>
      </w:r>
      <w:proofErr w:type="spellStart"/>
      <w:r w:rsidRPr="000E17E2">
        <w:rPr>
          <w:rFonts w:ascii="Arial" w:hAnsi="Arial" w:cs="Arial"/>
          <w:sz w:val="24"/>
          <w:szCs w:val="24"/>
          <w:lang w:val="en-US"/>
        </w:rPr>
        <w:t>en</w:t>
      </w:r>
      <w:proofErr w:type="spellEnd"/>
      <w:r w:rsidRPr="000E17E2">
        <w:rPr>
          <w:rFonts w:ascii="Arial" w:hAnsi="Arial" w:cs="Arial"/>
          <w:sz w:val="24"/>
          <w:szCs w:val="24"/>
          <w:lang w:val="en-US"/>
        </w:rPr>
        <w:t xml:space="preserve">: </w:t>
      </w:r>
      <w:r w:rsidRPr="00963B6A">
        <w:rPr>
          <w:rFonts w:ascii="Arial" w:hAnsi="Arial" w:cs="Arial"/>
          <w:sz w:val="24"/>
          <w:szCs w:val="24"/>
          <w:lang w:val="en-US"/>
        </w:rPr>
        <w:t>https://linkinghub.elsevier.com/retrieve/pii/S1357303920303030</w:t>
      </w:r>
    </w:p>
    <w:p w14:paraId="21389987" w14:textId="77777777" w:rsidR="00012CFF" w:rsidRPr="00963B6A" w:rsidRDefault="00012CFF" w:rsidP="00012CFF">
      <w:pPr>
        <w:pStyle w:val="Prrafodelista"/>
        <w:autoSpaceDE w:val="0"/>
        <w:autoSpaceDN w:val="0"/>
        <w:spacing w:line="240" w:lineRule="auto"/>
        <w:ind w:left="426"/>
        <w:jc w:val="both"/>
        <w:rPr>
          <w:rStyle w:val="markedcontent"/>
          <w:rFonts w:ascii="Arial" w:eastAsia="SimSun" w:hAnsi="Arial" w:cs="Arial"/>
          <w:sz w:val="24"/>
          <w:szCs w:val="24"/>
          <w:lang w:val="en-US"/>
        </w:rPr>
      </w:pPr>
    </w:p>
    <w:p w14:paraId="1366A05F" w14:textId="77777777" w:rsidR="00012CFF" w:rsidRPr="00E46DC0"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694D5F">
        <w:rPr>
          <w:rFonts w:ascii="Arial" w:hAnsi="Arial" w:cs="Arial"/>
          <w:sz w:val="24"/>
          <w:szCs w:val="24"/>
          <w:lang w:val="en-US"/>
        </w:rPr>
        <w:t xml:space="preserve">Dawson AH, Buckley NA, Dawson A, Building G v, Prince R. Pharmacological management of anticholinergic delirium - theory, </w:t>
      </w:r>
      <w:proofErr w:type="gramStart"/>
      <w:r w:rsidRPr="00694D5F">
        <w:rPr>
          <w:rFonts w:ascii="Arial" w:hAnsi="Arial" w:cs="Arial"/>
          <w:sz w:val="24"/>
          <w:szCs w:val="24"/>
          <w:lang w:val="en-US"/>
        </w:rPr>
        <w:t>evidence</w:t>
      </w:r>
      <w:proofErr w:type="gramEnd"/>
      <w:r w:rsidRPr="00694D5F">
        <w:rPr>
          <w:rFonts w:ascii="Arial" w:hAnsi="Arial" w:cs="Arial"/>
          <w:sz w:val="24"/>
          <w:szCs w:val="24"/>
          <w:lang w:val="en-US"/>
        </w:rPr>
        <w:t xml:space="preserve"> and practice. British Journal of Clinical Pharmacology [Internet]. </w:t>
      </w:r>
      <w:r w:rsidRPr="00694D5F">
        <w:rPr>
          <w:rFonts w:ascii="Arial" w:hAnsi="Arial" w:cs="Arial"/>
          <w:sz w:val="24"/>
          <w:szCs w:val="24"/>
        </w:rPr>
        <w:t>2016 Mar 1 [citado 18 noviembre 2021];</w:t>
      </w:r>
      <w:r>
        <w:rPr>
          <w:rFonts w:ascii="Arial" w:hAnsi="Arial" w:cs="Arial"/>
          <w:sz w:val="24"/>
          <w:szCs w:val="24"/>
        </w:rPr>
        <w:t xml:space="preserve"> </w:t>
      </w:r>
      <w:r w:rsidRPr="00694D5F">
        <w:rPr>
          <w:rFonts w:ascii="Arial" w:hAnsi="Arial" w:cs="Arial"/>
          <w:sz w:val="24"/>
          <w:szCs w:val="24"/>
        </w:rPr>
        <w:t>81(3):516–24.</w:t>
      </w:r>
      <w:r>
        <w:rPr>
          <w:rFonts w:ascii="Arial" w:hAnsi="Arial" w:cs="Arial"/>
          <w:sz w:val="24"/>
          <w:szCs w:val="24"/>
        </w:rPr>
        <w:t xml:space="preserve"> Disponible en</w:t>
      </w:r>
      <w:r w:rsidRPr="00694D5F">
        <w:rPr>
          <w:rFonts w:ascii="Arial" w:hAnsi="Arial" w:cs="Arial"/>
          <w:sz w:val="24"/>
          <w:szCs w:val="24"/>
        </w:rPr>
        <w:t>:</w:t>
      </w:r>
      <w:r>
        <w:rPr>
          <w:rFonts w:ascii="Arial" w:hAnsi="Arial" w:cs="Arial"/>
          <w:sz w:val="24"/>
          <w:szCs w:val="24"/>
        </w:rPr>
        <w:t xml:space="preserve"> </w:t>
      </w:r>
      <w:hyperlink r:id="rId10" w:history="1">
        <w:r w:rsidRPr="007A5CC5">
          <w:rPr>
            <w:rStyle w:val="Hipervnculo"/>
            <w:rFonts w:ascii="Arial" w:hAnsi="Arial" w:cs="Arial"/>
            <w:sz w:val="24"/>
            <w:szCs w:val="24"/>
          </w:rPr>
          <w:t>https://onlinelibrary.wiley.com/doi/full/10.1111/bcp.12839</w:t>
        </w:r>
      </w:hyperlink>
    </w:p>
    <w:p w14:paraId="63230532" w14:textId="77777777" w:rsidR="00012CFF" w:rsidRPr="00E46DC0" w:rsidRDefault="00012CFF" w:rsidP="00012CFF">
      <w:pPr>
        <w:pStyle w:val="Prrafodelista"/>
        <w:rPr>
          <w:rFonts w:ascii="Arial" w:eastAsia="SimSun" w:hAnsi="Arial" w:cs="Arial"/>
          <w:sz w:val="24"/>
          <w:szCs w:val="24"/>
        </w:rPr>
      </w:pPr>
    </w:p>
    <w:p w14:paraId="518B4134" w14:textId="77777777" w:rsidR="00012CFF" w:rsidRPr="00963B6A" w:rsidRDefault="00012CFF" w:rsidP="00012CFF">
      <w:pPr>
        <w:pStyle w:val="Prrafodelista"/>
        <w:numPr>
          <w:ilvl w:val="0"/>
          <w:numId w:val="1"/>
        </w:numPr>
        <w:autoSpaceDE w:val="0"/>
        <w:autoSpaceDN w:val="0"/>
        <w:spacing w:line="240" w:lineRule="auto"/>
        <w:ind w:left="426"/>
        <w:jc w:val="both"/>
        <w:rPr>
          <w:rStyle w:val="Hipervnculo"/>
          <w:rFonts w:ascii="Arial" w:eastAsia="SimSun" w:hAnsi="Arial" w:cs="Arial"/>
          <w:sz w:val="24"/>
          <w:szCs w:val="24"/>
        </w:rPr>
      </w:pPr>
      <w:proofErr w:type="spellStart"/>
      <w:r w:rsidRPr="000E17E2">
        <w:rPr>
          <w:rStyle w:val="markedcontent"/>
          <w:rFonts w:ascii="Arial" w:eastAsia="SimSun" w:hAnsi="Arial" w:cs="Arial"/>
          <w:sz w:val="24"/>
          <w:szCs w:val="24"/>
          <w:lang w:val="en-US"/>
        </w:rPr>
        <w:lastRenderedPageBreak/>
        <w:t>Rasimas</w:t>
      </w:r>
      <w:proofErr w:type="spellEnd"/>
      <w:r w:rsidRPr="000E17E2">
        <w:rPr>
          <w:rStyle w:val="markedcontent"/>
          <w:rFonts w:ascii="Arial" w:eastAsia="SimSun" w:hAnsi="Arial" w:cs="Arial"/>
          <w:sz w:val="24"/>
          <w:szCs w:val="24"/>
          <w:lang w:val="en-US"/>
        </w:rPr>
        <w:t xml:space="preserve"> JJ, Sinclair CM. Assessment and Management of Toxidromes in the Critical Care Unit. </w:t>
      </w:r>
      <w:proofErr w:type="spellStart"/>
      <w:r w:rsidRPr="0015506A">
        <w:rPr>
          <w:rStyle w:val="markedcontent"/>
          <w:rFonts w:ascii="Arial" w:eastAsia="SimSun" w:hAnsi="Arial" w:cs="Arial"/>
          <w:sz w:val="24"/>
          <w:szCs w:val="24"/>
        </w:rPr>
        <w:t>Critical</w:t>
      </w:r>
      <w:proofErr w:type="spellEnd"/>
      <w:r w:rsidRPr="0015506A">
        <w:rPr>
          <w:rStyle w:val="markedcontent"/>
          <w:rFonts w:ascii="Arial" w:eastAsia="SimSun" w:hAnsi="Arial" w:cs="Arial"/>
          <w:sz w:val="24"/>
          <w:szCs w:val="24"/>
        </w:rPr>
        <w:t xml:space="preserve"> Care </w:t>
      </w:r>
      <w:proofErr w:type="spellStart"/>
      <w:r w:rsidRPr="0015506A">
        <w:rPr>
          <w:rStyle w:val="markedcontent"/>
          <w:rFonts w:ascii="Arial" w:eastAsia="SimSun" w:hAnsi="Arial" w:cs="Arial"/>
          <w:sz w:val="24"/>
          <w:szCs w:val="24"/>
        </w:rPr>
        <w:t>Clinics</w:t>
      </w:r>
      <w:proofErr w:type="spellEnd"/>
      <w:r w:rsidRPr="0015506A">
        <w:rPr>
          <w:rStyle w:val="markedcontent"/>
          <w:rFonts w:ascii="Arial" w:eastAsia="SimSun" w:hAnsi="Arial" w:cs="Arial"/>
          <w:sz w:val="24"/>
          <w:szCs w:val="24"/>
        </w:rPr>
        <w:t xml:space="preserve"> [Internet]. 2017 </w:t>
      </w:r>
      <w:proofErr w:type="gramStart"/>
      <w:r w:rsidRPr="0015506A">
        <w:rPr>
          <w:rStyle w:val="markedcontent"/>
          <w:rFonts w:ascii="Arial" w:eastAsia="SimSun" w:hAnsi="Arial" w:cs="Arial"/>
          <w:sz w:val="24"/>
          <w:szCs w:val="24"/>
        </w:rPr>
        <w:t>Jul</w:t>
      </w:r>
      <w:proofErr w:type="gramEnd"/>
      <w:r w:rsidRPr="0015506A">
        <w:rPr>
          <w:rStyle w:val="markedcontent"/>
          <w:rFonts w:ascii="Arial" w:eastAsia="SimSun" w:hAnsi="Arial" w:cs="Arial"/>
          <w:sz w:val="24"/>
          <w:szCs w:val="24"/>
        </w:rPr>
        <w:t xml:space="preserve"> 1 [citado el 12 abril 2021];33(3):521–41. </w:t>
      </w:r>
      <w:r w:rsidRPr="000E17E2">
        <w:rPr>
          <w:rStyle w:val="markedcontent"/>
          <w:rFonts w:ascii="Arial" w:eastAsia="SimSun" w:hAnsi="Arial" w:cs="Arial"/>
          <w:sz w:val="24"/>
          <w:szCs w:val="24"/>
        </w:rPr>
        <w:t xml:space="preserve">Disponible en: </w:t>
      </w:r>
      <w:hyperlink r:id="rId11" w:history="1">
        <w:r w:rsidRPr="000E17E2">
          <w:rPr>
            <w:rStyle w:val="Hipervnculo"/>
            <w:rFonts w:ascii="Arial" w:eastAsia="SimSun" w:hAnsi="Arial" w:cs="Arial"/>
            <w:sz w:val="24"/>
            <w:szCs w:val="24"/>
          </w:rPr>
          <w:t>https://linkinghub.elsevier.com/retrieve/pii/S0749070417300143</w:t>
        </w:r>
      </w:hyperlink>
    </w:p>
    <w:p w14:paraId="66515343" w14:textId="77777777" w:rsidR="00012CFF" w:rsidRPr="000E17E2" w:rsidRDefault="00012CFF" w:rsidP="00012CFF">
      <w:pPr>
        <w:pStyle w:val="Prrafodelista"/>
        <w:spacing w:line="240" w:lineRule="auto"/>
        <w:ind w:left="426"/>
        <w:jc w:val="both"/>
        <w:rPr>
          <w:rStyle w:val="markedcontent"/>
          <w:rFonts w:ascii="Arial" w:eastAsia="SimSun" w:hAnsi="Arial" w:cs="Arial"/>
          <w:sz w:val="24"/>
          <w:szCs w:val="24"/>
        </w:rPr>
      </w:pPr>
    </w:p>
    <w:p w14:paraId="58F41658" w14:textId="77777777" w:rsidR="00012CFF" w:rsidRPr="00666027" w:rsidRDefault="00012CFF" w:rsidP="00012CFF">
      <w:pPr>
        <w:pStyle w:val="Prrafodelista"/>
        <w:numPr>
          <w:ilvl w:val="0"/>
          <w:numId w:val="1"/>
        </w:numPr>
        <w:autoSpaceDE w:val="0"/>
        <w:autoSpaceDN w:val="0"/>
        <w:spacing w:line="240" w:lineRule="auto"/>
        <w:ind w:left="426"/>
        <w:jc w:val="both"/>
        <w:rPr>
          <w:rStyle w:val="Hipervnculo"/>
          <w:rFonts w:ascii="Arial" w:hAnsi="Arial" w:cs="Arial"/>
          <w:sz w:val="24"/>
          <w:szCs w:val="24"/>
        </w:rPr>
      </w:pPr>
      <w:bookmarkStart w:id="2" w:name="_Hlk88175747"/>
      <w:r w:rsidRPr="000E17E2">
        <w:rPr>
          <w:rFonts w:ascii="Arial" w:hAnsi="Arial" w:cs="Arial"/>
          <w:sz w:val="24"/>
          <w:szCs w:val="24"/>
        </w:rPr>
        <w:t xml:space="preserve">Gómez Parra J, María del Refugio Gutiérrez Beltrán D, María </w:t>
      </w:r>
      <w:proofErr w:type="spellStart"/>
      <w:r w:rsidRPr="000E17E2">
        <w:rPr>
          <w:rFonts w:ascii="Arial" w:hAnsi="Arial" w:cs="Arial"/>
          <w:sz w:val="24"/>
          <w:szCs w:val="24"/>
        </w:rPr>
        <w:t>Naine</w:t>
      </w:r>
      <w:proofErr w:type="spellEnd"/>
      <w:r w:rsidRPr="000E17E2">
        <w:rPr>
          <w:rFonts w:ascii="Arial" w:hAnsi="Arial" w:cs="Arial"/>
          <w:sz w:val="24"/>
          <w:szCs w:val="24"/>
        </w:rPr>
        <w:t xml:space="preserve"> Santoyo de la Peña E. Síndrome anticolinérgico en anestesia. Revista Mexicana de Anestesiología [Internet]. 2003 [</w:t>
      </w:r>
      <w:r w:rsidRPr="00963B6A">
        <w:rPr>
          <w:rFonts w:ascii="Arial" w:hAnsi="Arial" w:cs="Arial"/>
          <w:sz w:val="24"/>
          <w:szCs w:val="24"/>
        </w:rPr>
        <w:t>citado el 12 abril 2021</w:t>
      </w:r>
      <w:r w:rsidRPr="000E17E2">
        <w:rPr>
          <w:rFonts w:ascii="Arial" w:hAnsi="Arial" w:cs="Arial"/>
          <w:sz w:val="24"/>
          <w:szCs w:val="24"/>
        </w:rPr>
        <w:t xml:space="preserve">];26(4):209–16. Disponible en: </w:t>
      </w:r>
      <w:hyperlink r:id="rId12" w:history="1">
        <w:r w:rsidRPr="000E17E2">
          <w:rPr>
            <w:rStyle w:val="Hipervnculo"/>
            <w:rFonts w:ascii="Arial" w:hAnsi="Arial" w:cs="Arial"/>
            <w:sz w:val="24"/>
            <w:szCs w:val="24"/>
          </w:rPr>
          <w:t>https://www.medigraphic.com/cgi-bin/new/resumen.cgi?IDARTICULO=97139</w:t>
        </w:r>
      </w:hyperlink>
      <w:bookmarkEnd w:id="2"/>
    </w:p>
    <w:p w14:paraId="270A021D" w14:textId="77777777" w:rsidR="00012CFF" w:rsidRPr="00666027" w:rsidRDefault="00012CFF" w:rsidP="00012CFF">
      <w:pPr>
        <w:pStyle w:val="Prrafodelista"/>
        <w:rPr>
          <w:rFonts w:ascii="Arial" w:hAnsi="Arial" w:cs="Arial"/>
          <w:sz w:val="24"/>
          <w:szCs w:val="24"/>
        </w:rPr>
      </w:pPr>
    </w:p>
    <w:p w14:paraId="45FFEBB3" w14:textId="77777777" w:rsidR="00012CFF" w:rsidRPr="0015506A" w:rsidRDefault="00012CFF" w:rsidP="00012CFF">
      <w:pPr>
        <w:pStyle w:val="Prrafodelista"/>
        <w:numPr>
          <w:ilvl w:val="0"/>
          <w:numId w:val="1"/>
        </w:numPr>
        <w:autoSpaceDE w:val="0"/>
        <w:autoSpaceDN w:val="0"/>
        <w:spacing w:line="240" w:lineRule="auto"/>
        <w:ind w:left="426"/>
        <w:jc w:val="both"/>
        <w:rPr>
          <w:rFonts w:ascii="Arial" w:hAnsi="Arial" w:cs="Arial"/>
          <w:sz w:val="24"/>
          <w:szCs w:val="24"/>
          <w:lang w:val="en-US"/>
        </w:rPr>
      </w:pPr>
      <w:proofErr w:type="spellStart"/>
      <w:r w:rsidRPr="00666027">
        <w:rPr>
          <w:rFonts w:ascii="Arial" w:hAnsi="Arial" w:cs="Arial"/>
          <w:sz w:val="24"/>
          <w:szCs w:val="24"/>
          <w:lang w:val="en-US"/>
        </w:rPr>
        <w:t>Alahakoon</w:t>
      </w:r>
      <w:proofErr w:type="spellEnd"/>
      <w:r w:rsidRPr="00666027">
        <w:rPr>
          <w:rFonts w:ascii="Arial" w:hAnsi="Arial" w:cs="Arial"/>
          <w:sz w:val="24"/>
          <w:szCs w:val="24"/>
          <w:lang w:val="en-US"/>
        </w:rPr>
        <w:t xml:space="preserve"> C, Dassanayake TL, </w:t>
      </w:r>
      <w:proofErr w:type="spellStart"/>
      <w:r w:rsidRPr="00666027">
        <w:rPr>
          <w:rFonts w:ascii="Arial" w:hAnsi="Arial" w:cs="Arial"/>
          <w:sz w:val="24"/>
          <w:szCs w:val="24"/>
          <w:lang w:val="en-US"/>
        </w:rPr>
        <w:t>Gawarammana</w:t>
      </w:r>
      <w:proofErr w:type="spellEnd"/>
      <w:r w:rsidRPr="00666027">
        <w:rPr>
          <w:rFonts w:ascii="Arial" w:hAnsi="Arial" w:cs="Arial"/>
          <w:sz w:val="24"/>
          <w:szCs w:val="24"/>
          <w:lang w:val="en-US"/>
        </w:rPr>
        <w:t xml:space="preserve"> IB, Weerasinghe VS. Can we predict intermediate syndrome? A review. Neurotoxicology [Internet]. </w:t>
      </w:r>
      <w:r w:rsidRPr="0015506A">
        <w:rPr>
          <w:rFonts w:ascii="Arial" w:hAnsi="Arial" w:cs="Arial"/>
          <w:sz w:val="24"/>
          <w:szCs w:val="24"/>
          <w:lang w:val="en-US"/>
        </w:rPr>
        <w:t xml:space="preserve">2018 Dec 1 [cited 2021 Nov 21]; 69: 209–16. Disponible </w:t>
      </w:r>
      <w:proofErr w:type="spellStart"/>
      <w:r w:rsidRPr="0015506A">
        <w:rPr>
          <w:rFonts w:ascii="Arial" w:hAnsi="Arial" w:cs="Arial"/>
          <w:sz w:val="24"/>
          <w:szCs w:val="24"/>
          <w:lang w:val="en-US"/>
        </w:rPr>
        <w:t>en</w:t>
      </w:r>
      <w:proofErr w:type="spellEnd"/>
      <w:r w:rsidRPr="0015506A">
        <w:rPr>
          <w:rFonts w:ascii="Arial" w:hAnsi="Arial" w:cs="Arial"/>
          <w:sz w:val="24"/>
          <w:szCs w:val="24"/>
          <w:lang w:val="en-US"/>
        </w:rPr>
        <w:t>:</w:t>
      </w:r>
      <w:r w:rsidRPr="00666027">
        <w:rPr>
          <w:rFonts w:ascii="Arial" w:hAnsi="Arial" w:cs="Arial"/>
          <w:sz w:val="24"/>
          <w:szCs w:val="24"/>
          <w:lang w:val="en-US"/>
        </w:rPr>
        <w:t xml:space="preserve"> </w:t>
      </w:r>
      <w:hyperlink r:id="rId13" w:history="1">
        <w:r w:rsidRPr="0091715E">
          <w:rPr>
            <w:rStyle w:val="Hipervnculo"/>
            <w:rFonts w:ascii="Arial" w:hAnsi="Arial" w:cs="Arial"/>
            <w:sz w:val="24"/>
            <w:szCs w:val="24"/>
            <w:lang w:val="en-US"/>
          </w:rPr>
          <w:t>http://www.ncbi.nlm.nih.gov/pubmed/29217407</w:t>
        </w:r>
      </w:hyperlink>
      <w:r>
        <w:rPr>
          <w:rFonts w:ascii="Arial" w:hAnsi="Arial" w:cs="Arial"/>
          <w:sz w:val="24"/>
          <w:szCs w:val="24"/>
          <w:lang w:val="en-US"/>
        </w:rPr>
        <w:t xml:space="preserve"> </w:t>
      </w:r>
    </w:p>
    <w:p w14:paraId="060211B7" w14:textId="77777777" w:rsidR="00012CFF" w:rsidRPr="0015506A" w:rsidRDefault="00012CFF" w:rsidP="00012CFF">
      <w:pPr>
        <w:pStyle w:val="Prrafodelista"/>
        <w:autoSpaceDE w:val="0"/>
        <w:autoSpaceDN w:val="0"/>
        <w:spacing w:line="240" w:lineRule="auto"/>
        <w:ind w:left="426"/>
        <w:jc w:val="both"/>
        <w:rPr>
          <w:rFonts w:ascii="Arial" w:hAnsi="Arial" w:cs="Arial"/>
          <w:sz w:val="24"/>
          <w:szCs w:val="24"/>
          <w:lang w:val="en-US"/>
        </w:rPr>
      </w:pPr>
    </w:p>
    <w:p w14:paraId="186E4B3C" w14:textId="77777777" w:rsidR="00012CFF" w:rsidRPr="0015506A" w:rsidRDefault="00012CFF" w:rsidP="00012CFF">
      <w:pPr>
        <w:pStyle w:val="Prrafodelista"/>
        <w:numPr>
          <w:ilvl w:val="0"/>
          <w:numId w:val="1"/>
        </w:numPr>
        <w:autoSpaceDE w:val="0"/>
        <w:autoSpaceDN w:val="0"/>
        <w:spacing w:line="240" w:lineRule="auto"/>
        <w:ind w:left="426"/>
        <w:jc w:val="both"/>
        <w:rPr>
          <w:rFonts w:ascii="Arial" w:hAnsi="Arial" w:cs="Arial"/>
          <w:sz w:val="24"/>
          <w:szCs w:val="24"/>
        </w:rPr>
      </w:pPr>
      <w:r w:rsidRPr="00D11A81">
        <w:rPr>
          <w:rFonts w:ascii="Arial" w:hAnsi="Arial" w:cs="Arial"/>
          <w:sz w:val="24"/>
          <w:szCs w:val="24"/>
        </w:rPr>
        <w:t>Universidad de Burgos-FBIS (</w:t>
      </w:r>
      <w:proofErr w:type="spellStart"/>
      <w:r w:rsidRPr="00D11A81">
        <w:rPr>
          <w:rFonts w:ascii="Arial" w:hAnsi="Arial" w:cs="Arial"/>
          <w:sz w:val="24"/>
          <w:szCs w:val="24"/>
        </w:rPr>
        <w:t>Uninet</w:t>
      </w:r>
      <w:proofErr w:type="spellEnd"/>
      <w:r w:rsidRPr="00D11A81">
        <w:rPr>
          <w:rFonts w:ascii="Arial" w:hAnsi="Arial" w:cs="Arial"/>
          <w:sz w:val="24"/>
          <w:szCs w:val="24"/>
        </w:rPr>
        <w:t xml:space="preserve">). Intoxicación por Psicofármacos [Internet]. Principios de Urgencias, Emergencias y Cuidados Críticos. 2005 [citado el 12 abril 2021]. Disponible en: </w:t>
      </w:r>
      <w:hyperlink r:id="rId14" w:history="1">
        <w:r w:rsidRPr="00D11A81">
          <w:rPr>
            <w:rStyle w:val="Hipervnculo"/>
            <w:rFonts w:ascii="Arial" w:hAnsi="Arial" w:cs="Arial"/>
            <w:sz w:val="24"/>
            <w:szCs w:val="24"/>
          </w:rPr>
          <w:t>https://uninet.edu/tratado/c100304.html</w:t>
        </w:r>
      </w:hyperlink>
    </w:p>
    <w:p w14:paraId="5A4907A6" w14:textId="77777777" w:rsidR="00012CFF" w:rsidRPr="00D11A81" w:rsidRDefault="00012CFF" w:rsidP="00012CFF">
      <w:pPr>
        <w:pStyle w:val="Prrafodelista"/>
        <w:rPr>
          <w:rStyle w:val="markedcontent"/>
          <w:rFonts w:ascii="Arial" w:hAnsi="Arial" w:cs="Arial"/>
          <w:sz w:val="24"/>
          <w:szCs w:val="24"/>
        </w:rPr>
      </w:pPr>
    </w:p>
    <w:p w14:paraId="3EB756C1" w14:textId="77777777" w:rsidR="00012CFF" w:rsidRDefault="00012CFF" w:rsidP="00012CFF">
      <w:pPr>
        <w:pStyle w:val="Prrafodelista"/>
        <w:numPr>
          <w:ilvl w:val="0"/>
          <w:numId w:val="1"/>
        </w:numPr>
        <w:autoSpaceDE w:val="0"/>
        <w:autoSpaceDN w:val="0"/>
        <w:spacing w:line="240" w:lineRule="auto"/>
        <w:ind w:left="426"/>
        <w:jc w:val="both"/>
        <w:rPr>
          <w:rStyle w:val="markedcontent"/>
          <w:rFonts w:ascii="Arial" w:hAnsi="Arial" w:cs="Arial"/>
          <w:sz w:val="24"/>
          <w:szCs w:val="24"/>
        </w:rPr>
      </w:pPr>
      <w:r w:rsidRPr="00D11A81">
        <w:rPr>
          <w:rStyle w:val="markedcontent"/>
          <w:rFonts w:ascii="Arial" w:hAnsi="Arial" w:cs="Arial"/>
          <w:sz w:val="24"/>
          <w:szCs w:val="24"/>
        </w:rPr>
        <w:t xml:space="preserve">Tornero C, Herrera J, </w:t>
      </w:r>
      <w:proofErr w:type="spellStart"/>
      <w:r w:rsidRPr="00D11A81">
        <w:rPr>
          <w:rStyle w:val="markedcontent"/>
          <w:rFonts w:ascii="Arial" w:hAnsi="Arial" w:cs="Arial"/>
          <w:sz w:val="24"/>
          <w:szCs w:val="24"/>
        </w:rPr>
        <w:t>Molà</w:t>
      </w:r>
      <w:proofErr w:type="spellEnd"/>
      <w:r w:rsidRPr="00D11A81">
        <w:rPr>
          <w:rStyle w:val="markedcontent"/>
          <w:rFonts w:ascii="Arial" w:hAnsi="Arial" w:cs="Arial"/>
          <w:sz w:val="24"/>
          <w:szCs w:val="24"/>
        </w:rPr>
        <w:t xml:space="preserve"> O, Galván J. Buprenorfina transdérmica (</w:t>
      </w:r>
      <w:proofErr w:type="spellStart"/>
      <w:r w:rsidRPr="00D11A81">
        <w:rPr>
          <w:rStyle w:val="markedcontent"/>
          <w:rFonts w:ascii="Arial" w:hAnsi="Arial" w:cs="Arial"/>
          <w:sz w:val="24"/>
          <w:szCs w:val="24"/>
        </w:rPr>
        <w:t>Feliben</w:t>
      </w:r>
      <w:proofErr w:type="spellEnd"/>
      <w:r w:rsidRPr="00D11A81">
        <w:rPr>
          <w:rStyle w:val="markedcontent"/>
          <w:rFonts w:ascii="Arial" w:hAnsi="Arial" w:cs="Arial"/>
          <w:sz w:val="24"/>
          <w:szCs w:val="24"/>
        </w:rPr>
        <w:t>®): Nueva opción terapéutica para pacientes con dolor moderado y severo. Revista de la Sociedad Española del Dolor [Internet]. 2012 [cit</w:t>
      </w:r>
      <w:r>
        <w:rPr>
          <w:rStyle w:val="markedcontent"/>
          <w:rFonts w:ascii="Arial" w:hAnsi="Arial" w:cs="Arial"/>
          <w:sz w:val="24"/>
          <w:szCs w:val="24"/>
        </w:rPr>
        <w:t xml:space="preserve">ado 21 noviembre </w:t>
      </w:r>
      <w:r w:rsidRPr="00D11A81">
        <w:rPr>
          <w:rStyle w:val="markedcontent"/>
          <w:rFonts w:ascii="Arial" w:hAnsi="Arial" w:cs="Arial"/>
          <w:sz w:val="24"/>
          <w:szCs w:val="24"/>
        </w:rPr>
        <w:t>2021];</w:t>
      </w:r>
      <w:r>
        <w:rPr>
          <w:rStyle w:val="markedcontent"/>
          <w:rFonts w:ascii="Arial" w:hAnsi="Arial" w:cs="Arial"/>
          <w:sz w:val="24"/>
          <w:szCs w:val="24"/>
        </w:rPr>
        <w:t xml:space="preserve"> </w:t>
      </w:r>
      <w:r w:rsidRPr="00D11A81">
        <w:rPr>
          <w:rStyle w:val="markedcontent"/>
          <w:rFonts w:ascii="Arial" w:hAnsi="Arial" w:cs="Arial"/>
          <w:sz w:val="24"/>
          <w:szCs w:val="24"/>
        </w:rPr>
        <w:t>19</w:t>
      </w:r>
      <w:r>
        <w:rPr>
          <w:rStyle w:val="markedcontent"/>
          <w:rFonts w:ascii="Arial" w:hAnsi="Arial" w:cs="Arial"/>
          <w:sz w:val="24"/>
          <w:szCs w:val="24"/>
        </w:rPr>
        <w:t xml:space="preserve"> </w:t>
      </w:r>
      <w:r w:rsidRPr="00D11A81">
        <w:rPr>
          <w:rStyle w:val="markedcontent"/>
          <w:rFonts w:ascii="Arial" w:hAnsi="Arial" w:cs="Arial"/>
          <w:sz w:val="24"/>
          <w:szCs w:val="24"/>
        </w:rPr>
        <w:t>(6):</w:t>
      </w:r>
      <w:r>
        <w:rPr>
          <w:rStyle w:val="markedcontent"/>
          <w:rFonts w:ascii="Arial" w:hAnsi="Arial" w:cs="Arial"/>
          <w:sz w:val="24"/>
          <w:szCs w:val="24"/>
        </w:rPr>
        <w:t xml:space="preserve"> </w:t>
      </w:r>
      <w:r w:rsidRPr="00D11A81">
        <w:rPr>
          <w:rStyle w:val="markedcontent"/>
          <w:rFonts w:ascii="Arial" w:hAnsi="Arial" w:cs="Arial"/>
          <w:sz w:val="24"/>
          <w:szCs w:val="24"/>
        </w:rPr>
        <w:t>301–9. Disponible en</w:t>
      </w:r>
      <w:r>
        <w:rPr>
          <w:rStyle w:val="markedcontent"/>
          <w:rFonts w:ascii="Arial" w:hAnsi="Arial" w:cs="Arial"/>
          <w:sz w:val="24"/>
          <w:szCs w:val="24"/>
        </w:rPr>
        <w:t xml:space="preserve">: </w:t>
      </w:r>
      <w:hyperlink r:id="rId15" w:history="1">
        <w:r w:rsidRPr="0091715E">
          <w:rPr>
            <w:rStyle w:val="Hipervnculo"/>
            <w:rFonts w:ascii="Arial" w:hAnsi="Arial" w:cs="Arial"/>
            <w:sz w:val="24"/>
            <w:szCs w:val="24"/>
          </w:rPr>
          <w:t>https://scielo.isciii.es/scielo.php?script=sci_arttext&amp;pid=S1134-80462012000600004&amp;lng=es&amp;nrm=iso&amp;tlng=es</w:t>
        </w:r>
      </w:hyperlink>
      <w:r>
        <w:rPr>
          <w:rStyle w:val="markedcontent"/>
          <w:rFonts w:ascii="Arial" w:hAnsi="Arial" w:cs="Arial"/>
          <w:sz w:val="24"/>
          <w:szCs w:val="24"/>
        </w:rPr>
        <w:t xml:space="preserve"> </w:t>
      </w:r>
    </w:p>
    <w:p w14:paraId="1A87EFB9" w14:textId="77777777" w:rsidR="00012CFF" w:rsidRPr="00ED1961" w:rsidRDefault="00012CFF" w:rsidP="00012CFF">
      <w:pPr>
        <w:pStyle w:val="Prrafodelista"/>
        <w:rPr>
          <w:rFonts w:ascii="Arial" w:hAnsi="Arial" w:cs="Arial"/>
          <w:sz w:val="24"/>
          <w:szCs w:val="24"/>
        </w:rPr>
      </w:pPr>
    </w:p>
    <w:p w14:paraId="6C045C3A" w14:textId="77777777" w:rsidR="00012CFF" w:rsidRDefault="00012CFF" w:rsidP="00012CFF">
      <w:pPr>
        <w:pStyle w:val="Prrafodelista"/>
        <w:numPr>
          <w:ilvl w:val="0"/>
          <w:numId w:val="1"/>
        </w:numPr>
        <w:autoSpaceDE w:val="0"/>
        <w:autoSpaceDN w:val="0"/>
        <w:spacing w:line="240" w:lineRule="auto"/>
        <w:ind w:left="426"/>
        <w:jc w:val="both"/>
        <w:rPr>
          <w:rFonts w:ascii="Arial" w:hAnsi="Arial" w:cs="Arial"/>
          <w:sz w:val="24"/>
          <w:szCs w:val="24"/>
        </w:rPr>
      </w:pPr>
      <w:proofErr w:type="spellStart"/>
      <w:r w:rsidRPr="00ED1961">
        <w:rPr>
          <w:rFonts w:ascii="Arial" w:hAnsi="Arial" w:cs="Arial"/>
          <w:sz w:val="24"/>
          <w:szCs w:val="24"/>
          <w:lang w:val="en-US"/>
        </w:rPr>
        <w:t>Tranchant</w:t>
      </w:r>
      <w:proofErr w:type="spellEnd"/>
      <w:r w:rsidRPr="00ED1961">
        <w:rPr>
          <w:rFonts w:ascii="Arial" w:hAnsi="Arial" w:cs="Arial"/>
          <w:sz w:val="24"/>
          <w:szCs w:val="24"/>
          <w:lang w:val="en-US"/>
        </w:rPr>
        <w:t xml:space="preserve"> C, </w:t>
      </w:r>
      <w:proofErr w:type="spellStart"/>
      <w:r w:rsidRPr="00ED1961">
        <w:rPr>
          <w:rFonts w:ascii="Arial" w:hAnsi="Arial" w:cs="Arial"/>
          <w:sz w:val="24"/>
          <w:szCs w:val="24"/>
          <w:lang w:val="en-US"/>
        </w:rPr>
        <w:t>Koob</w:t>
      </w:r>
      <w:proofErr w:type="spellEnd"/>
      <w:r w:rsidRPr="00ED1961">
        <w:rPr>
          <w:rFonts w:ascii="Arial" w:hAnsi="Arial" w:cs="Arial"/>
          <w:sz w:val="24"/>
          <w:szCs w:val="24"/>
          <w:lang w:val="en-US"/>
        </w:rPr>
        <w:t xml:space="preserve"> M, </w:t>
      </w:r>
      <w:proofErr w:type="spellStart"/>
      <w:r w:rsidRPr="00ED1961">
        <w:rPr>
          <w:rFonts w:ascii="Arial" w:hAnsi="Arial" w:cs="Arial"/>
          <w:sz w:val="24"/>
          <w:szCs w:val="24"/>
          <w:lang w:val="en-US"/>
        </w:rPr>
        <w:t>Anheim</w:t>
      </w:r>
      <w:proofErr w:type="spellEnd"/>
      <w:r w:rsidRPr="00ED1961">
        <w:rPr>
          <w:rFonts w:ascii="Arial" w:hAnsi="Arial" w:cs="Arial"/>
          <w:sz w:val="24"/>
          <w:szCs w:val="24"/>
          <w:lang w:val="en-US"/>
        </w:rPr>
        <w:t xml:space="preserve"> M. Parkinsonian-Pyramidal syndromes: A systematic review. </w:t>
      </w:r>
      <w:proofErr w:type="spellStart"/>
      <w:r w:rsidRPr="0015506A">
        <w:rPr>
          <w:rFonts w:ascii="Arial" w:hAnsi="Arial" w:cs="Arial"/>
          <w:sz w:val="24"/>
          <w:szCs w:val="24"/>
        </w:rPr>
        <w:t>Parkinsonism</w:t>
      </w:r>
      <w:proofErr w:type="spellEnd"/>
      <w:r w:rsidRPr="0015506A">
        <w:rPr>
          <w:rFonts w:ascii="Arial" w:hAnsi="Arial" w:cs="Arial"/>
          <w:sz w:val="24"/>
          <w:szCs w:val="24"/>
        </w:rPr>
        <w:t xml:space="preserve"> &amp; </w:t>
      </w:r>
      <w:proofErr w:type="spellStart"/>
      <w:r w:rsidRPr="0015506A">
        <w:rPr>
          <w:rFonts w:ascii="Arial" w:hAnsi="Arial" w:cs="Arial"/>
          <w:sz w:val="24"/>
          <w:szCs w:val="24"/>
        </w:rPr>
        <w:t>Related</w:t>
      </w:r>
      <w:proofErr w:type="spellEnd"/>
      <w:r w:rsidRPr="0015506A">
        <w:rPr>
          <w:rFonts w:ascii="Arial" w:hAnsi="Arial" w:cs="Arial"/>
          <w:sz w:val="24"/>
          <w:szCs w:val="24"/>
        </w:rPr>
        <w:t xml:space="preserve"> </w:t>
      </w:r>
      <w:proofErr w:type="spellStart"/>
      <w:r w:rsidRPr="0015506A">
        <w:rPr>
          <w:rFonts w:ascii="Arial" w:hAnsi="Arial" w:cs="Arial"/>
          <w:sz w:val="24"/>
          <w:szCs w:val="24"/>
        </w:rPr>
        <w:t>Disorders</w:t>
      </w:r>
      <w:proofErr w:type="spellEnd"/>
      <w:r w:rsidRPr="0015506A">
        <w:rPr>
          <w:rFonts w:ascii="Arial" w:hAnsi="Arial" w:cs="Arial"/>
          <w:sz w:val="24"/>
          <w:szCs w:val="24"/>
        </w:rPr>
        <w:t xml:space="preserve"> [Internet]. </w:t>
      </w:r>
      <w:r w:rsidRPr="00ED1961">
        <w:rPr>
          <w:rFonts w:ascii="Arial" w:hAnsi="Arial" w:cs="Arial"/>
          <w:sz w:val="24"/>
          <w:szCs w:val="24"/>
        </w:rPr>
        <w:t>2017 Jun 1 [citado 22 noviembre 2021</w:t>
      </w:r>
      <w:proofErr w:type="gramStart"/>
      <w:r w:rsidRPr="00ED1961">
        <w:rPr>
          <w:rFonts w:ascii="Arial" w:hAnsi="Arial" w:cs="Arial"/>
          <w:sz w:val="24"/>
          <w:szCs w:val="24"/>
        </w:rPr>
        <w:t>];39:4</w:t>
      </w:r>
      <w:proofErr w:type="gramEnd"/>
      <w:r w:rsidRPr="00ED1961">
        <w:rPr>
          <w:rFonts w:ascii="Arial" w:hAnsi="Arial" w:cs="Arial"/>
          <w:sz w:val="24"/>
          <w:szCs w:val="24"/>
        </w:rPr>
        <w:t xml:space="preserve">–16. </w:t>
      </w:r>
      <w:r>
        <w:rPr>
          <w:rFonts w:ascii="Arial" w:hAnsi="Arial" w:cs="Arial"/>
          <w:sz w:val="24"/>
          <w:szCs w:val="24"/>
        </w:rPr>
        <w:t>Disponible en</w:t>
      </w:r>
      <w:r w:rsidRPr="00ED1961">
        <w:rPr>
          <w:rFonts w:ascii="Arial" w:hAnsi="Arial" w:cs="Arial"/>
          <w:sz w:val="24"/>
          <w:szCs w:val="24"/>
        </w:rPr>
        <w:t xml:space="preserve">: </w:t>
      </w:r>
      <w:hyperlink r:id="rId16" w:history="1">
        <w:r w:rsidRPr="0091715E">
          <w:rPr>
            <w:rStyle w:val="Hipervnculo"/>
            <w:rFonts w:ascii="Arial" w:hAnsi="Arial" w:cs="Arial"/>
            <w:sz w:val="24"/>
            <w:szCs w:val="24"/>
          </w:rPr>
          <w:t>https://linkinghub.elsevier.com/retrieve/pii/S1353802017300755</w:t>
        </w:r>
      </w:hyperlink>
      <w:r>
        <w:rPr>
          <w:rFonts w:ascii="Arial" w:hAnsi="Arial" w:cs="Arial"/>
          <w:sz w:val="24"/>
          <w:szCs w:val="24"/>
        </w:rPr>
        <w:t xml:space="preserve"> </w:t>
      </w:r>
    </w:p>
    <w:p w14:paraId="7E531CF8" w14:textId="77777777" w:rsidR="00012CFF" w:rsidRPr="00ED1961" w:rsidRDefault="00012CFF" w:rsidP="00012CFF">
      <w:pPr>
        <w:pStyle w:val="Prrafodelista"/>
        <w:rPr>
          <w:rFonts w:ascii="Arial" w:hAnsi="Arial" w:cs="Arial"/>
          <w:sz w:val="24"/>
          <w:szCs w:val="24"/>
        </w:rPr>
      </w:pPr>
    </w:p>
    <w:p w14:paraId="558B58B1" w14:textId="77777777" w:rsidR="00012CFF" w:rsidRPr="000E17E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0E17E2">
        <w:rPr>
          <w:rFonts w:ascii="Arial" w:hAnsi="Arial" w:cs="Arial"/>
          <w:sz w:val="24"/>
          <w:szCs w:val="24"/>
          <w:lang w:val="pt-BR"/>
        </w:rPr>
        <w:t xml:space="preserve">Solari G. S, Ríos B. JC. </w:t>
      </w:r>
      <w:r w:rsidRPr="000E17E2">
        <w:rPr>
          <w:rFonts w:ascii="Arial" w:hAnsi="Arial" w:cs="Arial"/>
          <w:sz w:val="24"/>
          <w:szCs w:val="24"/>
        </w:rPr>
        <w:t xml:space="preserve">¿Cuál es la utilidad clínica de un estudio toxicológico? Revista Médica de Chile [Internet]. 2009;137(10):1395–9. Disponible en: </w:t>
      </w:r>
      <w:hyperlink r:id="rId17" w:history="1">
        <w:r w:rsidRPr="000E17E2">
          <w:rPr>
            <w:rStyle w:val="Hipervnculo"/>
            <w:rFonts w:ascii="Arial" w:hAnsi="Arial" w:cs="Arial"/>
            <w:sz w:val="24"/>
            <w:szCs w:val="24"/>
          </w:rPr>
          <w:t>https://www.scielo.cl/pdf/rmc/v137n10/art18.pdf</w:t>
        </w:r>
      </w:hyperlink>
    </w:p>
    <w:p w14:paraId="5DD66F37" w14:textId="77777777" w:rsidR="00012CFF" w:rsidRPr="000E17E2" w:rsidRDefault="00012CFF" w:rsidP="00012CFF">
      <w:pPr>
        <w:pStyle w:val="Prrafodelista"/>
        <w:spacing w:line="240" w:lineRule="auto"/>
        <w:ind w:left="426"/>
        <w:jc w:val="both"/>
        <w:rPr>
          <w:rFonts w:ascii="Arial" w:hAnsi="Arial" w:cs="Arial"/>
          <w:sz w:val="24"/>
          <w:szCs w:val="24"/>
        </w:rPr>
      </w:pPr>
    </w:p>
    <w:p w14:paraId="067586EC" w14:textId="77777777" w:rsidR="00012CFF" w:rsidRPr="000E17E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0E17E2">
        <w:rPr>
          <w:rFonts w:ascii="Arial" w:hAnsi="Arial" w:cs="Arial"/>
          <w:sz w:val="24"/>
          <w:szCs w:val="24"/>
        </w:rPr>
        <w:t>Ministerio de la Protección Social. Recomendaciones Guía Técnica “Buenas Prácticas para la Seguridad del Paciente en la Atención en Salud” - Garantizar la Funcionalidad de los Procedimientos de Consentimiento Informado. [Internet]. 2009. p. 10. Disponible en: https://www.minsalud.gov.co/sites/rid/1/Garantizar la funcionalidad de los procedimientos de consentimiento informado.pdf</w:t>
      </w:r>
    </w:p>
    <w:p w14:paraId="65C5BB76" w14:textId="77777777" w:rsidR="00012CFF" w:rsidRPr="000E17E2" w:rsidRDefault="00012CFF" w:rsidP="00012CFF">
      <w:pPr>
        <w:pStyle w:val="Prrafodelista"/>
        <w:spacing w:line="240" w:lineRule="auto"/>
        <w:ind w:left="426"/>
        <w:jc w:val="both"/>
        <w:rPr>
          <w:rFonts w:ascii="Arial" w:hAnsi="Arial" w:cs="Arial"/>
          <w:sz w:val="24"/>
          <w:szCs w:val="24"/>
        </w:rPr>
      </w:pPr>
    </w:p>
    <w:p w14:paraId="6DB592C1" w14:textId="77777777" w:rsidR="00012CFF" w:rsidRPr="00E937C0"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0E17E2">
        <w:rPr>
          <w:rFonts w:ascii="Arial" w:hAnsi="Arial" w:cs="Arial"/>
          <w:sz w:val="24"/>
          <w:szCs w:val="24"/>
        </w:rPr>
        <w:t xml:space="preserve">Villanueva J, Matamoros M. Ciencias Forenses y Pruebas Presuntivas. Revista De Ciencias </w:t>
      </w:r>
      <w:proofErr w:type="spellStart"/>
      <w:r w:rsidRPr="000E17E2">
        <w:rPr>
          <w:rFonts w:ascii="Arial" w:hAnsi="Arial" w:cs="Arial"/>
          <w:sz w:val="24"/>
          <w:szCs w:val="24"/>
        </w:rPr>
        <w:t>Forencses</w:t>
      </w:r>
      <w:proofErr w:type="spellEnd"/>
      <w:r w:rsidRPr="000E17E2">
        <w:rPr>
          <w:rFonts w:ascii="Arial" w:hAnsi="Arial" w:cs="Arial"/>
          <w:sz w:val="24"/>
          <w:szCs w:val="24"/>
        </w:rPr>
        <w:t xml:space="preserve"> De Honduras [Internet]. 2017;2(2):45–54. </w:t>
      </w:r>
      <w:r w:rsidRPr="0015506A">
        <w:rPr>
          <w:rFonts w:ascii="Arial" w:hAnsi="Arial" w:cs="Arial"/>
          <w:sz w:val="24"/>
          <w:szCs w:val="24"/>
        </w:rPr>
        <w:t xml:space="preserve">Disponible en: </w:t>
      </w:r>
      <w:hyperlink r:id="rId18" w:history="1">
        <w:r w:rsidRPr="0015506A">
          <w:rPr>
            <w:rStyle w:val="Hipervnculo"/>
            <w:rFonts w:ascii="Arial" w:hAnsi="Arial" w:cs="Arial"/>
            <w:sz w:val="24"/>
            <w:szCs w:val="24"/>
          </w:rPr>
          <w:t>http://www.bvs.hn/RCFH/pdf/2016/pdf/RCFH2-2-2016-9.pdf</w:t>
        </w:r>
      </w:hyperlink>
    </w:p>
    <w:p w14:paraId="69CBDDBD" w14:textId="77777777" w:rsidR="00012CFF" w:rsidRPr="0015506A" w:rsidRDefault="00012CFF" w:rsidP="00012CFF">
      <w:pPr>
        <w:pStyle w:val="Prrafodelista"/>
        <w:rPr>
          <w:rFonts w:ascii="Arial" w:hAnsi="Arial" w:cs="Arial"/>
          <w:sz w:val="24"/>
          <w:szCs w:val="24"/>
        </w:rPr>
      </w:pPr>
    </w:p>
    <w:p w14:paraId="4D067D97" w14:textId="77777777" w:rsidR="00012CFF" w:rsidRPr="0015506A"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lang w:val="en-US"/>
        </w:rPr>
      </w:pPr>
      <w:proofErr w:type="spellStart"/>
      <w:r w:rsidRPr="00E937C0">
        <w:rPr>
          <w:rFonts w:ascii="Arial" w:hAnsi="Arial" w:cs="Arial"/>
          <w:sz w:val="24"/>
          <w:szCs w:val="24"/>
          <w:lang w:val="en-US"/>
        </w:rPr>
        <w:lastRenderedPageBreak/>
        <w:t>Hadland</w:t>
      </w:r>
      <w:proofErr w:type="spellEnd"/>
      <w:r w:rsidRPr="00E937C0">
        <w:rPr>
          <w:rFonts w:ascii="Arial" w:hAnsi="Arial" w:cs="Arial"/>
          <w:sz w:val="24"/>
          <w:szCs w:val="24"/>
          <w:lang w:val="en-US"/>
        </w:rPr>
        <w:t xml:space="preserve"> SE, Levy S. Objective Testing: Urine and Other Drug Tests. Vol. 25, </w:t>
      </w:r>
      <w:proofErr w:type="gramStart"/>
      <w:r w:rsidRPr="00E937C0">
        <w:rPr>
          <w:rFonts w:ascii="Arial" w:hAnsi="Arial" w:cs="Arial"/>
          <w:sz w:val="24"/>
          <w:szCs w:val="24"/>
          <w:lang w:val="en-US"/>
        </w:rPr>
        <w:t>Child</w:t>
      </w:r>
      <w:proofErr w:type="gramEnd"/>
      <w:r w:rsidRPr="00E937C0">
        <w:rPr>
          <w:rFonts w:ascii="Arial" w:hAnsi="Arial" w:cs="Arial"/>
          <w:sz w:val="24"/>
          <w:szCs w:val="24"/>
          <w:lang w:val="en-US"/>
        </w:rPr>
        <w:t xml:space="preserve"> and Adolescent Psychiatric Clinics of North America. W.B. Saunders; 2016. p. 549–65.</w:t>
      </w:r>
    </w:p>
    <w:p w14:paraId="0D0CF335" w14:textId="77777777" w:rsidR="00012CFF" w:rsidRPr="0015506A" w:rsidRDefault="00012CFF" w:rsidP="00012CFF">
      <w:pPr>
        <w:pStyle w:val="Prrafodelista"/>
        <w:rPr>
          <w:rFonts w:ascii="Arial" w:hAnsi="Arial" w:cs="Arial"/>
          <w:sz w:val="24"/>
          <w:szCs w:val="24"/>
          <w:lang w:val="en-US"/>
        </w:rPr>
      </w:pPr>
    </w:p>
    <w:p w14:paraId="44DAFA91" w14:textId="77777777" w:rsidR="00012CFF" w:rsidRPr="00D4073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D40732">
        <w:rPr>
          <w:rFonts w:ascii="Arial" w:hAnsi="Arial" w:cs="Arial"/>
          <w:sz w:val="24"/>
          <w:szCs w:val="24"/>
        </w:rPr>
        <w:t xml:space="preserve">Garro L, Zavaleta E. Falsos positivos en pruebas de detección de drogas de abuso en orina asociados a consumo de medicamentos. Colegio de </w:t>
      </w:r>
      <w:proofErr w:type="spellStart"/>
      <w:r w:rsidRPr="00D40732">
        <w:rPr>
          <w:rFonts w:ascii="Arial" w:hAnsi="Arial" w:cs="Arial"/>
          <w:sz w:val="24"/>
          <w:szCs w:val="24"/>
        </w:rPr>
        <w:t>Microb</w:t>
      </w:r>
      <w:proofErr w:type="spellEnd"/>
      <w:r w:rsidRPr="00D40732">
        <w:rPr>
          <w:rFonts w:ascii="Arial" w:hAnsi="Arial" w:cs="Arial"/>
          <w:sz w:val="24"/>
          <w:szCs w:val="24"/>
        </w:rPr>
        <w:t xml:space="preserve"> Quim Clin Costa Rica [Internet]. 2015; Volumen 21(Falsos positivos en pruebas de detección de drogas de abuso en orina asociados a consumo de medicamentos): p. 34–44. Disponible en: </w:t>
      </w:r>
      <w:hyperlink r:id="rId19" w:history="1">
        <w:r w:rsidRPr="00D40732">
          <w:rPr>
            <w:rStyle w:val="Hipervnculo"/>
            <w:rFonts w:ascii="Arial" w:hAnsi="Arial" w:cs="Arial"/>
            <w:sz w:val="24"/>
            <w:szCs w:val="24"/>
          </w:rPr>
          <w:t>http://omextad.salud.gob.mx/contenidos/investigaciones/Falsospositivos.pdf</w:t>
        </w:r>
      </w:hyperlink>
      <w:r w:rsidRPr="00D40732">
        <w:rPr>
          <w:rFonts w:ascii="Arial" w:hAnsi="Arial" w:cs="Arial"/>
          <w:sz w:val="24"/>
          <w:szCs w:val="24"/>
        </w:rPr>
        <w:t xml:space="preserve">. </w:t>
      </w:r>
    </w:p>
    <w:p w14:paraId="1FCB5D00" w14:textId="77777777" w:rsidR="00012CFF" w:rsidRPr="00D40732" w:rsidRDefault="00012CFF" w:rsidP="00012CFF">
      <w:pPr>
        <w:pStyle w:val="Prrafodelista"/>
        <w:rPr>
          <w:rFonts w:ascii="Arial" w:hAnsi="Arial" w:cs="Arial"/>
          <w:sz w:val="24"/>
          <w:szCs w:val="24"/>
        </w:rPr>
      </w:pPr>
    </w:p>
    <w:p w14:paraId="57BB980C" w14:textId="77777777" w:rsidR="00012CFF" w:rsidRPr="0015506A" w:rsidRDefault="00012CFF" w:rsidP="00012CFF">
      <w:pPr>
        <w:pStyle w:val="Prrafodelista"/>
        <w:numPr>
          <w:ilvl w:val="0"/>
          <w:numId w:val="1"/>
        </w:numPr>
        <w:autoSpaceDE w:val="0"/>
        <w:autoSpaceDN w:val="0"/>
        <w:spacing w:line="240" w:lineRule="auto"/>
        <w:ind w:left="426"/>
        <w:jc w:val="both"/>
        <w:rPr>
          <w:rStyle w:val="Hipervnculo"/>
          <w:rFonts w:ascii="Arial" w:eastAsia="SimSun" w:hAnsi="Arial" w:cs="Arial"/>
          <w:sz w:val="24"/>
          <w:szCs w:val="24"/>
        </w:rPr>
      </w:pPr>
      <w:r w:rsidRPr="00D40732">
        <w:rPr>
          <w:rFonts w:ascii="Arial" w:hAnsi="Arial" w:cs="Arial"/>
          <w:sz w:val="24"/>
          <w:szCs w:val="24"/>
        </w:rPr>
        <w:t xml:space="preserve">García MD, Huarte E. El Laboratorio en Toxicología. En: Libro electrónico de Toxicología clínica [Internet]. Navarra; 2018. </w:t>
      </w:r>
      <w:proofErr w:type="spellStart"/>
      <w:r w:rsidRPr="0015506A">
        <w:rPr>
          <w:rFonts w:ascii="Arial" w:hAnsi="Arial" w:cs="Arial"/>
          <w:sz w:val="24"/>
          <w:szCs w:val="24"/>
        </w:rPr>
        <w:t>Available</w:t>
      </w:r>
      <w:proofErr w:type="spellEnd"/>
      <w:r w:rsidRPr="0015506A">
        <w:rPr>
          <w:rFonts w:ascii="Arial" w:hAnsi="Arial" w:cs="Arial"/>
          <w:sz w:val="24"/>
          <w:szCs w:val="24"/>
        </w:rPr>
        <w:t xml:space="preserve"> </w:t>
      </w:r>
      <w:proofErr w:type="spellStart"/>
      <w:r w:rsidRPr="0015506A">
        <w:rPr>
          <w:rFonts w:ascii="Arial" w:hAnsi="Arial" w:cs="Arial"/>
          <w:sz w:val="24"/>
          <w:szCs w:val="24"/>
        </w:rPr>
        <w:t>from</w:t>
      </w:r>
      <w:proofErr w:type="spellEnd"/>
      <w:r w:rsidRPr="0015506A">
        <w:rPr>
          <w:rFonts w:ascii="Arial" w:hAnsi="Arial" w:cs="Arial"/>
          <w:sz w:val="24"/>
          <w:szCs w:val="24"/>
        </w:rPr>
        <w:t xml:space="preserve">: </w:t>
      </w:r>
      <w:hyperlink r:id="rId20" w:history="1">
        <w:r w:rsidRPr="0015506A">
          <w:rPr>
            <w:rStyle w:val="Hipervnculo"/>
            <w:rFonts w:ascii="Arial" w:hAnsi="Arial" w:cs="Arial"/>
            <w:sz w:val="24"/>
            <w:szCs w:val="24"/>
          </w:rPr>
          <w:t>http://www.navarra.es/home_es/Temas/Portal+de+la+Salud/Profesionales/Documentacion+y+publicaciones/Otras+publicaciones/Libro+electronico+de+Toxicologia/Generalidades.htm</w:t>
        </w:r>
      </w:hyperlink>
    </w:p>
    <w:p w14:paraId="52C4F666" w14:textId="77777777" w:rsidR="00012CFF" w:rsidRPr="0015506A" w:rsidRDefault="00012CFF" w:rsidP="00012CFF">
      <w:pPr>
        <w:pStyle w:val="Prrafodelista"/>
        <w:rPr>
          <w:rFonts w:ascii="Arial" w:hAnsi="Arial" w:cs="Arial"/>
          <w:sz w:val="24"/>
          <w:szCs w:val="24"/>
        </w:rPr>
      </w:pPr>
    </w:p>
    <w:p w14:paraId="692D926D" w14:textId="77777777" w:rsidR="00012CFF" w:rsidRPr="00D40732" w:rsidRDefault="00012CFF" w:rsidP="00012CFF">
      <w:pPr>
        <w:pStyle w:val="Prrafodelista"/>
        <w:numPr>
          <w:ilvl w:val="0"/>
          <w:numId w:val="1"/>
        </w:numPr>
        <w:autoSpaceDE w:val="0"/>
        <w:autoSpaceDN w:val="0"/>
        <w:spacing w:line="240" w:lineRule="auto"/>
        <w:ind w:left="426"/>
        <w:jc w:val="both"/>
        <w:rPr>
          <w:rStyle w:val="Hipervnculo"/>
          <w:rFonts w:ascii="Arial" w:eastAsia="SimSun" w:hAnsi="Arial" w:cs="Arial"/>
          <w:sz w:val="24"/>
          <w:szCs w:val="24"/>
          <w:lang w:val="en-US"/>
        </w:rPr>
      </w:pPr>
      <w:r w:rsidRPr="00D40732">
        <w:rPr>
          <w:rFonts w:ascii="Arial" w:hAnsi="Arial" w:cs="Arial"/>
          <w:sz w:val="24"/>
          <w:szCs w:val="24"/>
        </w:rPr>
        <w:t xml:space="preserve">Ministerio de Salud y Protección Social. Guía para el Manejo de Emergencias Toxicológicas - Convenio 344 de 2016 [Internet]. </w:t>
      </w:r>
      <w:r w:rsidRPr="00D40732">
        <w:rPr>
          <w:rFonts w:ascii="Arial" w:hAnsi="Arial" w:cs="Arial"/>
          <w:sz w:val="24"/>
          <w:szCs w:val="24"/>
          <w:lang w:val="en-US"/>
        </w:rPr>
        <w:t xml:space="preserve">Bogotá; 2017. 96–99. Available from: </w:t>
      </w:r>
      <w:hyperlink r:id="rId21" w:history="1">
        <w:r w:rsidRPr="00D40732">
          <w:rPr>
            <w:rStyle w:val="Hipervnculo"/>
            <w:rFonts w:ascii="Arial" w:hAnsi="Arial" w:cs="Arial"/>
            <w:sz w:val="24"/>
            <w:szCs w:val="24"/>
            <w:lang w:val="en-US"/>
          </w:rPr>
          <w:t>https://www.minsalud.gov.co/sites/rid/Lists/BibliotecaDigital/RIDE/DE/GT/guias-manejo-emergencias-toxicologicas-outpout.pdf</w:t>
        </w:r>
      </w:hyperlink>
    </w:p>
    <w:p w14:paraId="1457449B" w14:textId="77777777" w:rsidR="00012CFF" w:rsidRPr="00D40732" w:rsidRDefault="00012CFF" w:rsidP="00012CFF">
      <w:pPr>
        <w:pStyle w:val="Prrafodelista"/>
        <w:rPr>
          <w:rFonts w:ascii="Arial" w:hAnsi="Arial" w:cs="Arial"/>
          <w:sz w:val="24"/>
          <w:szCs w:val="24"/>
          <w:lang w:val="en-US"/>
        </w:rPr>
      </w:pPr>
    </w:p>
    <w:p w14:paraId="72EF9C16" w14:textId="77777777" w:rsidR="00012CFF" w:rsidRPr="00D4073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D40732">
        <w:rPr>
          <w:rFonts w:ascii="Arial" w:hAnsi="Arial" w:cs="Arial"/>
          <w:sz w:val="24"/>
          <w:szCs w:val="24"/>
        </w:rPr>
        <w:t>Programa Nacional de Prevención y</w:t>
      </w:r>
      <w:r>
        <w:rPr>
          <w:rFonts w:ascii="Arial" w:hAnsi="Arial" w:cs="Arial"/>
          <w:sz w:val="24"/>
          <w:szCs w:val="24"/>
        </w:rPr>
        <w:t xml:space="preserve"> Control de las Intoxicaciones - PRECOTOX</w:t>
      </w:r>
      <w:r w:rsidRPr="00D40732">
        <w:rPr>
          <w:rFonts w:ascii="Arial" w:hAnsi="Arial" w:cs="Arial"/>
          <w:sz w:val="24"/>
          <w:szCs w:val="24"/>
        </w:rPr>
        <w:t xml:space="preserve">. Guía para la obtención, conservación y transporte de muestras para análisis toxicológicos [Internet]. Ministerio de Salud de la Nación. Buenos Aires; 2016. 56. Disponible en: </w:t>
      </w:r>
      <w:hyperlink r:id="rId22" w:history="1">
        <w:r w:rsidRPr="00D40732">
          <w:rPr>
            <w:rStyle w:val="Hipervnculo"/>
            <w:rFonts w:ascii="Arial" w:hAnsi="Arial" w:cs="Arial"/>
            <w:sz w:val="24"/>
            <w:szCs w:val="24"/>
          </w:rPr>
          <w:t>https://www.google.com/search?client=firefox-b-d&amp;q=muestras+eorina+en+intoxicaciones</w:t>
        </w:r>
      </w:hyperlink>
    </w:p>
    <w:bookmarkEnd w:id="1"/>
    <w:p w14:paraId="1848080A" w14:textId="36141B5F" w:rsidR="005326B5" w:rsidRDefault="005326B5">
      <w:r>
        <w:t xml:space="preserve"> </w:t>
      </w:r>
    </w:p>
    <w:p w14:paraId="3C6AEA85" w14:textId="294ACAD6" w:rsidR="005326B5" w:rsidRPr="005326B5" w:rsidRDefault="00DA3A59">
      <w:pPr>
        <w:rPr>
          <w:rFonts w:ascii="Arial" w:hAnsi="Arial" w:cs="Arial"/>
          <w:sz w:val="24"/>
          <w:szCs w:val="24"/>
        </w:rPr>
      </w:pPr>
      <w:r>
        <w:rPr>
          <w:rFonts w:ascii="Arial" w:hAnsi="Arial" w:cs="Arial"/>
          <w:sz w:val="24"/>
          <w:szCs w:val="24"/>
        </w:rPr>
        <w:t xml:space="preserve">Unidad </w:t>
      </w:r>
      <w:r w:rsidR="005326B5" w:rsidRPr="005326B5">
        <w:rPr>
          <w:rFonts w:ascii="Arial" w:hAnsi="Arial" w:cs="Arial"/>
          <w:sz w:val="24"/>
          <w:szCs w:val="24"/>
        </w:rPr>
        <w:t>2</w:t>
      </w:r>
    </w:p>
    <w:p w14:paraId="76F52124" w14:textId="77777777" w:rsidR="007F3C70" w:rsidRDefault="007F3C70"/>
    <w:p w14:paraId="263F5847"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Pr>
          <w:rStyle w:val="normaltextrun"/>
          <w:rFonts w:ascii="Arial" w:hAnsi="Arial" w:cs="Arial"/>
        </w:rPr>
        <w:t xml:space="preserve">Colombia. </w:t>
      </w:r>
      <w:r w:rsidRPr="00BF0AF8">
        <w:rPr>
          <w:rStyle w:val="normaltextrun"/>
          <w:rFonts w:ascii="Arial" w:hAnsi="Arial" w:cs="Arial"/>
        </w:rPr>
        <w:t>Ministerio de Salud. Decreto 677 "Por el cual se reglamenta parcialmente el Régimen de Registros y Licencias, el Control de Calidad, así como el Régimen de Vigilancia Sanitaria de Medicamentos, Cosméticos, Preparaciones Farmacéuticas a base de Recursos Naturales, Productos de Aseo, Higiene y Limpieza y otros productos de uso doméstico y se dictan otras disposiciones sobre la materia".  1995.</w:t>
      </w:r>
      <w:r w:rsidRPr="00BF0AF8">
        <w:rPr>
          <w:rStyle w:val="eop"/>
          <w:rFonts w:ascii="Arial" w:hAnsi="Arial" w:cs="Arial"/>
        </w:rPr>
        <w:t> </w:t>
      </w:r>
    </w:p>
    <w:p w14:paraId="672A5124"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Manual de Referencia para la Vigilancia de las Intoxicaciones por Sustancias Químicas. Instituto Nacional de Salud, 2018.</w:t>
      </w:r>
      <w:r w:rsidRPr="00BF0AF8">
        <w:rPr>
          <w:rStyle w:val="eop"/>
          <w:rFonts w:ascii="Arial" w:hAnsi="Arial" w:cs="Arial"/>
        </w:rPr>
        <w:t> </w:t>
      </w:r>
    </w:p>
    <w:p w14:paraId="5D77B881"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Protocolo de Vigilancia en Salud Pública. Intoxicaciones por Sustancias Químicas. Instituto Nacional de Salud, 2017.</w:t>
      </w:r>
      <w:r w:rsidRPr="00BF0AF8">
        <w:rPr>
          <w:rStyle w:val="eop"/>
          <w:rFonts w:ascii="Arial" w:hAnsi="Arial" w:cs="Arial"/>
        </w:rPr>
        <w:t> </w:t>
      </w:r>
    </w:p>
    <w:p w14:paraId="54EE1251"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lastRenderedPageBreak/>
        <w:t xml:space="preserve">Mancipe L, Fernández D, Fernández D. Intoxicación por acetaminofén. Revista </w:t>
      </w:r>
      <w:proofErr w:type="spellStart"/>
      <w:r w:rsidRPr="00BF0AF8">
        <w:rPr>
          <w:rStyle w:val="normaltextrun"/>
          <w:rFonts w:ascii="Arial" w:hAnsi="Arial" w:cs="Arial"/>
        </w:rPr>
        <w:t>Med</w:t>
      </w:r>
      <w:proofErr w:type="spellEnd"/>
      <w:r w:rsidRPr="00BF0AF8">
        <w:rPr>
          <w:rStyle w:val="normaltextrun"/>
          <w:rFonts w:ascii="Arial" w:hAnsi="Arial" w:cs="Arial"/>
        </w:rPr>
        <w:t>. 2010; 18 (2): 221-227.</w:t>
      </w:r>
      <w:r w:rsidRPr="00BF0AF8">
        <w:rPr>
          <w:rStyle w:val="eop"/>
          <w:rFonts w:ascii="Arial" w:hAnsi="Arial" w:cs="Arial"/>
        </w:rPr>
        <w:t> </w:t>
      </w:r>
    </w:p>
    <w:p w14:paraId="4C418504"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 xml:space="preserve">Angulo N.  Intoxicación por acetaminofén. </w:t>
      </w:r>
      <w:r>
        <w:rPr>
          <w:rStyle w:val="normaltextrun"/>
          <w:rFonts w:ascii="Arial" w:hAnsi="Arial" w:cs="Arial"/>
        </w:rPr>
        <w:t>T</w:t>
      </w:r>
      <w:r w:rsidRPr="00BF0AF8">
        <w:rPr>
          <w:rStyle w:val="normaltextrun"/>
          <w:rFonts w:ascii="Arial" w:hAnsi="Arial" w:cs="Arial"/>
        </w:rPr>
        <w:t>oxicología Clínica. 1ª Edición. Medellín, Colombia. Corporación para investigaciones biológicas; 2010; 165 – 173</w:t>
      </w:r>
      <w:r w:rsidRPr="00BF0AF8">
        <w:rPr>
          <w:rStyle w:val="eop"/>
          <w:rFonts w:ascii="Arial" w:hAnsi="Arial" w:cs="Arial"/>
        </w:rPr>
        <w:t> </w:t>
      </w:r>
    </w:p>
    <w:p w14:paraId="0898D142"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Pr>
          <w:rStyle w:val="normaltextrun"/>
          <w:rFonts w:ascii="Arial" w:hAnsi="Arial" w:cs="Arial"/>
        </w:rPr>
        <w:t xml:space="preserve">Colombia. </w:t>
      </w:r>
      <w:r w:rsidRPr="00BF0AF8">
        <w:rPr>
          <w:rStyle w:val="normaltextrun"/>
          <w:rFonts w:ascii="Arial" w:hAnsi="Arial" w:cs="Arial"/>
        </w:rPr>
        <w:t>Ministerio de Salud y Protección Social. Guía para el Manejo de Emergencias Toxicológicas. 2017</w:t>
      </w:r>
      <w:r w:rsidRPr="00BF0AF8">
        <w:rPr>
          <w:rStyle w:val="eop"/>
          <w:rFonts w:ascii="Arial" w:hAnsi="Arial" w:cs="Arial"/>
        </w:rPr>
        <w:t> </w:t>
      </w:r>
    </w:p>
    <w:p w14:paraId="69A08C8B" w14:textId="77777777" w:rsidR="007F3C70" w:rsidRPr="00BF0AF8" w:rsidRDefault="007F3C70" w:rsidP="007F3C70">
      <w:pPr>
        <w:pStyle w:val="paragraph"/>
        <w:numPr>
          <w:ilvl w:val="0"/>
          <w:numId w:val="2"/>
        </w:numPr>
        <w:jc w:val="both"/>
        <w:textAlignment w:val="baseline"/>
        <w:rPr>
          <w:rFonts w:ascii="Arial" w:hAnsi="Arial" w:cs="Arial"/>
        </w:rPr>
      </w:pPr>
      <w:r w:rsidRPr="00BF0AF8">
        <w:rPr>
          <w:rStyle w:val="normaltextrun"/>
          <w:rFonts w:ascii="Arial" w:hAnsi="Arial" w:cs="Arial"/>
        </w:rPr>
        <w:t xml:space="preserve">Roldán T, López A. Intoxicación por antidepresivos tricíclicos en pediatría: aproximación y manejo. </w:t>
      </w:r>
      <w:proofErr w:type="spellStart"/>
      <w:r w:rsidRPr="00BF0AF8">
        <w:rPr>
          <w:rStyle w:val="normaltextrun"/>
          <w:rFonts w:ascii="Arial" w:hAnsi="Arial" w:cs="Arial"/>
        </w:rPr>
        <w:t>Universitas</w:t>
      </w:r>
      <w:proofErr w:type="spellEnd"/>
      <w:r w:rsidRPr="00BF0AF8">
        <w:rPr>
          <w:rStyle w:val="normaltextrun"/>
          <w:rFonts w:ascii="Arial" w:hAnsi="Arial" w:cs="Arial"/>
        </w:rPr>
        <w:t xml:space="preserve"> Medica. 2013;54(1):79-91.</w:t>
      </w:r>
      <w:r w:rsidRPr="00BF0AF8">
        <w:rPr>
          <w:rStyle w:val="eop"/>
          <w:rFonts w:ascii="Arial" w:hAnsi="Arial" w:cs="Arial"/>
        </w:rPr>
        <w:t> </w:t>
      </w:r>
    </w:p>
    <w:p w14:paraId="4F3C99D8" w14:textId="77777777" w:rsidR="007F3C70" w:rsidRPr="00BF0AF8" w:rsidRDefault="007F3C70" w:rsidP="007F3C70">
      <w:pPr>
        <w:pStyle w:val="paragraph"/>
        <w:numPr>
          <w:ilvl w:val="0"/>
          <w:numId w:val="2"/>
        </w:numPr>
        <w:jc w:val="both"/>
        <w:textAlignment w:val="baseline"/>
        <w:rPr>
          <w:rFonts w:ascii="Arial" w:hAnsi="Arial" w:cs="Arial"/>
        </w:rPr>
      </w:pPr>
      <w:r w:rsidRPr="00BF0AF8">
        <w:rPr>
          <w:rStyle w:val="normaltextrun"/>
          <w:rFonts w:ascii="Arial" w:hAnsi="Arial" w:cs="Arial"/>
        </w:rPr>
        <w:t>Peña L. Intoxicación por antidepres</w:t>
      </w:r>
      <w:r>
        <w:rPr>
          <w:rStyle w:val="normaltextrun"/>
          <w:rFonts w:ascii="Arial" w:hAnsi="Arial" w:cs="Arial"/>
        </w:rPr>
        <w:t xml:space="preserve">ivos tricíclicos. </w:t>
      </w:r>
      <w:r w:rsidRPr="00BF0AF8">
        <w:rPr>
          <w:rStyle w:val="normaltextrun"/>
          <w:rFonts w:ascii="Arial" w:hAnsi="Arial" w:cs="Arial"/>
        </w:rPr>
        <w:t>Toxicología Clínica. 1ª Edición. Medellín, Colombia. Corporación para investigaciones biológicas; 2010; 297 – 308. </w:t>
      </w:r>
      <w:r w:rsidRPr="00BF0AF8">
        <w:rPr>
          <w:rStyle w:val="eop"/>
          <w:rFonts w:ascii="Arial" w:hAnsi="Arial" w:cs="Arial"/>
        </w:rPr>
        <w:t> </w:t>
      </w:r>
    </w:p>
    <w:p w14:paraId="62E6DC24" w14:textId="77777777" w:rsidR="007F3C70" w:rsidRPr="00BF0AF8" w:rsidRDefault="007F3C70" w:rsidP="007F3C70">
      <w:pPr>
        <w:pStyle w:val="paragraph"/>
        <w:numPr>
          <w:ilvl w:val="0"/>
          <w:numId w:val="2"/>
        </w:numPr>
        <w:jc w:val="both"/>
        <w:textAlignment w:val="baseline"/>
        <w:rPr>
          <w:rStyle w:val="eop"/>
          <w:rFonts w:ascii="Arial" w:eastAsia="SimSun" w:hAnsi="Arial" w:cs="Arial"/>
        </w:rPr>
      </w:pPr>
      <w:r w:rsidRPr="00BF0AF8">
        <w:rPr>
          <w:rStyle w:val="normaltextrun"/>
          <w:rFonts w:ascii="Arial" w:hAnsi="Arial" w:cs="Arial"/>
          <w:lang w:val="en-US"/>
        </w:rPr>
        <w:t>Kerr G</w:t>
      </w:r>
      <w:r>
        <w:rPr>
          <w:rStyle w:val="normaltextrun"/>
          <w:rFonts w:ascii="Arial" w:hAnsi="Arial" w:cs="Arial"/>
          <w:lang w:val="en-US"/>
        </w:rPr>
        <w:t xml:space="preserve">, McGuffie </w:t>
      </w:r>
      <w:r w:rsidRPr="00BF0AF8">
        <w:rPr>
          <w:rStyle w:val="normaltextrun"/>
          <w:rFonts w:ascii="Arial" w:hAnsi="Arial" w:cs="Arial"/>
          <w:lang w:val="en-US"/>
        </w:rPr>
        <w:t xml:space="preserve">C, </w:t>
      </w:r>
      <w:proofErr w:type="spellStart"/>
      <w:r w:rsidRPr="00BF0AF8">
        <w:rPr>
          <w:rStyle w:val="normaltextrun"/>
          <w:rFonts w:ascii="Arial" w:hAnsi="Arial" w:cs="Arial"/>
          <w:lang w:val="en-US"/>
        </w:rPr>
        <w:t>Wilkie</w:t>
      </w:r>
      <w:proofErr w:type="spellEnd"/>
      <w:r w:rsidRPr="00BF0AF8">
        <w:rPr>
          <w:rStyle w:val="normaltextrun"/>
          <w:rFonts w:ascii="Arial" w:hAnsi="Arial" w:cs="Arial"/>
          <w:lang w:val="en-US"/>
        </w:rPr>
        <w:t xml:space="preserve"> S. Tricyclic antidepressant overdose: a review. Emergency Medicine Journal. 2001;18: 236–241.</w:t>
      </w:r>
      <w:r w:rsidRPr="00BF0AF8">
        <w:rPr>
          <w:rStyle w:val="eop"/>
          <w:rFonts w:ascii="Arial" w:hAnsi="Arial" w:cs="Arial"/>
        </w:rPr>
        <w:t> </w:t>
      </w:r>
    </w:p>
    <w:p w14:paraId="4D9847C4" w14:textId="77777777" w:rsidR="007F3C70" w:rsidRPr="00BF0AF8" w:rsidRDefault="007F3C70" w:rsidP="007F3C70">
      <w:pPr>
        <w:pStyle w:val="paragraph"/>
        <w:numPr>
          <w:ilvl w:val="0"/>
          <w:numId w:val="2"/>
        </w:numPr>
        <w:jc w:val="both"/>
        <w:textAlignment w:val="baseline"/>
        <w:rPr>
          <w:rFonts w:ascii="Arial" w:hAnsi="Arial" w:cs="Arial"/>
        </w:rPr>
      </w:pPr>
      <w:r w:rsidRPr="00BF0AF8">
        <w:rPr>
          <w:rFonts w:ascii="Arial" w:hAnsi="Arial" w:cs="Arial"/>
        </w:rPr>
        <w:t xml:space="preserve">OMS, FAO. </w:t>
      </w:r>
      <w:r w:rsidRPr="008871AD">
        <w:rPr>
          <w:rFonts w:ascii="Arial" w:hAnsi="Arial" w:cs="Arial"/>
          <w:iCs/>
        </w:rPr>
        <w:t>Código Internacional de Conducta Para La Gestión de Plaguicidas</w:t>
      </w:r>
      <w:r w:rsidRPr="00BF0AF8">
        <w:rPr>
          <w:rFonts w:ascii="Arial" w:hAnsi="Arial" w:cs="Arial"/>
        </w:rPr>
        <w:t>. 2015. doi:13604S/1/12.14</w:t>
      </w:r>
    </w:p>
    <w:p w14:paraId="6605F940" w14:textId="77777777" w:rsidR="007F3C70" w:rsidRPr="008871AD" w:rsidRDefault="007F3C70" w:rsidP="007F3C70">
      <w:pPr>
        <w:pStyle w:val="paragraph"/>
        <w:numPr>
          <w:ilvl w:val="0"/>
          <w:numId w:val="2"/>
        </w:numPr>
        <w:jc w:val="both"/>
        <w:textAlignment w:val="baseline"/>
        <w:rPr>
          <w:rFonts w:ascii="Arial" w:hAnsi="Arial" w:cs="Arial"/>
        </w:rPr>
      </w:pPr>
      <w:r w:rsidRPr="008871AD">
        <w:rPr>
          <w:rFonts w:ascii="Arial" w:hAnsi="Arial" w:cs="Arial"/>
        </w:rPr>
        <w:t xml:space="preserve">Ramírez J, </w:t>
      </w:r>
      <w:proofErr w:type="spellStart"/>
      <w:r w:rsidRPr="008871AD">
        <w:rPr>
          <w:rFonts w:ascii="Arial" w:hAnsi="Arial" w:cs="Arial"/>
        </w:rPr>
        <w:t>Lacasaña</w:t>
      </w:r>
      <w:proofErr w:type="spellEnd"/>
      <w:r w:rsidRPr="008871AD">
        <w:rPr>
          <w:rFonts w:ascii="Arial" w:hAnsi="Arial" w:cs="Arial"/>
        </w:rPr>
        <w:t xml:space="preserve"> M. Plaguicidas: clasificación, uso, toxicología y medición de la exposición. </w:t>
      </w:r>
      <w:proofErr w:type="spellStart"/>
      <w:r w:rsidRPr="008871AD">
        <w:rPr>
          <w:rFonts w:ascii="Arial" w:hAnsi="Arial" w:cs="Arial"/>
          <w:iCs/>
        </w:rPr>
        <w:t>Arch</w:t>
      </w:r>
      <w:proofErr w:type="spellEnd"/>
      <w:r w:rsidRPr="008871AD">
        <w:rPr>
          <w:rFonts w:ascii="Arial" w:hAnsi="Arial" w:cs="Arial"/>
          <w:iCs/>
        </w:rPr>
        <w:t xml:space="preserve"> </w:t>
      </w:r>
      <w:proofErr w:type="spellStart"/>
      <w:r w:rsidRPr="008871AD">
        <w:rPr>
          <w:rFonts w:ascii="Arial" w:hAnsi="Arial" w:cs="Arial"/>
          <w:iCs/>
        </w:rPr>
        <w:t>prev</w:t>
      </w:r>
      <w:proofErr w:type="spellEnd"/>
      <w:r w:rsidRPr="008871AD">
        <w:rPr>
          <w:rFonts w:ascii="Arial" w:hAnsi="Arial" w:cs="Arial"/>
          <w:iCs/>
        </w:rPr>
        <w:t xml:space="preserve"> riesgos labor (Ed </w:t>
      </w:r>
      <w:proofErr w:type="spellStart"/>
      <w:r w:rsidRPr="008871AD">
        <w:rPr>
          <w:rFonts w:ascii="Arial" w:hAnsi="Arial" w:cs="Arial"/>
          <w:iCs/>
        </w:rPr>
        <w:t>impr</w:t>
      </w:r>
      <w:proofErr w:type="spellEnd"/>
      <w:r w:rsidRPr="008871AD">
        <w:rPr>
          <w:rFonts w:ascii="Arial" w:hAnsi="Arial" w:cs="Arial"/>
          <w:iCs/>
        </w:rPr>
        <w:t>)</w:t>
      </w:r>
      <w:r w:rsidRPr="008871AD">
        <w:rPr>
          <w:rFonts w:ascii="Arial" w:hAnsi="Arial" w:cs="Arial"/>
        </w:rPr>
        <w:t>. 2001;4(2):67-75.</w:t>
      </w:r>
    </w:p>
    <w:p w14:paraId="0E37FE4B" w14:textId="77777777" w:rsidR="007F3C70" w:rsidRPr="00BF0AF8" w:rsidRDefault="007F3C70" w:rsidP="007F3C70">
      <w:pPr>
        <w:pStyle w:val="Prrafodelista"/>
        <w:numPr>
          <w:ilvl w:val="0"/>
          <w:numId w:val="2"/>
        </w:numPr>
        <w:autoSpaceDE w:val="0"/>
        <w:autoSpaceDN w:val="0"/>
        <w:spacing w:line="276" w:lineRule="auto"/>
        <w:jc w:val="both"/>
        <w:rPr>
          <w:rFonts w:ascii="Arial" w:hAnsi="Arial" w:cs="Arial"/>
          <w:sz w:val="24"/>
          <w:szCs w:val="24"/>
        </w:rPr>
      </w:pPr>
      <w:r w:rsidRPr="008871AD">
        <w:rPr>
          <w:rFonts w:ascii="Arial" w:hAnsi="Arial" w:cs="Arial"/>
          <w:sz w:val="24"/>
          <w:szCs w:val="24"/>
        </w:rPr>
        <w:t xml:space="preserve">EPA. Rodenticidas. In: </w:t>
      </w:r>
      <w:r w:rsidRPr="008871AD">
        <w:rPr>
          <w:rFonts w:ascii="Arial" w:hAnsi="Arial" w:cs="Arial"/>
          <w:iCs/>
          <w:sz w:val="24"/>
          <w:szCs w:val="24"/>
        </w:rPr>
        <w:t>Reconocimiento y Manejo de Los Envenenamientos Por Pesticidas</w:t>
      </w:r>
      <w:r w:rsidRPr="008871AD">
        <w:rPr>
          <w:rFonts w:ascii="Arial" w:hAnsi="Arial" w:cs="Arial"/>
          <w:sz w:val="24"/>
          <w:szCs w:val="24"/>
        </w:rPr>
        <w:t xml:space="preserve">. quinta </w:t>
      </w:r>
      <w:proofErr w:type="spellStart"/>
      <w:r w:rsidRPr="008871AD">
        <w:rPr>
          <w:rFonts w:ascii="Arial" w:hAnsi="Arial" w:cs="Arial"/>
          <w:sz w:val="24"/>
          <w:szCs w:val="24"/>
        </w:rPr>
        <w:t>edi</w:t>
      </w:r>
      <w:proofErr w:type="spellEnd"/>
      <w:proofErr w:type="gramStart"/>
      <w:r w:rsidRPr="00BF0AF8">
        <w:rPr>
          <w:rFonts w:ascii="Arial" w:hAnsi="Arial" w:cs="Arial"/>
          <w:sz w:val="24"/>
          <w:szCs w:val="24"/>
        </w:rPr>
        <w:t>. ;</w:t>
      </w:r>
      <w:proofErr w:type="gramEnd"/>
      <w:r w:rsidRPr="00BF0AF8">
        <w:rPr>
          <w:rFonts w:ascii="Arial" w:hAnsi="Arial" w:cs="Arial"/>
          <w:sz w:val="24"/>
          <w:szCs w:val="24"/>
        </w:rPr>
        <w:t xml:space="preserve"> 1999:187-201. </w:t>
      </w:r>
      <w:hyperlink r:id="rId23" w:history="1">
        <w:r w:rsidRPr="00BF0AF8">
          <w:rPr>
            <w:rStyle w:val="Hipervnculo"/>
            <w:rFonts w:ascii="Arial" w:eastAsia="SimSun" w:hAnsi="Arial" w:cs="Arial"/>
            <w:sz w:val="24"/>
            <w:szCs w:val="24"/>
          </w:rPr>
          <w:t>https://espanol.epa.gov/sites/production-es/files/2015-09/documents/spch17.pdf</w:t>
        </w:r>
      </w:hyperlink>
    </w:p>
    <w:p w14:paraId="15234842" w14:textId="77777777" w:rsidR="007F3C70" w:rsidRPr="008871AD" w:rsidRDefault="007F3C70" w:rsidP="007F3C70">
      <w:pPr>
        <w:pStyle w:val="Prrafodelista"/>
        <w:numPr>
          <w:ilvl w:val="0"/>
          <w:numId w:val="2"/>
        </w:numPr>
        <w:autoSpaceDE w:val="0"/>
        <w:autoSpaceDN w:val="0"/>
        <w:spacing w:line="276" w:lineRule="auto"/>
        <w:jc w:val="both"/>
        <w:rPr>
          <w:rFonts w:ascii="Arial" w:hAnsi="Arial" w:cs="Arial"/>
          <w:sz w:val="24"/>
          <w:szCs w:val="24"/>
        </w:rPr>
      </w:pPr>
      <w:r w:rsidRPr="008871AD">
        <w:rPr>
          <w:rFonts w:ascii="Arial" w:hAnsi="Arial" w:cs="Arial"/>
          <w:sz w:val="24"/>
          <w:szCs w:val="24"/>
        </w:rPr>
        <w:t xml:space="preserve">Virú Loza MA. Manejo actual de las intoxicaciones agudas por inhibidores de la colinesterasa: conceptos erróneos y necesidad de guías peruanas actualizadas. </w:t>
      </w:r>
      <w:proofErr w:type="spellStart"/>
      <w:r w:rsidRPr="008871AD">
        <w:rPr>
          <w:rFonts w:ascii="Arial" w:hAnsi="Arial" w:cs="Arial"/>
          <w:iCs/>
          <w:sz w:val="24"/>
          <w:szCs w:val="24"/>
          <w:lang w:val="en-US"/>
        </w:rPr>
        <w:t>Anales</w:t>
      </w:r>
      <w:proofErr w:type="spellEnd"/>
      <w:r w:rsidRPr="008871AD">
        <w:rPr>
          <w:rFonts w:ascii="Arial" w:hAnsi="Arial" w:cs="Arial"/>
          <w:iCs/>
          <w:sz w:val="24"/>
          <w:szCs w:val="24"/>
          <w:lang w:val="en-US"/>
        </w:rPr>
        <w:t xml:space="preserve"> de la </w:t>
      </w:r>
      <w:proofErr w:type="spellStart"/>
      <w:r w:rsidRPr="008871AD">
        <w:rPr>
          <w:rFonts w:ascii="Arial" w:hAnsi="Arial" w:cs="Arial"/>
          <w:iCs/>
          <w:sz w:val="24"/>
          <w:szCs w:val="24"/>
          <w:lang w:val="en-US"/>
        </w:rPr>
        <w:t>Facultad</w:t>
      </w:r>
      <w:proofErr w:type="spellEnd"/>
      <w:r w:rsidRPr="008871AD">
        <w:rPr>
          <w:rFonts w:ascii="Arial" w:hAnsi="Arial" w:cs="Arial"/>
          <w:iCs/>
          <w:sz w:val="24"/>
          <w:szCs w:val="24"/>
          <w:lang w:val="en-US"/>
        </w:rPr>
        <w:t xml:space="preserve"> de </w:t>
      </w:r>
      <w:proofErr w:type="spellStart"/>
      <w:r w:rsidRPr="008871AD">
        <w:rPr>
          <w:rFonts w:ascii="Arial" w:hAnsi="Arial" w:cs="Arial"/>
          <w:iCs/>
          <w:sz w:val="24"/>
          <w:szCs w:val="24"/>
          <w:lang w:val="en-US"/>
        </w:rPr>
        <w:t>Medicina</w:t>
      </w:r>
      <w:proofErr w:type="spellEnd"/>
      <w:r w:rsidRPr="008871AD">
        <w:rPr>
          <w:rFonts w:ascii="Arial" w:hAnsi="Arial" w:cs="Arial"/>
          <w:sz w:val="24"/>
          <w:szCs w:val="24"/>
          <w:lang w:val="en-US"/>
        </w:rPr>
        <w:t>. 2016;76(4):431. doi:10.15381/</w:t>
      </w:r>
      <w:proofErr w:type="spellStart"/>
      <w:r w:rsidRPr="008871AD">
        <w:rPr>
          <w:rFonts w:ascii="Arial" w:hAnsi="Arial" w:cs="Arial"/>
          <w:sz w:val="24"/>
          <w:szCs w:val="24"/>
          <w:lang w:val="en-US"/>
        </w:rPr>
        <w:t>anales</w:t>
      </w:r>
      <w:proofErr w:type="spellEnd"/>
      <w:r w:rsidRPr="008871AD">
        <w:rPr>
          <w:rFonts w:ascii="Arial" w:hAnsi="Arial" w:cs="Arial"/>
          <w:sz w:val="24"/>
          <w:szCs w:val="24"/>
          <w:lang w:val="en-US"/>
        </w:rPr>
        <w:t>. v76i4.11414</w:t>
      </w:r>
    </w:p>
    <w:p w14:paraId="0597CA9F" w14:textId="77777777" w:rsidR="007F3C70" w:rsidRPr="008871AD" w:rsidRDefault="007F3C70" w:rsidP="007F3C70">
      <w:pPr>
        <w:pStyle w:val="Prrafodelista"/>
        <w:numPr>
          <w:ilvl w:val="0"/>
          <w:numId w:val="2"/>
        </w:numPr>
        <w:autoSpaceDE w:val="0"/>
        <w:autoSpaceDN w:val="0"/>
        <w:spacing w:line="276" w:lineRule="auto"/>
        <w:jc w:val="both"/>
        <w:rPr>
          <w:rFonts w:ascii="Arial" w:hAnsi="Arial" w:cs="Arial"/>
          <w:sz w:val="24"/>
          <w:szCs w:val="24"/>
        </w:rPr>
      </w:pPr>
      <w:r w:rsidRPr="008871AD">
        <w:rPr>
          <w:rFonts w:ascii="Arial" w:hAnsi="Arial" w:cs="Arial"/>
          <w:sz w:val="24"/>
          <w:szCs w:val="24"/>
        </w:rPr>
        <w:t xml:space="preserve">Jaramillo C BE, Martelo E I, Duarte R E. Acute </w:t>
      </w:r>
      <w:proofErr w:type="spellStart"/>
      <w:r w:rsidRPr="008871AD">
        <w:rPr>
          <w:rFonts w:ascii="Arial" w:hAnsi="Arial" w:cs="Arial"/>
          <w:sz w:val="24"/>
          <w:szCs w:val="24"/>
        </w:rPr>
        <w:t>toxicity</w:t>
      </w:r>
      <w:proofErr w:type="spellEnd"/>
      <w:r w:rsidRPr="008871AD">
        <w:rPr>
          <w:rFonts w:ascii="Arial" w:hAnsi="Arial" w:cs="Arial"/>
          <w:sz w:val="24"/>
          <w:szCs w:val="24"/>
        </w:rPr>
        <w:t xml:space="preserve"> </w:t>
      </w:r>
      <w:proofErr w:type="spellStart"/>
      <w:r w:rsidRPr="008871AD">
        <w:rPr>
          <w:rFonts w:ascii="Arial" w:hAnsi="Arial" w:cs="Arial"/>
          <w:sz w:val="24"/>
          <w:szCs w:val="24"/>
        </w:rPr>
        <w:t>of</w:t>
      </w:r>
      <w:proofErr w:type="spellEnd"/>
      <w:r w:rsidRPr="008871AD">
        <w:rPr>
          <w:rFonts w:ascii="Arial" w:hAnsi="Arial" w:cs="Arial"/>
          <w:sz w:val="24"/>
          <w:szCs w:val="24"/>
        </w:rPr>
        <w:t xml:space="preserve"> </w:t>
      </w:r>
      <w:proofErr w:type="spellStart"/>
      <w:r w:rsidRPr="008871AD">
        <w:rPr>
          <w:rFonts w:ascii="Arial" w:hAnsi="Arial" w:cs="Arial"/>
          <w:sz w:val="24"/>
          <w:szCs w:val="24"/>
        </w:rPr>
        <w:t>organophosphorus</w:t>
      </w:r>
      <w:proofErr w:type="spellEnd"/>
      <w:r w:rsidRPr="008871AD">
        <w:rPr>
          <w:rFonts w:ascii="Arial" w:hAnsi="Arial" w:cs="Arial"/>
          <w:sz w:val="24"/>
          <w:szCs w:val="24"/>
        </w:rPr>
        <w:t xml:space="preserve"> </w:t>
      </w:r>
      <w:proofErr w:type="spellStart"/>
      <w:r w:rsidRPr="008871AD">
        <w:rPr>
          <w:rFonts w:ascii="Arial" w:hAnsi="Arial" w:cs="Arial"/>
          <w:sz w:val="24"/>
          <w:szCs w:val="24"/>
        </w:rPr>
        <w:t>pesticides</w:t>
      </w:r>
      <w:proofErr w:type="spellEnd"/>
      <w:r w:rsidRPr="008871AD">
        <w:rPr>
          <w:rFonts w:ascii="Arial" w:hAnsi="Arial" w:cs="Arial"/>
          <w:sz w:val="24"/>
          <w:szCs w:val="24"/>
        </w:rPr>
        <w:t xml:space="preserve"> and </w:t>
      </w:r>
      <w:proofErr w:type="spellStart"/>
      <w:r w:rsidRPr="008871AD">
        <w:rPr>
          <w:rFonts w:ascii="Arial" w:hAnsi="Arial" w:cs="Arial"/>
          <w:sz w:val="24"/>
          <w:szCs w:val="24"/>
        </w:rPr>
        <w:t>analysis</w:t>
      </w:r>
      <w:proofErr w:type="spellEnd"/>
      <w:r w:rsidRPr="008871AD">
        <w:rPr>
          <w:rFonts w:ascii="Arial" w:hAnsi="Arial" w:cs="Arial"/>
          <w:sz w:val="24"/>
          <w:szCs w:val="24"/>
        </w:rPr>
        <w:t xml:space="preserve"> </w:t>
      </w:r>
      <w:proofErr w:type="spellStart"/>
      <w:r w:rsidRPr="008871AD">
        <w:rPr>
          <w:rFonts w:ascii="Arial" w:hAnsi="Arial" w:cs="Arial"/>
          <w:sz w:val="24"/>
          <w:szCs w:val="24"/>
        </w:rPr>
        <w:t>of</w:t>
      </w:r>
      <w:proofErr w:type="spellEnd"/>
      <w:r w:rsidRPr="008871AD">
        <w:rPr>
          <w:rFonts w:ascii="Arial" w:hAnsi="Arial" w:cs="Arial"/>
          <w:sz w:val="24"/>
          <w:szCs w:val="24"/>
        </w:rPr>
        <w:t xml:space="preserve"> </w:t>
      </w:r>
      <w:proofErr w:type="spellStart"/>
      <w:r w:rsidRPr="008871AD">
        <w:rPr>
          <w:rFonts w:ascii="Arial" w:hAnsi="Arial" w:cs="Arial"/>
          <w:sz w:val="24"/>
          <w:szCs w:val="24"/>
        </w:rPr>
        <w:t>quantitative</w:t>
      </w:r>
      <w:proofErr w:type="spellEnd"/>
      <w:r w:rsidRPr="008871AD">
        <w:rPr>
          <w:rFonts w:ascii="Arial" w:hAnsi="Arial" w:cs="Arial"/>
          <w:sz w:val="24"/>
          <w:szCs w:val="24"/>
        </w:rPr>
        <w:t xml:space="preserve"> </w:t>
      </w:r>
      <w:proofErr w:type="spellStart"/>
      <w:r w:rsidRPr="008871AD">
        <w:rPr>
          <w:rFonts w:ascii="Arial" w:hAnsi="Arial" w:cs="Arial"/>
          <w:sz w:val="24"/>
          <w:szCs w:val="24"/>
        </w:rPr>
        <w:t>structure</w:t>
      </w:r>
      <w:proofErr w:type="spellEnd"/>
      <w:r w:rsidRPr="008871AD">
        <w:rPr>
          <w:rFonts w:ascii="Arial" w:hAnsi="Arial" w:cs="Arial"/>
          <w:sz w:val="24"/>
          <w:szCs w:val="24"/>
        </w:rPr>
        <w:t xml:space="preserve"> - </w:t>
      </w:r>
      <w:proofErr w:type="spellStart"/>
      <w:r w:rsidRPr="008871AD">
        <w:rPr>
          <w:rFonts w:ascii="Arial" w:hAnsi="Arial" w:cs="Arial"/>
          <w:sz w:val="24"/>
          <w:szCs w:val="24"/>
        </w:rPr>
        <w:t>activity</w:t>
      </w:r>
      <w:proofErr w:type="spellEnd"/>
      <w:r w:rsidRPr="008871AD">
        <w:rPr>
          <w:rFonts w:ascii="Arial" w:hAnsi="Arial" w:cs="Arial"/>
          <w:sz w:val="24"/>
          <w:szCs w:val="24"/>
        </w:rPr>
        <w:t xml:space="preserve"> </w:t>
      </w:r>
      <w:proofErr w:type="spellStart"/>
      <w:r w:rsidRPr="008871AD">
        <w:rPr>
          <w:rFonts w:ascii="Arial" w:hAnsi="Arial" w:cs="Arial"/>
          <w:sz w:val="24"/>
          <w:szCs w:val="24"/>
        </w:rPr>
        <w:t>relationship</w:t>
      </w:r>
      <w:proofErr w:type="spellEnd"/>
      <w:r w:rsidRPr="008871AD">
        <w:rPr>
          <w:rFonts w:ascii="Arial" w:hAnsi="Arial" w:cs="Arial"/>
          <w:sz w:val="24"/>
          <w:szCs w:val="24"/>
        </w:rPr>
        <w:t xml:space="preserve"> (QSAR). </w:t>
      </w:r>
      <w:r w:rsidRPr="008871AD">
        <w:rPr>
          <w:rFonts w:ascii="Arial" w:hAnsi="Arial" w:cs="Arial"/>
          <w:iCs/>
          <w:sz w:val="24"/>
          <w:szCs w:val="24"/>
        </w:rPr>
        <w:t>Biotecnología en el Sector Agropecuario y Agroindustrial</w:t>
      </w:r>
      <w:r w:rsidRPr="008871AD">
        <w:rPr>
          <w:rFonts w:ascii="Arial" w:hAnsi="Arial" w:cs="Arial"/>
          <w:sz w:val="24"/>
          <w:szCs w:val="24"/>
        </w:rPr>
        <w:t>. 2013;11(2):76-84.</w:t>
      </w:r>
    </w:p>
    <w:p w14:paraId="445FEBEC" w14:textId="64709587" w:rsidR="00D94001" w:rsidRPr="00593BBC" w:rsidRDefault="00DA3A59">
      <w:pPr>
        <w:rPr>
          <w:rFonts w:ascii="Arial" w:hAnsi="Arial" w:cs="Arial"/>
          <w:sz w:val="24"/>
          <w:szCs w:val="24"/>
        </w:rPr>
      </w:pPr>
      <w:r>
        <w:rPr>
          <w:rFonts w:ascii="Arial" w:hAnsi="Arial" w:cs="Arial"/>
          <w:sz w:val="24"/>
          <w:szCs w:val="24"/>
        </w:rPr>
        <w:t>Unidad</w:t>
      </w:r>
      <w:r w:rsidR="005326B5" w:rsidRPr="00593BBC">
        <w:rPr>
          <w:rFonts w:ascii="Arial" w:hAnsi="Arial" w:cs="Arial"/>
          <w:sz w:val="24"/>
          <w:szCs w:val="24"/>
        </w:rPr>
        <w:t xml:space="preserve"> 3</w:t>
      </w:r>
    </w:p>
    <w:p w14:paraId="286A8EFE" w14:textId="1AFC807D" w:rsidR="007F3C70" w:rsidRDefault="007F3C70"/>
    <w:p w14:paraId="6A5E4934"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IPCS/WHO. ENVIRONMENTAL HEALTH CRITERIA 196 - </w:t>
      </w:r>
      <w:proofErr w:type="spellStart"/>
      <w:r w:rsidRPr="00F34655">
        <w:rPr>
          <w:rFonts w:ascii="Arial" w:hAnsi="Arial" w:cs="Arial"/>
          <w:sz w:val="24"/>
          <w:szCs w:val="24"/>
        </w:rPr>
        <w:t>Methanol</w:t>
      </w:r>
      <w:proofErr w:type="spellEnd"/>
      <w:r w:rsidRPr="00F34655">
        <w:rPr>
          <w:rFonts w:ascii="Arial" w:hAnsi="Arial" w:cs="Arial"/>
          <w:sz w:val="24"/>
          <w:szCs w:val="24"/>
        </w:rPr>
        <w:t xml:space="preserve">. WHO Library </w:t>
      </w:r>
      <w:proofErr w:type="spellStart"/>
      <w:r w:rsidRPr="00F34655">
        <w:rPr>
          <w:rFonts w:ascii="Arial" w:hAnsi="Arial" w:cs="Arial"/>
          <w:sz w:val="24"/>
          <w:szCs w:val="24"/>
        </w:rPr>
        <w:t>Cataloguing</w:t>
      </w:r>
      <w:proofErr w:type="spellEnd"/>
      <w:r w:rsidRPr="00F34655">
        <w:rPr>
          <w:rFonts w:ascii="Arial" w:hAnsi="Arial" w:cs="Arial"/>
          <w:sz w:val="24"/>
          <w:szCs w:val="24"/>
        </w:rPr>
        <w:t xml:space="preserve"> in </w:t>
      </w:r>
      <w:proofErr w:type="spellStart"/>
      <w:r w:rsidRPr="00F34655">
        <w:rPr>
          <w:rFonts w:ascii="Arial" w:hAnsi="Arial" w:cs="Arial"/>
          <w:sz w:val="24"/>
          <w:szCs w:val="24"/>
        </w:rPr>
        <w:t>Publication</w:t>
      </w:r>
      <w:proofErr w:type="spellEnd"/>
      <w:r w:rsidRPr="00F34655">
        <w:rPr>
          <w:rFonts w:ascii="Arial" w:hAnsi="Arial" w:cs="Arial"/>
          <w:sz w:val="24"/>
          <w:szCs w:val="24"/>
        </w:rPr>
        <w:t xml:space="preserve"> Data. </w:t>
      </w:r>
      <w:proofErr w:type="spellStart"/>
      <w:r w:rsidRPr="00F34655">
        <w:rPr>
          <w:rFonts w:ascii="Arial" w:hAnsi="Arial" w:cs="Arial"/>
          <w:sz w:val="24"/>
          <w:szCs w:val="24"/>
        </w:rPr>
        <w:t>Published</w:t>
      </w:r>
      <w:proofErr w:type="spellEnd"/>
      <w:r w:rsidRPr="00F34655">
        <w:rPr>
          <w:rFonts w:ascii="Arial" w:hAnsi="Arial" w:cs="Arial"/>
          <w:sz w:val="24"/>
          <w:szCs w:val="24"/>
        </w:rPr>
        <w:t xml:space="preserve"> 1997. </w:t>
      </w:r>
      <w:r>
        <w:rPr>
          <w:rFonts w:ascii="Arial" w:hAnsi="Arial" w:cs="Arial"/>
          <w:sz w:val="24"/>
          <w:szCs w:val="24"/>
        </w:rPr>
        <w:t>Disponible en:</w:t>
      </w:r>
      <w:r w:rsidRPr="00F34655">
        <w:rPr>
          <w:rFonts w:ascii="Arial" w:hAnsi="Arial" w:cs="Arial"/>
          <w:sz w:val="24"/>
          <w:szCs w:val="24"/>
        </w:rPr>
        <w:t xml:space="preserve"> http://www.inchem.org/documents/ehc/ehc/ehc196.htm</w:t>
      </w:r>
    </w:p>
    <w:p w14:paraId="3E2B3605"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Alcalá JN. Cartas al </w:t>
      </w:r>
      <w:proofErr w:type="gramStart"/>
      <w:r w:rsidRPr="00F34655">
        <w:rPr>
          <w:rFonts w:ascii="Arial" w:hAnsi="Arial" w:cs="Arial"/>
          <w:sz w:val="24"/>
          <w:szCs w:val="24"/>
        </w:rPr>
        <w:t>Director</w:t>
      </w:r>
      <w:proofErr w:type="gramEnd"/>
      <w:r w:rsidRPr="00F34655">
        <w:rPr>
          <w:rFonts w:ascii="Arial" w:hAnsi="Arial" w:cs="Arial"/>
          <w:sz w:val="24"/>
          <w:szCs w:val="24"/>
        </w:rPr>
        <w:t xml:space="preserve"> - Intoxicación por metanol. Anales de Medicina Interna. </w:t>
      </w:r>
      <w:proofErr w:type="gramStart"/>
      <w:r w:rsidRPr="00F34655">
        <w:rPr>
          <w:rFonts w:ascii="Arial" w:hAnsi="Arial" w:cs="Arial"/>
          <w:sz w:val="24"/>
          <w:szCs w:val="24"/>
        </w:rPr>
        <w:t>2002;19:494</w:t>
      </w:r>
      <w:proofErr w:type="gramEnd"/>
      <w:r w:rsidRPr="00F34655">
        <w:rPr>
          <w:rFonts w:ascii="Arial" w:hAnsi="Arial" w:cs="Arial"/>
          <w:sz w:val="24"/>
          <w:szCs w:val="24"/>
        </w:rPr>
        <w:t xml:space="preserve">-495. </w:t>
      </w:r>
    </w:p>
    <w:p w14:paraId="1AC42766"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Contreras C, Lira H, Contreras K, Gala A. D. Magnitud y características de la intoxicación por alcohol metílico. Hospital Nacional Dos de </w:t>
      </w:r>
      <w:r w:rsidRPr="005A0D51">
        <w:rPr>
          <w:rFonts w:ascii="Arial" w:hAnsi="Arial" w:cs="Arial"/>
          <w:sz w:val="24"/>
          <w:szCs w:val="24"/>
        </w:rPr>
        <w:t xml:space="preserve">Mayo. </w:t>
      </w:r>
      <w:r w:rsidRPr="005A0D51">
        <w:rPr>
          <w:rFonts w:ascii="Arial" w:hAnsi="Arial" w:cs="Arial"/>
          <w:iCs/>
          <w:sz w:val="24"/>
          <w:szCs w:val="24"/>
        </w:rPr>
        <w:t>Horizonte Médico (Lima)</w:t>
      </w:r>
      <w:r w:rsidRPr="005A0D51">
        <w:rPr>
          <w:rFonts w:ascii="Arial" w:hAnsi="Arial" w:cs="Arial"/>
          <w:sz w:val="24"/>
          <w:szCs w:val="24"/>
        </w:rPr>
        <w:t>.</w:t>
      </w:r>
      <w:r w:rsidRPr="00F34655">
        <w:rPr>
          <w:rFonts w:ascii="Arial" w:hAnsi="Arial" w:cs="Arial"/>
          <w:sz w:val="24"/>
          <w:szCs w:val="24"/>
        </w:rPr>
        <w:t xml:space="preserve"> 2019;19(1):59-66. doi:10.24265/</w:t>
      </w:r>
      <w:proofErr w:type="gramStart"/>
      <w:r w:rsidRPr="00F34655">
        <w:rPr>
          <w:rFonts w:ascii="Arial" w:hAnsi="Arial" w:cs="Arial"/>
          <w:sz w:val="24"/>
          <w:szCs w:val="24"/>
        </w:rPr>
        <w:t>horizmed.2019.v</w:t>
      </w:r>
      <w:proofErr w:type="gramEnd"/>
      <w:r w:rsidRPr="00F34655">
        <w:rPr>
          <w:rFonts w:ascii="Arial" w:hAnsi="Arial" w:cs="Arial"/>
          <w:sz w:val="24"/>
          <w:szCs w:val="24"/>
        </w:rPr>
        <w:t>19n1.10</w:t>
      </w:r>
    </w:p>
    <w:p w14:paraId="722835C4"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Ministerio de Salud y Protección Social. Guía Para El Manejo de Emergencias Toxicológicas - Convenio 344 de 2016.; 2017.</w:t>
      </w:r>
    </w:p>
    <w:p w14:paraId="0BA38582"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lastRenderedPageBreak/>
        <w:t xml:space="preserve">Olivier Pascual N, </w:t>
      </w:r>
      <w:proofErr w:type="spellStart"/>
      <w:r w:rsidRPr="00F34655">
        <w:rPr>
          <w:rFonts w:ascii="Arial" w:hAnsi="Arial" w:cs="Arial"/>
          <w:sz w:val="24"/>
          <w:szCs w:val="24"/>
        </w:rPr>
        <w:t>Viéitez</w:t>
      </w:r>
      <w:proofErr w:type="spellEnd"/>
      <w:r w:rsidRPr="00F34655">
        <w:rPr>
          <w:rFonts w:ascii="Arial" w:hAnsi="Arial" w:cs="Arial"/>
          <w:sz w:val="24"/>
          <w:szCs w:val="24"/>
        </w:rPr>
        <w:t xml:space="preserve"> Vázquez J, Arbizu Duralde A, Asencio Durán M, Ruiz del Río N. Amaurosis bilateral como secuela de la intoxicación aguda por metanol: a propósito de un caso. </w:t>
      </w:r>
      <w:r w:rsidRPr="00FC09E1">
        <w:rPr>
          <w:rFonts w:ascii="Arial" w:hAnsi="Arial" w:cs="Arial"/>
          <w:iCs/>
          <w:sz w:val="24"/>
          <w:szCs w:val="24"/>
        </w:rPr>
        <w:t>Cuadernos de Medicina Forense</w:t>
      </w:r>
      <w:r w:rsidRPr="00FC09E1">
        <w:rPr>
          <w:rFonts w:ascii="Arial" w:hAnsi="Arial" w:cs="Arial"/>
          <w:sz w:val="24"/>
          <w:szCs w:val="24"/>
        </w:rPr>
        <w:t>. 2003;(32):43-47. doi:10.4321/s1135-76062003000200004</w:t>
      </w:r>
    </w:p>
    <w:p w14:paraId="1B4595E2"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proofErr w:type="spellStart"/>
      <w:r w:rsidRPr="00F34655">
        <w:rPr>
          <w:rFonts w:ascii="Arial" w:hAnsi="Arial" w:cs="Arial"/>
          <w:sz w:val="24"/>
          <w:szCs w:val="24"/>
        </w:rPr>
        <w:t>Benitez</w:t>
      </w:r>
      <w:proofErr w:type="spellEnd"/>
      <w:r w:rsidRPr="00F34655">
        <w:rPr>
          <w:rFonts w:ascii="Arial" w:hAnsi="Arial" w:cs="Arial"/>
          <w:sz w:val="24"/>
          <w:szCs w:val="24"/>
        </w:rPr>
        <w:t xml:space="preserve"> PR, Albalate M. Acidosis Metabólica Por Metanol - Caso Clínico.; 2021. </w:t>
      </w:r>
      <w:r>
        <w:rPr>
          <w:rFonts w:ascii="Arial" w:hAnsi="Arial" w:cs="Arial"/>
          <w:sz w:val="24"/>
          <w:szCs w:val="24"/>
        </w:rPr>
        <w:t xml:space="preserve">Disponible en: </w:t>
      </w:r>
      <w:hyperlink r:id="rId24" w:history="1">
        <w:r w:rsidRPr="00F34655">
          <w:rPr>
            <w:rStyle w:val="Hipervnculo"/>
            <w:rFonts w:ascii="Arial" w:hAnsi="Arial" w:cs="Arial"/>
            <w:sz w:val="24"/>
            <w:szCs w:val="24"/>
          </w:rPr>
          <w:t>https://www.nefrologiaaldia.org/es-articulo-acidosis-metabolica-por-metanol-367</w:t>
        </w:r>
      </w:hyperlink>
    </w:p>
    <w:p w14:paraId="5793C7C8"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García D, et al. Evaluación de riesgos a la salud por exposición a metales pesados en cercanías de sitios potencialmente peligrosos con actividad agrícola. Revista Cubana de Salud y Trabajo. 2012;1(13):8–10</w:t>
      </w:r>
    </w:p>
    <w:p w14:paraId="5B6424D6"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Ferrer A. Intoxicación por metales. Anales del Sistema Sanitario de Navarra. 2003; 26 (1): 141 – 153.</w:t>
      </w:r>
    </w:p>
    <w:p w14:paraId="2BE61623"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proofErr w:type="spellStart"/>
      <w:r w:rsidRPr="00600CFA">
        <w:rPr>
          <w:rFonts w:ascii="Arial" w:hAnsi="Arial" w:cs="Arial"/>
          <w:sz w:val="24"/>
          <w:szCs w:val="24"/>
        </w:rPr>
        <w:t>Nordberg</w:t>
      </w:r>
      <w:proofErr w:type="spellEnd"/>
      <w:r w:rsidRPr="00600CFA">
        <w:rPr>
          <w:rFonts w:ascii="Arial" w:hAnsi="Arial" w:cs="Arial"/>
          <w:sz w:val="24"/>
          <w:szCs w:val="24"/>
        </w:rPr>
        <w:t xml:space="preserve"> G. Metales: propiedades químicas y toxicidad. En: Enciclopedia de salud y seguridad en el trabajo. Madrid, España. Ministerio de trabajo y asuntos sociales; 2001; 63.1 – 63.76</w:t>
      </w:r>
    </w:p>
    <w:p w14:paraId="34EC01E0"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Ramírez A. Intoxicación ocupacional por mercurio. Anales de la Facultad de Medicina. 2008; 69 (1): 46-51.</w:t>
      </w:r>
    </w:p>
    <w:p w14:paraId="5D10BAF3"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 xml:space="preserve">Guirola J, et al. Intoxicación por mercurio y sus efectos a la salud. Revista de Toxicología en Línea. 2003; 63: 16 - 39. </w:t>
      </w:r>
    </w:p>
    <w:p w14:paraId="65E0EE8A"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Azcona – Cruz M, et al. Efectos tóxicos del plomo. Revista de Especialidades Médico-Quirúrgicas. 2015; 20 (1): 72-77</w:t>
      </w:r>
    </w:p>
    <w:p w14:paraId="012C246A" w14:textId="77777777" w:rsidR="00C42C07" w:rsidRPr="009275F0" w:rsidRDefault="00C42C07" w:rsidP="00C42C07">
      <w:pPr>
        <w:pStyle w:val="Prrafodelista"/>
        <w:numPr>
          <w:ilvl w:val="0"/>
          <w:numId w:val="3"/>
        </w:numPr>
        <w:jc w:val="both"/>
        <w:rPr>
          <w:rFonts w:ascii="Arial" w:hAnsi="Arial" w:cs="Arial"/>
          <w:sz w:val="24"/>
          <w:szCs w:val="24"/>
        </w:rPr>
      </w:pPr>
      <w:r w:rsidRPr="00600CFA">
        <w:rPr>
          <w:rFonts w:ascii="Arial" w:hAnsi="Arial" w:cs="Arial"/>
          <w:sz w:val="24"/>
          <w:szCs w:val="24"/>
        </w:rPr>
        <w:t xml:space="preserve">Rodríguez A, et al. Efectos nocivos del plomo para la salud del hombre. Revista </w:t>
      </w:r>
      <w:r w:rsidRPr="009275F0">
        <w:rPr>
          <w:rFonts w:ascii="Arial" w:hAnsi="Arial" w:cs="Arial"/>
          <w:sz w:val="24"/>
          <w:szCs w:val="24"/>
        </w:rPr>
        <w:t>Cubana de Investigaciones Biomédicas. 2016;35(3): 251:271</w:t>
      </w:r>
    </w:p>
    <w:p w14:paraId="157DA8CA" w14:textId="77777777" w:rsidR="00C42C07" w:rsidRPr="009275F0" w:rsidRDefault="00C42C07" w:rsidP="00C42C07">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Dick FD. Solvent neurotoxicity. Occup Environ Med [Internet]. 2006 Mar [cited 2021 Apr 12];63(3):221–6. Available from: /pmc/articles/PMC2078137/</w:t>
      </w:r>
    </w:p>
    <w:p w14:paraId="10C0FC4B" w14:textId="77777777" w:rsidR="00C42C07" w:rsidRPr="00600CFA" w:rsidRDefault="00C42C07" w:rsidP="00C42C07">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CDC. The Nationals</w:t>
      </w:r>
      <w:r>
        <w:rPr>
          <w:rFonts w:ascii="Arial" w:hAnsi="Arial" w:cs="Arial"/>
          <w:noProof/>
          <w:sz w:val="24"/>
          <w:szCs w:val="24"/>
        </w:rPr>
        <w:t xml:space="preserve"> Institute for Occupational Safety</w:t>
      </w:r>
      <w:r w:rsidRPr="009275F0">
        <w:rPr>
          <w:rFonts w:ascii="Arial" w:hAnsi="Arial" w:cs="Arial"/>
          <w:noProof/>
          <w:sz w:val="24"/>
          <w:szCs w:val="24"/>
        </w:rPr>
        <w:t xml:space="preserve"> </w:t>
      </w:r>
      <w:r>
        <w:rPr>
          <w:rFonts w:ascii="Arial" w:hAnsi="Arial" w:cs="Arial"/>
          <w:noProof/>
          <w:sz w:val="24"/>
          <w:szCs w:val="24"/>
        </w:rPr>
        <w:t>Organic Solvents. 2018. Disponible en</w:t>
      </w:r>
      <w:r w:rsidRPr="009275F0">
        <w:rPr>
          <w:rFonts w:ascii="Arial" w:hAnsi="Arial" w:cs="Arial"/>
          <w:noProof/>
          <w:sz w:val="24"/>
          <w:szCs w:val="24"/>
        </w:rPr>
        <w:t>:</w:t>
      </w:r>
      <w:r w:rsidRPr="00600CFA">
        <w:rPr>
          <w:rFonts w:ascii="Arial" w:hAnsi="Arial" w:cs="Arial"/>
          <w:noProof/>
          <w:sz w:val="24"/>
          <w:szCs w:val="24"/>
        </w:rPr>
        <w:t xml:space="preserve"> https://www.cdc.gov/niosh/topics/organsolv/default.html#Selected Publications</w:t>
      </w:r>
    </w:p>
    <w:p w14:paraId="569B7CFC" w14:textId="77777777" w:rsidR="00C42C07" w:rsidRPr="00600CFA" w:rsidRDefault="00C42C07" w:rsidP="00C42C07">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 xml:space="preserve">Brown KW, Armstrong TJ. Hydrocarbon Inhalation [Internet]. StatPearls. StatPearls Publishing; 2018. </w:t>
      </w:r>
      <w:r>
        <w:rPr>
          <w:rFonts w:ascii="Arial" w:hAnsi="Arial" w:cs="Arial"/>
          <w:noProof/>
          <w:sz w:val="24"/>
          <w:szCs w:val="24"/>
        </w:rPr>
        <w:t>Disponible en</w:t>
      </w:r>
      <w:r w:rsidRPr="00600CFA">
        <w:rPr>
          <w:rFonts w:ascii="Arial" w:hAnsi="Arial" w:cs="Arial"/>
          <w:noProof/>
          <w:sz w:val="24"/>
          <w:szCs w:val="24"/>
        </w:rPr>
        <w:t>: http://www.ncbi.nlm.nih.gov/pubmed/29262161</w:t>
      </w:r>
    </w:p>
    <w:p w14:paraId="2616A66E" w14:textId="77777777" w:rsidR="00C42C07" w:rsidRPr="00600CFA" w:rsidRDefault="00C42C07" w:rsidP="00C42C07">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Robledo FH. Riesgos químicos  [Internet]. Segunda edición. Vol. 1. EcoeEdiciones; 2008</w:t>
      </w:r>
      <w:r>
        <w:rPr>
          <w:rFonts w:ascii="Arial" w:hAnsi="Arial" w:cs="Arial"/>
          <w:noProof/>
          <w:sz w:val="24"/>
          <w:szCs w:val="24"/>
        </w:rPr>
        <w:t>.</w:t>
      </w:r>
      <w:r w:rsidRPr="00600CFA">
        <w:rPr>
          <w:rFonts w:ascii="Arial" w:hAnsi="Arial" w:cs="Arial"/>
          <w:noProof/>
          <w:sz w:val="24"/>
          <w:szCs w:val="24"/>
        </w:rPr>
        <w:t xml:space="preserve"> </w:t>
      </w:r>
      <w:r>
        <w:rPr>
          <w:rFonts w:ascii="Arial" w:hAnsi="Arial" w:cs="Arial"/>
          <w:noProof/>
          <w:sz w:val="24"/>
          <w:szCs w:val="24"/>
        </w:rPr>
        <w:t>Dispobible en</w:t>
      </w:r>
      <w:r w:rsidRPr="00600CFA">
        <w:rPr>
          <w:rFonts w:ascii="Arial" w:hAnsi="Arial" w:cs="Arial"/>
          <w:noProof/>
          <w:sz w:val="24"/>
          <w:szCs w:val="24"/>
        </w:rPr>
        <w:t>: https://www.ecoeediciones.com/wp-content/uploads/2015/08/Riesgos-quimicos-2da-Edición.pdf</w:t>
      </w:r>
    </w:p>
    <w:p w14:paraId="4DFB81B5" w14:textId="33B23B05" w:rsidR="00C42C07" w:rsidRDefault="00C42C07" w:rsidP="00C42C07">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600CFA">
        <w:rPr>
          <w:rFonts w:ascii="Arial" w:hAnsi="Arial" w:cs="Arial"/>
          <w:noProof/>
          <w:sz w:val="24"/>
          <w:szCs w:val="24"/>
        </w:rPr>
        <w:t>Martínez A, Cruz A, Agudelo A, Restrepo A, Estrada A, Ramirez A, et al. Guía para el Manejo de Emergencias Toxicológicas  2017</w:t>
      </w:r>
      <w:r>
        <w:rPr>
          <w:rFonts w:ascii="Arial" w:hAnsi="Arial" w:cs="Arial"/>
          <w:noProof/>
          <w:sz w:val="24"/>
          <w:szCs w:val="24"/>
        </w:rPr>
        <w:t>.Dispobible en</w:t>
      </w:r>
      <w:r w:rsidRPr="00600CFA">
        <w:rPr>
          <w:rFonts w:ascii="Arial" w:hAnsi="Arial" w:cs="Arial"/>
          <w:noProof/>
          <w:sz w:val="24"/>
          <w:szCs w:val="24"/>
        </w:rPr>
        <w:t xml:space="preserve">: </w:t>
      </w:r>
      <w:hyperlink r:id="rId25" w:history="1">
        <w:r w:rsidR="0080344F" w:rsidRPr="005C709C">
          <w:rPr>
            <w:rStyle w:val="Hipervnculo"/>
            <w:rFonts w:ascii="Arial" w:hAnsi="Arial" w:cs="Arial"/>
            <w:noProof/>
            <w:sz w:val="24"/>
            <w:szCs w:val="24"/>
          </w:rPr>
          <w:t>https://www.minsalud.gov.co/sites/rid/Lists/BibliotecaDigital/RIDE/DE/GT/guias-manejo-emergencias-toxicologicas-outpout.pdf</w:t>
        </w:r>
      </w:hyperlink>
    </w:p>
    <w:p w14:paraId="54F5517C" w14:textId="56CE1AE4" w:rsidR="0080344F" w:rsidRDefault="0080344F" w:rsidP="0080344F">
      <w:pPr>
        <w:widowControl w:val="0"/>
        <w:autoSpaceDE w:val="0"/>
        <w:autoSpaceDN w:val="0"/>
        <w:adjustRightInd w:val="0"/>
        <w:spacing w:line="240" w:lineRule="auto"/>
        <w:rPr>
          <w:rFonts w:ascii="Arial" w:hAnsi="Arial" w:cs="Arial"/>
          <w:noProof/>
          <w:sz w:val="24"/>
          <w:szCs w:val="24"/>
        </w:rPr>
      </w:pPr>
    </w:p>
    <w:p w14:paraId="5D4EDA47" w14:textId="372CFB7A" w:rsidR="0080344F" w:rsidRDefault="00DA3A59" w:rsidP="0080344F">
      <w:pPr>
        <w:widowControl w:val="0"/>
        <w:autoSpaceDE w:val="0"/>
        <w:autoSpaceDN w:val="0"/>
        <w:adjustRightInd w:val="0"/>
        <w:spacing w:line="240" w:lineRule="auto"/>
        <w:rPr>
          <w:rFonts w:ascii="Arial" w:hAnsi="Arial" w:cs="Arial"/>
          <w:noProof/>
          <w:sz w:val="24"/>
          <w:szCs w:val="24"/>
        </w:rPr>
      </w:pPr>
      <w:r>
        <w:rPr>
          <w:rFonts w:ascii="Arial" w:hAnsi="Arial" w:cs="Arial"/>
          <w:noProof/>
          <w:sz w:val="24"/>
          <w:szCs w:val="24"/>
        </w:rPr>
        <w:t>Unidad</w:t>
      </w:r>
      <w:r w:rsidR="005326B5">
        <w:rPr>
          <w:rFonts w:ascii="Arial" w:hAnsi="Arial" w:cs="Arial"/>
          <w:noProof/>
          <w:sz w:val="24"/>
          <w:szCs w:val="24"/>
        </w:rPr>
        <w:t xml:space="preserve"> 4</w:t>
      </w:r>
    </w:p>
    <w:p w14:paraId="512B8464"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Hoffman RS, Burns MM, Gosselin S. Ingestion of Caustic Substances. Longo DL, editor. N Engl J Med. 2020 Apr 30 [cited 2021 Jun 15];382(18):1739–48. Available from: </w:t>
      </w:r>
      <w:hyperlink r:id="rId26" w:history="1">
        <w:r w:rsidRPr="00596F90">
          <w:rPr>
            <w:rStyle w:val="Hipervnculo"/>
            <w:rFonts w:ascii="Arial" w:hAnsi="Arial" w:cs="Arial"/>
            <w:noProof/>
            <w:sz w:val="24"/>
            <w:szCs w:val="24"/>
          </w:rPr>
          <w:t>http://www.nejm.org/doi/10.1056/NEJMra1810769</w:t>
        </w:r>
      </w:hyperlink>
    </w:p>
    <w:p w14:paraId="0D82CED1"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lastRenderedPageBreak/>
        <w:t>Fishman DS. Caustic esophageal injury in children Caustic esophageal injury in children. 2013 [cited 2021 Jun 16];1:1–15. Available from: https://www-uptodate-com.aure.unab.edu.co/contents/caustic-esophageal-injury-in-children/print?search=Caustic ingestions &amp;source=search_result&amp;selectedTitle=2~33&amp;usage_type=default&amp;display_rank=2</w:t>
      </w:r>
    </w:p>
    <w:p w14:paraId="6E44DD46"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Bielecki JE, Gupta V. Caustic Ingestions [Internet]. StatPearls. StatPearls Publishing; 2021 [cited 2021 Jun 16]. Available from: </w:t>
      </w:r>
      <w:hyperlink r:id="rId27" w:history="1">
        <w:r w:rsidRPr="00596F90">
          <w:rPr>
            <w:rStyle w:val="Hipervnculo"/>
            <w:rFonts w:ascii="Arial" w:hAnsi="Arial" w:cs="Arial"/>
            <w:noProof/>
            <w:sz w:val="24"/>
            <w:szCs w:val="24"/>
          </w:rPr>
          <w:t>http://www.ncbi.nlm.nih.gov/pubmed/32491374</w:t>
        </w:r>
      </w:hyperlink>
    </w:p>
    <w:p w14:paraId="62E9ACDB"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Calello DP, Henretig FM. Lead. En Hoffman RS, Nelson LS LN, Goldfrank LR et al. Goldfrank’s Toxicologix Emergencies. 10</w:t>
      </w:r>
      <w:r w:rsidRPr="00596F90">
        <w:rPr>
          <w:rFonts w:ascii="Arial" w:hAnsi="Arial" w:cs="Arial"/>
          <w:noProof/>
          <w:sz w:val="24"/>
          <w:szCs w:val="24"/>
          <w:vertAlign w:val="superscript"/>
        </w:rPr>
        <w:t>a</w:t>
      </w:r>
      <w:r w:rsidRPr="00596F90">
        <w:rPr>
          <w:rFonts w:ascii="Arial" w:hAnsi="Arial" w:cs="Arial"/>
          <w:noProof/>
          <w:sz w:val="24"/>
          <w:szCs w:val="24"/>
        </w:rPr>
        <w:t xml:space="preserve"> ed. Hill :McGraw, editor. New York</w:t>
      </w:r>
    </w:p>
    <w:p w14:paraId="39993316"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Martínez A, Cruz A, Agudelo A, Restrepo A, Estrada A, Ramirez A, et al. Guía para el Manejo de Emergencias Toxicológicas [Internet]. 2017th ed. Vol. 1, Guía para el Manejo de Emergencias Toxicológicas. Bogotá; 2016 [cited 2021 Jun 15]. 640 p. Available from: </w:t>
      </w:r>
      <w:hyperlink r:id="rId28" w:history="1">
        <w:r w:rsidRPr="00596F90">
          <w:rPr>
            <w:rStyle w:val="Hipervnculo"/>
            <w:rFonts w:ascii="Arial" w:hAnsi="Arial" w:cs="Arial"/>
            <w:noProof/>
            <w:sz w:val="24"/>
            <w:szCs w:val="24"/>
          </w:rPr>
          <w:t>https://www.minsalud.gov.co/sites/rid/Lists/BibliotecaDigital/RIDE/DE/GT/guias-manejo-emergencias-toxicologicas-outpout.pdf</w:t>
        </w:r>
      </w:hyperlink>
    </w:p>
    <w:p w14:paraId="4549B18D"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CDC - The Emergency Response Safety and Health Database: Systemic Agent: WHITE PHOSPHORUS - NIOSH [Internet]. [cited 2021 Jun 16]. Available from: </w:t>
      </w:r>
      <w:hyperlink r:id="rId29" w:history="1">
        <w:r w:rsidRPr="00596F90">
          <w:rPr>
            <w:rStyle w:val="Hipervnculo"/>
            <w:rFonts w:ascii="Arial" w:hAnsi="Arial" w:cs="Arial"/>
            <w:noProof/>
            <w:sz w:val="24"/>
            <w:szCs w:val="24"/>
          </w:rPr>
          <w:t>https://www.cdc.gov/niosh/ershdb/emergencyresponsecard_29750025.htm</w:t>
        </w:r>
      </w:hyperlink>
    </w:p>
    <w:p w14:paraId="372D50E7"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Ravikanth R, Sandeep S, Philip B. Acute yellow phosphorus poisoning causing fulminant hepatic failure with parenchymal hemorrhages and contained duodenal perforation. Indian J Crit Care Med [Internet]. 2017 Apr 1 [cited 2021 Jun 16];21(4):238–42. Available from: /pmc/articles/PMC5416795</w:t>
      </w:r>
    </w:p>
    <w:p w14:paraId="60859039"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Gonźlez-Andrade F, López-Pulles R. White phosphorus poisoning by oral ingestion of firecrackers or little devils: Current experience in Ecuador. Clin Toxicol [Internet]. 2011 Jan [cited 2021 Jun 16];49(1):29–33. Available from: </w:t>
      </w:r>
      <w:hyperlink r:id="rId30" w:history="1">
        <w:r w:rsidRPr="00596F90">
          <w:rPr>
            <w:rStyle w:val="Hipervnculo"/>
            <w:rFonts w:ascii="Arial" w:hAnsi="Arial" w:cs="Arial"/>
            <w:noProof/>
            <w:sz w:val="24"/>
            <w:szCs w:val="24"/>
          </w:rPr>
          <w:t>https://www.tandfonline.com/doi/abs/10.3109/15563650.2010.547860</w:t>
        </w:r>
      </w:hyperlink>
    </w:p>
    <w:p w14:paraId="7EFAC088"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Prakash Soni J, Suresh Ghormade P, Akhade S, Chavali K, Sarma B. A fatal case of multi-organ failure in acute yellow phosphorus poisoning Article / Autopsy Case Report. 2020 [cited 2021 Jun 16]; Available from: </w:t>
      </w:r>
      <w:hyperlink r:id="rId31" w:history="1">
        <w:r w:rsidRPr="00596F90">
          <w:rPr>
            <w:rStyle w:val="Hipervnculo"/>
            <w:rFonts w:ascii="Arial" w:hAnsi="Arial" w:cs="Arial"/>
            <w:noProof/>
            <w:sz w:val="24"/>
            <w:szCs w:val="24"/>
          </w:rPr>
          <w:t>https://doi.org/10.4322/acr.2020.146</w:t>
        </w:r>
      </w:hyperlink>
    </w:p>
    <w:p w14:paraId="74B91BD6"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Mauskar A, Mehta K, Nagotkar L, Shanbag P. Acute hepatic failure due to yellow phosphorus ingestion. Indian J Pharmacol [Internet]. 2011 Jun [cited 2021 Jun 16];43(3):355–6. Available from: /pmc/articles/PMC3113395/</w:t>
      </w:r>
    </w:p>
    <w:p w14:paraId="7C6DD973"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Mohanka R, Rao P, Shah M, Gupte A, Nikam V, Vohra M, et al. Acute Liver Failure Secondary to Yellow Phosphorus Rodenticide Poisoning: Outcomes at a Center With Dedicated Liver Intensive Care and Transplant Unit. J Clin Exp Hepatol [Internet]. 2020 [cited 2021 Jun 16]; Available from: /pmc/articles/PMC7543916</w:t>
      </w:r>
    </w:p>
    <w:p w14:paraId="1D3C0299" w14:textId="77777777" w:rsidR="00DA6CAC" w:rsidRPr="00596F90" w:rsidRDefault="00DA6CAC" w:rsidP="00DA6CAC">
      <w:pPr>
        <w:pStyle w:val="Prrafodelista"/>
        <w:numPr>
          <w:ilvl w:val="0"/>
          <w:numId w:val="4"/>
        </w:numPr>
        <w:jc w:val="both"/>
        <w:rPr>
          <w:rFonts w:ascii="Arial" w:eastAsia="Calibri" w:hAnsi="Arial" w:cs="Arial"/>
          <w:sz w:val="24"/>
          <w:szCs w:val="24"/>
        </w:rPr>
      </w:pPr>
      <w:proofErr w:type="spellStart"/>
      <w:r w:rsidRPr="00596F90">
        <w:rPr>
          <w:rFonts w:ascii="Arial" w:hAnsi="Arial" w:cs="Arial"/>
          <w:sz w:val="24"/>
          <w:szCs w:val="24"/>
        </w:rPr>
        <w:t>Laita</w:t>
      </w:r>
      <w:proofErr w:type="spellEnd"/>
      <w:r w:rsidRPr="00596F90">
        <w:rPr>
          <w:rFonts w:ascii="Arial" w:hAnsi="Arial" w:cs="Arial"/>
          <w:sz w:val="24"/>
          <w:szCs w:val="24"/>
        </w:rPr>
        <w:t xml:space="preserve"> AD, </w:t>
      </w:r>
      <w:proofErr w:type="spellStart"/>
      <w:r w:rsidRPr="00596F90">
        <w:rPr>
          <w:rFonts w:ascii="Arial" w:hAnsi="Arial" w:cs="Arial"/>
          <w:sz w:val="24"/>
          <w:szCs w:val="24"/>
        </w:rPr>
        <w:t>Mambrilla</w:t>
      </w:r>
      <w:proofErr w:type="spellEnd"/>
      <w:r w:rsidRPr="00596F90">
        <w:rPr>
          <w:rFonts w:ascii="Arial" w:hAnsi="Arial" w:cs="Arial"/>
          <w:sz w:val="24"/>
          <w:szCs w:val="24"/>
        </w:rPr>
        <w:t xml:space="preserve"> MR, Castrillón JLP. Enfermedades por tóxicos: intoxicaciones por gases y metales. Medicine - Programa de Formación Médica Continuada Acreditado [Internet]. 2018 </w:t>
      </w:r>
      <w:proofErr w:type="spellStart"/>
      <w:r w:rsidRPr="00596F90">
        <w:rPr>
          <w:rFonts w:ascii="Arial" w:hAnsi="Arial" w:cs="Arial"/>
          <w:sz w:val="24"/>
          <w:szCs w:val="24"/>
        </w:rPr>
        <w:t>Dec</w:t>
      </w:r>
      <w:proofErr w:type="spellEnd"/>
      <w:r w:rsidRPr="00596F90">
        <w:rPr>
          <w:rFonts w:ascii="Arial" w:hAnsi="Arial" w:cs="Arial"/>
          <w:sz w:val="24"/>
          <w:szCs w:val="24"/>
        </w:rPr>
        <w:t xml:space="preserve"> 1 [</w:t>
      </w:r>
      <w:proofErr w:type="spellStart"/>
      <w:r w:rsidRPr="00596F90">
        <w:rPr>
          <w:rFonts w:ascii="Arial" w:hAnsi="Arial" w:cs="Arial"/>
          <w:sz w:val="24"/>
          <w:szCs w:val="24"/>
        </w:rPr>
        <w:t>cited</w:t>
      </w:r>
      <w:proofErr w:type="spellEnd"/>
      <w:r w:rsidRPr="00596F90">
        <w:rPr>
          <w:rFonts w:ascii="Arial" w:hAnsi="Arial" w:cs="Arial"/>
          <w:sz w:val="24"/>
          <w:szCs w:val="24"/>
        </w:rPr>
        <w:t xml:space="preserve"> 2021 Jul 26];12(69):4027–42. </w:t>
      </w:r>
      <w:r w:rsidRPr="00596F90">
        <w:rPr>
          <w:rFonts w:ascii="Arial" w:hAnsi="Arial" w:cs="Arial"/>
          <w:sz w:val="24"/>
          <w:szCs w:val="24"/>
          <w:lang w:val="en-US"/>
        </w:rPr>
        <w:t xml:space="preserve">Available from: </w:t>
      </w:r>
      <w:hyperlink r:id="rId32" w:history="1">
        <w:r w:rsidRPr="00596F90">
          <w:rPr>
            <w:rStyle w:val="Hipervnculo"/>
            <w:rFonts w:ascii="Arial" w:hAnsi="Arial" w:cs="Arial"/>
            <w:sz w:val="24"/>
            <w:szCs w:val="24"/>
            <w:lang w:val="en-US"/>
          </w:rPr>
          <w:t>https://linkinghub.elsevier.com/retrieve/pii/S0304541218302993</w:t>
        </w:r>
      </w:hyperlink>
    </w:p>
    <w:p w14:paraId="223C57C3" w14:textId="77777777" w:rsidR="00DA6CAC" w:rsidRPr="00596F90" w:rsidRDefault="00DA6CAC" w:rsidP="00DA6CAC">
      <w:pPr>
        <w:pStyle w:val="Prrafodelista"/>
        <w:numPr>
          <w:ilvl w:val="0"/>
          <w:numId w:val="4"/>
        </w:numPr>
        <w:jc w:val="both"/>
        <w:rPr>
          <w:rFonts w:ascii="Arial" w:eastAsia="Calibri" w:hAnsi="Arial" w:cs="Arial"/>
          <w:sz w:val="24"/>
          <w:szCs w:val="24"/>
        </w:rPr>
      </w:pPr>
      <w:proofErr w:type="spellStart"/>
      <w:r w:rsidRPr="00596F90">
        <w:rPr>
          <w:rFonts w:ascii="Arial" w:hAnsi="Arial" w:cs="Arial"/>
          <w:sz w:val="24"/>
          <w:szCs w:val="24"/>
          <w:lang w:val="en-US"/>
        </w:rPr>
        <w:lastRenderedPageBreak/>
        <w:t>Meulenbelt</w:t>
      </w:r>
      <w:proofErr w:type="spellEnd"/>
      <w:r w:rsidRPr="00596F90">
        <w:rPr>
          <w:rFonts w:ascii="Arial" w:hAnsi="Arial" w:cs="Arial"/>
          <w:sz w:val="24"/>
          <w:szCs w:val="24"/>
          <w:lang w:val="en-US"/>
        </w:rPr>
        <w:t xml:space="preserve"> J. Irritant gases. Medicine [Internet]. 2016 Mar 1 [cited 2021 Jul 27];44(3):175–8. Available from: </w:t>
      </w:r>
      <w:hyperlink r:id="rId33" w:history="1">
        <w:r w:rsidRPr="00596F90">
          <w:rPr>
            <w:rStyle w:val="Hipervnculo"/>
            <w:rFonts w:ascii="Arial" w:hAnsi="Arial" w:cs="Arial"/>
            <w:sz w:val="24"/>
            <w:szCs w:val="24"/>
            <w:lang w:val="en-US"/>
          </w:rPr>
          <w:t>https://linkinghub.elsevier.com/retrieve/pii/S1357303915003217</w:t>
        </w:r>
      </w:hyperlink>
    </w:p>
    <w:p w14:paraId="7FFFA5CF" w14:textId="77777777" w:rsidR="00DA6CAC" w:rsidRPr="00596F90" w:rsidRDefault="00DA6CAC" w:rsidP="00DA6CAC">
      <w:pPr>
        <w:pStyle w:val="Prrafodelista"/>
        <w:numPr>
          <w:ilvl w:val="0"/>
          <w:numId w:val="4"/>
        </w:numPr>
        <w:jc w:val="both"/>
        <w:rPr>
          <w:rFonts w:ascii="Arial" w:eastAsia="Calibri" w:hAnsi="Arial" w:cs="Arial"/>
          <w:sz w:val="24"/>
          <w:szCs w:val="24"/>
        </w:rPr>
      </w:pPr>
      <w:r w:rsidRPr="00596F90">
        <w:rPr>
          <w:rFonts w:ascii="Arial" w:hAnsi="Arial" w:cs="Arial"/>
          <w:sz w:val="24"/>
          <w:szCs w:val="24"/>
          <w:lang w:val="en-US"/>
        </w:rPr>
        <w:t xml:space="preserve">Eichhorn L, </w:t>
      </w:r>
      <w:proofErr w:type="spellStart"/>
      <w:r w:rsidRPr="00596F90">
        <w:rPr>
          <w:rFonts w:ascii="Arial" w:hAnsi="Arial" w:cs="Arial"/>
          <w:sz w:val="24"/>
          <w:szCs w:val="24"/>
          <w:lang w:val="en-US"/>
        </w:rPr>
        <w:t>Thudium</w:t>
      </w:r>
      <w:proofErr w:type="spellEnd"/>
      <w:r w:rsidRPr="00596F90">
        <w:rPr>
          <w:rFonts w:ascii="Arial" w:hAnsi="Arial" w:cs="Arial"/>
          <w:sz w:val="24"/>
          <w:szCs w:val="24"/>
          <w:lang w:val="en-US"/>
        </w:rPr>
        <w:t xml:space="preserve"> M, </w:t>
      </w:r>
      <w:proofErr w:type="spellStart"/>
      <w:r w:rsidRPr="00596F90">
        <w:rPr>
          <w:rFonts w:ascii="Arial" w:hAnsi="Arial" w:cs="Arial"/>
          <w:sz w:val="24"/>
          <w:szCs w:val="24"/>
          <w:lang w:val="en-US"/>
        </w:rPr>
        <w:t>Jüttner</w:t>
      </w:r>
      <w:proofErr w:type="spellEnd"/>
      <w:r w:rsidRPr="00596F90">
        <w:rPr>
          <w:rFonts w:ascii="Arial" w:hAnsi="Arial" w:cs="Arial"/>
          <w:sz w:val="24"/>
          <w:szCs w:val="24"/>
          <w:lang w:val="en-US"/>
        </w:rPr>
        <w:t xml:space="preserve"> B. The Diagnosis and Treatment of Carbon Monoxide Poisoning. </w:t>
      </w:r>
      <w:proofErr w:type="spellStart"/>
      <w:r w:rsidRPr="00596F90">
        <w:rPr>
          <w:rFonts w:ascii="Arial" w:hAnsi="Arial" w:cs="Arial"/>
          <w:sz w:val="24"/>
          <w:szCs w:val="24"/>
          <w:lang w:val="en-US"/>
        </w:rPr>
        <w:t>Deutsches</w:t>
      </w:r>
      <w:proofErr w:type="spellEnd"/>
      <w:r w:rsidRPr="00596F90">
        <w:rPr>
          <w:rFonts w:ascii="Arial" w:hAnsi="Arial" w:cs="Arial"/>
          <w:sz w:val="24"/>
          <w:szCs w:val="24"/>
          <w:lang w:val="en-US"/>
        </w:rPr>
        <w:t xml:space="preserve"> </w:t>
      </w:r>
      <w:proofErr w:type="spellStart"/>
      <w:r w:rsidRPr="00596F90">
        <w:rPr>
          <w:rFonts w:ascii="Arial" w:hAnsi="Arial" w:cs="Arial"/>
          <w:sz w:val="24"/>
          <w:szCs w:val="24"/>
          <w:lang w:val="en-US"/>
        </w:rPr>
        <w:t>Ärzteblatt</w:t>
      </w:r>
      <w:proofErr w:type="spellEnd"/>
      <w:r w:rsidRPr="00596F90">
        <w:rPr>
          <w:rFonts w:ascii="Arial" w:hAnsi="Arial" w:cs="Arial"/>
          <w:sz w:val="24"/>
          <w:szCs w:val="24"/>
          <w:lang w:val="en-US"/>
        </w:rPr>
        <w:t xml:space="preserve"> International [Internet]. 2018 Dec 24 [cited 2021 Jul 27];115(51–52):863. Available from: /</w:t>
      </w:r>
      <w:proofErr w:type="spellStart"/>
      <w:r w:rsidRPr="00596F90">
        <w:rPr>
          <w:rFonts w:ascii="Arial" w:hAnsi="Arial" w:cs="Arial"/>
          <w:sz w:val="24"/>
          <w:szCs w:val="24"/>
          <w:lang w:val="en-US"/>
        </w:rPr>
        <w:t>pmc</w:t>
      </w:r>
      <w:proofErr w:type="spellEnd"/>
      <w:r w:rsidRPr="00596F90">
        <w:rPr>
          <w:rFonts w:ascii="Arial" w:hAnsi="Arial" w:cs="Arial"/>
          <w:sz w:val="24"/>
          <w:szCs w:val="24"/>
          <w:lang w:val="en-US"/>
        </w:rPr>
        <w:t>/articles/PMC6381775/</w:t>
      </w:r>
    </w:p>
    <w:p w14:paraId="0D88EB77" w14:textId="77777777" w:rsidR="00DA6CAC" w:rsidRPr="00596F90" w:rsidRDefault="00DA6CAC" w:rsidP="00DA6CAC">
      <w:pPr>
        <w:pStyle w:val="Prrafodelista"/>
        <w:numPr>
          <w:ilvl w:val="0"/>
          <w:numId w:val="4"/>
        </w:numPr>
        <w:jc w:val="both"/>
        <w:rPr>
          <w:rFonts w:ascii="Arial" w:eastAsia="Calibri" w:hAnsi="Arial" w:cs="Arial"/>
          <w:sz w:val="24"/>
          <w:szCs w:val="24"/>
        </w:rPr>
      </w:pPr>
      <w:r w:rsidRPr="00596F90">
        <w:rPr>
          <w:rFonts w:ascii="Arial" w:hAnsi="Arial" w:cs="Arial"/>
          <w:sz w:val="24"/>
          <w:szCs w:val="24"/>
          <w:lang w:val="en-US"/>
        </w:rPr>
        <w:t xml:space="preserve">Kinoshita H, </w:t>
      </w:r>
      <w:proofErr w:type="spellStart"/>
      <w:r w:rsidRPr="00596F90">
        <w:rPr>
          <w:rFonts w:ascii="Arial" w:hAnsi="Arial" w:cs="Arial"/>
          <w:sz w:val="24"/>
          <w:szCs w:val="24"/>
          <w:lang w:val="en-US"/>
        </w:rPr>
        <w:t>Türkan</w:t>
      </w:r>
      <w:proofErr w:type="spellEnd"/>
      <w:r w:rsidRPr="00596F90">
        <w:rPr>
          <w:rFonts w:ascii="Arial" w:hAnsi="Arial" w:cs="Arial"/>
          <w:sz w:val="24"/>
          <w:szCs w:val="24"/>
          <w:lang w:val="en-US"/>
        </w:rPr>
        <w:t xml:space="preserve"> H, </w:t>
      </w:r>
      <w:proofErr w:type="spellStart"/>
      <w:r w:rsidRPr="00596F90">
        <w:rPr>
          <w:rFonts w:ascii="Arial" w:hAnsi="Arial" w:cs="Arial"/>
          <w:sz w:val="24"/>
          <w:szCs w:val="24"/>
          <w:lang w:val="en-US"/>
        </w:rPr>
        <w:t>Vucinic</w:t>
      </w:r>
      <w:proofErr w:type="spellEnd"/>
      <w:r w:rsidRPr="00596F90">
        <w:rPr>
          <w:rFonts w:ascii="Arial" w:hAnsi="Arial" w:cs="Arial"/>
          <w:sz w:val="24"/>
          <w:szCs w:val="24"/>
          <w:lang w:val="en-US"/>
        </w:rPr>
        <w:t xml:space="preserve"> S, Naqvi S, </w:t>
      </w:r>
      <w:proofErr w:type="spellStart"/>
      <w:r w:rsidRPr="00596F90">
        <w:rPr>
          <w:rFonts w:ascii="Arial" w:hAnsi="Arial" w:cs="Arial"/>
          <w:sz w:val="24"/>
          <w:szCs w:val="24"/>
          <w:lang w:val="en-US"/>
        </w:rPr>
        <w:t>Bedair</w:t>
      </w:r>
      <w:proofErr w:type="spellEnd"/>
      <w:r w:rsidRPr="00596F90">
        <w:rPr>
          <w:rFonts w:ascii="Arial" w:hAnsi="Arial" w:cs="Arial"/>
          <w:sz w:val="24"/>
          <w:szCs w:val="24"/>
          <w:lang w:val="en-US"/>
        </w:rPr>
        <w:t xml:space="preserve"> R, </w:t>
      </w:r>
      <w:proofErr w:type="spellStart"/>
      <w:r w:rsidRPr="00596F90">
        <w:rPr>
          <w:rFonts w:ascii="Arial" w:hAnsi="Arial" w:cs="Arial"/>
          <w:sz w:val="24"/>
          <w:szCs w:val="24"/>
          <w:lang w:val="en-US"/>
        </w:rPr>
        <w:t>Rezaee</w:t>
      </w:r>
      <w:proofErr w:type="spellEnd"/>
      <w:r w:rsidRPr="00596F90">
        <w:rPr>
          <w:rFonts w:ascii="Arial" w:hAnsi="Arial" w:cs="Arial"/>
          <w:sz w:val="24"/>
          <w:szCs w:val="24"/>
          <w:lang w:val="en-US"/>
        </w:rPr>
        <w:t xml:space="preserve"> R, et al. Carbon monoxide poisoning. Toxicology Reports [Internet]. 2020 Jan 1 [cited 2021 Jul 27</w:t>
      </w:r>
      <w:proofErr w:type="gramStart"/>
      <w:r w:rsidRPr="00596F90">
        <w:rPr>
          <w:rFonts w:ascii="Arial" w:hAnsi="Arial" w:cs="Arial"/>
          <w:sz w:val="24"/>
          <w:szCs w:val="24"/>
          <w:lang w:val="en-US"/>
        </w:rPr>
        <w:t>];7:169</w:t>
      </w:r>
      <w:proofErr w:type="gramEnd"/>
      <w:r w:rsidRPr="00596F90">
        <w:rPr>
          <w:rFonts w:ascii="Arial" w:hAnsi="Arial" w:cs="Arial"/>
          <w:sz w:val="24"/>
          <w:szCs w:val="24"/>
          <w:lang w:val="en-US"/>
        </w:rPr>
        <w:t>–73.</w:t>
      </w:r>
    </w:p>
    <w:p w14:paraId="58BDF20C" w14:textId="77777777" w:rsidR="00DA6CAC" w:rsidRPr="00596F90" w:rsidRDefault="00DA6CAC" w:rsidP="00DA6CAC">
      <w:pPr>
        <w:pStyle w:val="Prrafodelista"/>
        <w:numPr>
          <w:ilvl w:val="0"/>
          <w:numId w:val="4"/>
        </w:numPr>
        <w:jc w:val="both"/>
        <w:rPr>
          <w:rFonts w:ascii="Arial" w:hAnsi="Arial" w:cs="Arial"/>
          <w:sz w:val="24"/>
          <w:szCs w:val="24"/>
          <w:lang w:val="en-US"/>
        </w:rPr>
      </w:pPr>
      <w:r w:rsidRPr="00596F90">
        <w:rPr>
          <w:rFonts w:ascii="Arial" w:hAnsi="Arial" w:cs="Arial"/>
          <w:sz w:val="24"/>
          <w:szCs w:val="24"/>
          <w:lang w:val="en-US"/>
        </w:rPr>
        <w:t xml:space="preserve">Pollack Jr. Charles V. and Platt M and CRM and RVG and BJF. Carbon Monoxide Poisoning. In: Pollack Jr. C v, editor. Differential Diagnosis of Cardiopulmonary Disease: A Handbook [Internet]. Cham: Springer International Publishing; 2019. p. 259–68. Available from: </w:t>
      </w:r>
      <w:hyperlink r:id="rId34" w:history="1">
        <w:r w:rsidRPr="00596F90">
          <w:rPr>
            <w:rStyle w:val="Hipervnculo"/>
            <w:rFonts w:ascii="Arial" w:hAnsi="Arial" w:cs="Arial"/>
            <w:sz w:val="24"/>
            <w:szCs w:val="24"/>
            <w:lang w:val="en-US"/>
          </w:rPr>
          <w:t>https://doi.org/10.1007/978-3-319-63895-9_16</w:t>
        </w:r>
      </w:hyperlink>
    </w:p>
    <w:p w14:paraId="09FB8A95" w14:textId="77777777" w:rsidR="00DA6CAC" w:rsidRPr="00596F90" w:rsidRDefault="00DA6CAC" w:rsidP="00DA6CAC">
      <w:pPr>
        <w:pStyle w:val="Prrafodelista"/>
        <w:numPr>
          <w:ilvl w:val="0"/>
          <w:numId w:val="4"/>
        </w:numPr>
        <w:jc w:val="both"/>
        <w:rPr>
          <w:rFonts w:ascii="Arial" w:hAnsi="Arial" w:cs="Arial"/>
          <w:sz w:val="24"/>
          <w:szCs w:val="24"/>
          <w:lang w:val="en-US"/>
        </w:rPr>
      </w:pPr>
      <w:r w:rsidRPr="00596F90">
        <w:rPr>
          <w:rFonts w:ascii="Arial" w:hAnsi="Arial" w:cs="Arial"/>
          <w:sz w:val="24"/>
          <w:szCs w:val="24"/>
          <w:lang w:val="en-US"/>
        </w:rPr>
        <w:t xml:space="preserve">Zellner T, Eyer F. Choking agents and chlorine gas – History, pathophysiology, clinical </w:t>
      </w:r>
      <w:proofErr w:type="gramStart"/>
      <w:r w:rsidRPr="00596F90">
        <w:rPr>
          <w:rFonts w:ascii="Arial" w:hAnsi="Arial" w:cs="Arial"/>
          <w:sz w:val="24"/>
          <w:szCs w:val="24"/>
          <w:lang w:val="en-US"/>
        </w:rPr>
        <w:t>effects</w:t>
      </w:r>
      <w:proofErr w:type="gramEnd"/>
      <w:r w:rsidRPr="00596F90">
        <w:rPr>
          <w:rFonts w:ascii="Arial" w:hAnsi="Arial" w:cs="Arial"/>
          <w:sz w:val="24"/>
          <w:szCs w:val="24"/>
          <w:lang w:val="en-US"/>
        </w:rPr>
        <w:t xml:space="preserve"> and treatment. Toxicology Letters. 2020 Mar </w:t>
      </w:r>
      <w:proofErr w:type="gramStart"/>
      <w:r w:rsidRPr="00596F90">
        <w:rPr>
          <w:rFonts w:ascii="Arial" w:hAnsi="Arial" w:cs="Arial"/>
          <w:sz w:val="24"/>
          <w:szCs w:val="24"/>
          <w:lang w:val="en-US"/>
        </w:rPr>
        <w:t>1;320:73</w:t>
      </w:r>
      <w:proofErr w:type="gramEnd"/>
      <w:r w:rsidRPr="00596F90">
        <w:rPr>
          <w:rFonts w:ascii="Arial" w:hAnsi="Arial" w:cs="Arial"/>
          <w:sz w:val="24"/>
          <w:szCs w:val="24"/>
          <w:lang w:val="en-US"/>
        </w:rPr>
        <w:t>–9.</w:t>
      </w:r>
    </w:p>
    <w:p w14:paraId="12002FE7"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lang w:val="en-US"/>
        </w:rPr>
        <w:t xml:space="preserve">Achanta S, </w:t>
      </w:r>
      <w:proofErr w:type="spellStart"/>
      <w:r w:rsidRPr="00596F90">
        <w:rPr>
          <w:rFonts w:ascii="Arial" w:hAnsi="Arial" w:cs="Arial"/>
          <w:sz w:val="24"/>
          <w:szCs w:val="24"/>
          <w:lang w:val="en-US"/>
        </w:rPr>
        <w:t>Jordt</w:t>
      </w:r>
      <w:proofErr w:type="spellEnd"/>
      <w:r w:rsidRPr="00596F90">
        <w:rPr>
          <w:rFonts w:ascii="Arial" w:hAnsi="Arial" w:cs="Arial"/>
          <w:sz w:val="24"/>
          <w:szCs w:val="24"/>
          <w:lang w:val="en-US"/>
        </w:rPr>
        <w:t xml:space="preserve"> S-E. Toxic effects of chlorine gas and potential treatments: a literature review. https://doi.org/101080/1537651620191669244 [Internet]. 2019 [cited 2021 Jul 25];31(4):244–56. Available from: </w:t>
      </w:r>
      <w:hyperlink r:id="rId35" w:history="1">
        <w:r w:rsidRPr="00596F90">
          <w:rPr>
            <w:rStyle w:val="Hipervnculo"/>
            <w:rFonts w:ascii="Arial" w:hAnsi="Arial" w:cs="Arial"/>
            <w:sz w:val="24"/>
            <w:szCs w:val="24"/>
            <w:lang w:val="en-US"/>
          </w:rPr>
          <w:t>https://www.tandfonline.com/doi/abs/10.1080/15376516.2019.1669244</w:t>
        </w:r>
      </w:hyperlink>
    </w:p>
    <w:p w14:paraId="2C3A661E"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lang w:val="en-US"/>
        </w:rPr>
        <w:t xml:space="preserve">Hodgson E. Classes of Toxicants: Use Classes, Drugs of Abuse. In: A Textbook </w:t>
      </w:r>
      <w:proofErr w:type="gramStart"/>
      <w:r w:rsidRPr="00596F90">
        <w:rPr>
          <w:rFonts w:ascii="Arial" w:hAnsi="Arial" w:cs="Arial"/>
          <w:sz w:val="24"/>
          <w:szCs w:val="24"/>
          <w:lang w:val="en-US"/>
        </w:rPr>
        <w:t>Of</w:t>
      </w:r>
      <w:proofErr w:type="gramEnd"/>
      <w:r w:rsidRPr="00596F90">
        <w:rPr>
          <w:rFonts w:ascii="Arial" w:hAnsi="Arial" w:cs="Arial"/>
          <w:sz w:val="24"/>
          <w:szCs w:val="24"/>
          <w:lang w:val="en-US"/>
        </w:rPr>
        <w:t xml:space="preserve"> Modern Toxicology [Internet]. 4th ed. Hoboken, New Jersey: John Wiley &amp; Sons, Inc; 2010 [cited 2021 Jul 19]. p. 49–74. Available from: http://wikimariner.actionmodulers.com/wiki/images/8/80/Modern_Toxicology_4ed.pdf</w:t>
      </w:r>
    </w:p>
    <w:p w14:paraId="576C6563"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lang w:val="en-US"/>
        </w:rPr>
        <w:t xml:space="preserve">Drugs (psychoactive) [Internet]. World Health Organization. 2021 [cited 2021 Jul 19]. Available from: </w:t>
      </w:r>
      <w:hyperlink r:id="rId36" w:anchor="tab=tab_" w:history="1">
        <w:r w:rsidRPr="00596F90">
          <w:rPr>
            <w:rStyle w:val="Hipervnculo"/>
            <w:rFonts w:ascii="Arial" w:hAnsi="Arial" w:cs="Arial"/>
            <w:sz w:val="24"/>
            <w:szCs w:val="24"/>
            <w:lang w:val="en-US"/>
          </w:rPr>
          <w:t>https://www.who.int/health-topics/drugs-psychoactive#tab=tab_</w:t>
        </w:r>
      </w:hyperlink>
    </w:p>
    <w:p w14:paraId="747A74A8"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rPr>
        <w:t>Velásquez de Pabón Elvia, Olaya Peláez Álvaro, Castaño Pérez Guillermo, Castro Rey Sergio. Marihuana (Cannabis). In: Adicciones, aspectos clínicos y psicosociales, tratamiento y prevención. 1st ed. Medellín, Colombia: Corporación para Investigaciones Biológicas (CIB); 2013. p. 447–50.</w:t>
      </w:r>
    </w:p>
    <w:p w14:paraId="18DA4E3D" w14:textId="264B22AF" w:rsidR="00DA6CAC" w:rsidRDefault="00DA6CAC" w:rsidP="00DA6CAC">
      <w:pPr>
        <w:pStyle w:val="Prrafodelista"/>
        <w:numPr>
          <w:ilvl w:val="0"/>
          <w:numId w:val="4"/>
        </w:numPr>
        <w:jc w:val="both"/>
        <w:rPr>
          <w:rFonts w:ascii="Arial" w:hAnsi="Arial" w:cs="Arial"/>
          <w:sz w:val="24"/>
          <w:szCs w:val="24"/>
        </w:rPr>
      </w:pPr>
      <w:r w:rsidRPr="00596F90">
        <w:rPr>
          <w:rFonts w:ascii="Arial" w:hAnsi="Arial" w:cs="Arial"/>
          <w:sz w:val="24"/>
          <w:szCs w:val="24"/>
        </w:rPr>
        <w:t xml:space="preserve">Uribe D, Arroyabe CL. Intoxicación por Marihuana. In: Peña LM, Zuluaga AF, </w:t>
      </w:r>
      <w:proofErr w:type="spellStart"/>
      <w:r w:rsidRPr="00596F90">
        <w:rPr>
          <w:rFonts w:ascii="Arial" w:hAnsi="Arial" w:cs="Arial"/>
          <w:sz w:val="24"/>
          <w:szCs w:val="24"/>
        </w:rPr>
        <w:t>editors</w:t>
      </w:r>
      <w:proofErr w:type="spellEnd"/>
      <w:r w:rsidRPr="00596F90">
        <w:rPr>
          <w:rFonts w:ascii="Arial" w:hAnsi="Arial" w:cs="Arial"/>
          <w:sz w:val="24"/>
          <w:szCs w:val="24"/>
        </w:rPr>
        <w:t>. Protocolos de Manejo del Paciente Intoxicado. 1st ed. Medellín, Colombia: Editorial Artes y Letras S.A.S; 2012. p. 150–4.</w:t>
      </w:r>
    </w:p>
    <w:p w14:paraId="2B7E4A59" w14:textId="074BEEF0" w:rsidR="00DA6CAC" w:rsidRDefault="00DA6CAC" w:rsidP="00DA6CAC">
      <w:pPr>
        <w:jc w:val="both"/>
        <w:rPr>
          <w:rFonts w:ascii="Arial" w:hAnsi="Arial" w:cs="Arial"/>
          <w:sz w:val="24"/>
          <w:szCs w:val="24"/>
        </w:rPr>
      </w:pPr>
    </w:p>
    <w:p w14:paraId="071A29A9" w14:textId="0E357A4B" w:rsidR="00036202" w:rsidRDefault="00036202" w:rsidP="00DA6CAC">
      <w:pPr>
        <w:jc w:val="both"/>
        <w:rPr>
          <w:rFonts w:ascii="Arial" w:hAnsi="Arial" w:cs="Arial"/>
          <w:sz w:val="24"/>
          <w:szCs w:val="24"/>
        </w:rPr>
      </w:pPr>
      <w:r>
        <w:rPr>
          <w:rFonts w:ascii="Arial" w:hAnsi="Arial" w:cs="Arial"/>
          <w:sz w:val="24"/>
          <w:szCs w:val="24"/>
        </w:rPr>
        <w:t>Módulo 3</w:t>
      </w:r>
    </w:p>
    <w:p w14:paraId="34A15023" w14:textId="4CDF99FA" w:rsidR="00036202" w:rsidRDefault="00036202" w:rsidP="00DA6CAC">
      <w:pPr>
        <w:jc w:val="both"/>
        <w:rPr>
          <w:rFonts w:ascii="Arial" w:hAnsi="Arial" w:cs="Arial"/>
          <w:sz w:val="24"/>
          <w:szCs w:val="24"/>
        </w:rPr>
      </w:pPr>
      <w:r>
        <w:rPr>
          <w:rFonts w:ascii="Arial" w:hAnsi="Arial" w:cs="Arial"/>
          <w:sz w:val="24"/>
          <w:szCs w:val="24"/>
        </w:rPr>
        <w:t>Unidad 1</w:t>
      </w:r>
    </w:p>
    <w:p w14:paraId="3922E9B5" w14:textId="0B6C8F16" w:rsidR="00036202" w:rsidRDefault="00036202" w:rsidP="00DA6CAC">
      <w:pPr>
        <w:jc w:val="both"/>
        <w:rPr>
          <w:rFonts w:ascii="Arial" w:hAnsi="Arial" w:cs="Arial"/>
          <w:sz w:val="24"/>
          <w:szCs w:val="24"/>
        </w:rPr>
      </w:pPr>
    </w:p>
    <w:p w14:paraId="3F2BCBF4" w14:textId="77777777" w:rsidR="00036202" w:rsidRDefault="00036202" w:rsidP="00036202">
      <w:pPr>
        <w:numPr>
          <w:ilvl w:val="0"/>
          <w:numId w:val="5"/>
        </w:numPr>
        <w:spacing w:line="276" w:lineRule="auto"/>
        <w:jc w:val="both"/>
        <w:rPr>
          <w:rFonts w:ascii="Arial" w:hAnsi="Arial" w:cs="Arial"/>
          <w:sz w:val="24"/>
          <w:szCs w:val="24"/>
        </w:rPr>
      </w:pPr>
      <w:bookmarkStart w:id="3" w:name="_Hlk105710246"/>
      <w:r w:rsidRPr="003B3A1C">
        <w:rPr>
          <w:rFonts w:ascii="Arial" w:hAnsi="Arial" w:cs="Arial"/>
          <w:sz w:val="24"/>
          <w:szCs w:val="24"/>
        </w:rPr>
        <w:t>Colombia. Ministerio de Salud y Protección Social. Revisión del modelo de vigilancia en salud pública, 2015</w:t>
      </w:r>
      <w:r>
        <w:rPr>
          <w:rFonts w:ascii="Arial" w:hAnsi="Arial" w:cs="Arial"/>
          <w:sz w:val="28"/>
          <w:szCs w:val="28"/>
          <w:lang w:val="es-ES"/>
        </w:rPr>
        <w:t xml:space="preserve">. </w:t>
      </w:r>
      <w:r w:rsidRPr="00D1030E">
        <w:rPr>
          <w:rFonts w:ascii="Arial" w:hAnsi="Arial" w:cs="Arial"/>
          <w:sz w:val="24"/>
          <w:szCs w:val="24"/>
        </w:rPr>
        <w:t xml:space="preserve">Disponible en: </w:t>
      </w:r>
      <w:hyperlink r:id="rId37" w:history="1">
        <w:r w:rsidRPr="00BD4330">
          <w:rPr>
            <w:rStyle w:val="Hipervnculo"/>
            <w:rFonts w:ascii="Arial" w:hAnsi="Arial" w:cs="Arial"/>
            <w:sz w:val="24"/>
            <w:szCs w:val="24"/>
          </w:rPr>
          <w:t>https://www.minsalud.gov.co/salud/publica/epidemiologia/Paginas/vigilancia-salud-publica.aspx</w:t>
        </w:r>
      </w:hyperlink>
    </w:p>
    <w:p w14:paraId="0E3C1627" w14:textId="77777777" w:rsidR="00036202" w:rsidRDefault="00036202" w:rsidP="00036202">
      <w:pPr>
        <w:pStyle w:val="paragraph"/>
        <w:numPr>
          <w:ilvl w:val="0"/>
          <w:numId w:val="5"/>
        </w:numPr>
        <w:spacing w:line="276" w:lineRule="auto"/>
        <w:jc w:val="both"/>
        <w:textAlignment w:val="baseline"/>
        <w:rPr>
          <w:rStyle w:val="normaltextrun"/>
          <w:rFonts w:ascii="Arial" w:hAnsi="Arial" w:cs="Arial"/>
        </w:rPr>
      </w:pPr>
      <w:r w:rsidRPr="00BF0AF8">
        <w:rPr>
          <w:rStyle w:val="normaltextrun"/>
          <w:rFonts w:ascii="Arial" w:hAnsi="Arial" w:cs="Arial"/>
        </w:rPr>
        <w:t>Protocolo de Vigilancia en Salud Pública. Intoxicaciones por Sustancias Químicas. Instituto Nacional de Salud, 2017.</w:t>
      </w:r>
      <w:r w:rsidRPr="00BF0AF8">
        <w:rPr>
          <w:rStyle w:val="eop"/>
          <w:rFonts w:ascii="Arial" w:hAnsi="Arial" w:cs="Arial"/>
        </w:rPr>
        <w:t> </w:t>
      </w:r>
      <w:r>
        <w:rPr>
          <w:rStyle w:val="normaltextrun"/>
          <w:rFonts w:ascii="Arial" w:hAnsi="Arial" w:cs="Arial"/>
        </w:rPr>
        <w:t>2018</w:t>
      </w:r>
      <w:r w:rsidRPr="00BF0AF8">
        <w:rPr>
          <w:rStyle w:val="normaltextrun"/>
          <w:rFonts w:ascii="Arial" w:hAnsi="Arial" w:cs="Arial"/>
        </w:rPr>
        <w:t>.</w:t>
      </w:r>
      <w:r>
        <w:rPr>
          <w:rFonts w:ascii="Arial" w:hAnsi="Arial" w:cs="Arial"/>
        </w:rPr>
        <w:t xml:space="preserve"> </w:t>
      </w:r>
      <w:r w:rsidRPr="00756CDE">
        <w:rPr>
          <w:rStyle w:val="markedcontent"/>
          <w:rFonts w:ascii="Arial" w:hAnsi="Arial" w:cs="Arial"/>
        </w:rPr>
        <w:t>[</w:t>
      </w:r>
      <w:r>
        <w:rPr>
          <w:rStyle w:val="markedcontent"/>
          <w:rFonts w:ascii="Arial" w:hAnsi="Arial" w:cs="Arial"/>
        </w:rPr>
        <w:t xml:space="preserve">citado el 28 de noviembre 2021] </w:t>
      </w:r>
      <w:r w:rsidRPr="00756CDE">
        <w:rPr>
          <w:rFonts w:ascii="Arial" w:hAnsi="Arial" w:cs="Arial"/>
        </w:rPr>
        <w:t>Disponible en:</w:t>
      </w:r>
      <w:r w:rsidRPr="00BF0AF8">
        <w:rPr>
          <w:rStyle w:val="eop"/>
          <w:rFonts w:ascii="Arial" w:hAnsi="Arial" w:cs="Arial"/>
        </w:rPr>
        <w:t> </w:t>
      </w:r>
      <w:hyperlink r:id="rId38" w:history="1">
        <w:r w:rsidRPr="00C73946">
          <w:rPr>
            <w:rStyle w:val="Hipervnculo"/>
            <w:rFonts w:ascii="Arial" w:hAnsi="Arial" w:cs="Arial"/>
          </w:rPr>
          <w:t>https://www.ins.gov.co/BibliotecaDigital/PRO-Intoxicaciones.pdf</w:t>
        </w:r>
      </w:hyperlink>
    </w:p>
    <w:p w14:paraId="322A86B9" w14:textId="77777777" w:rsidR="00036202" w:rsidRDefault="00036202" w:rsidP="00036202">
      <w:pPr>
        <w:pStyle w:val="paragraph"/>
        <w:numPr>
          <w:ilvl w:val="0"/>
          <w:numId w:val="5"/>
        </w:numPr>
        <w:spacing w:line="276" w:lineRule="auto"/>
        <w:jc w:val="both"/>
        <w:textAlignment w:val="baseline"/>
        <w:rPr>
          <w:rStyle w:val="normaltextrun"/>
          <w:rFonts w:ascii="Arial" w:hAnsi="Arial" w:cs="Arial"/>
        </w:rPr>
      </w:pPr>
      <w:r>
        <w:rPr>
          <w:rStyle w:val="normaltextrun"/>
          <w:rFonts w:ascii="Arial" w:hAnsi="Arial" w:cs="Arial"/>
        </w:rPr>
        <w:t xml:space="preserve">Colombia. </w:t>
      </w:r>
      <w:r w:rsidRPr="00BF0AF8">
        <w:rPr>
          <w:rStyle w:val="normaltextrun"/>
          <w:rFonts w:ascii="Arial" w:hAnsi="Arial" w:cs="Arial"/>
        </w:rPr>
        <w:t>Instituto Nacional de Salud</w:t>
      </w:r>
      <w:r>
        <w:rPr>
          <w:rStyle w:val="normaltextrun"/>
          <w:rFonts w:ascii="Arial" w:hAnsi="Arial" w:cs="Arial"/>
        </w:rPr>
        <w:t>. Manual de referencia para la v</w:t>
      </w:r>
      <w:r w:rsidRPr="00BF0AF8">
        <w:rPr>
          <w:rStyle w:val="normaltextrun"/>
          <w:rFonts w:ascii="Arial" w:hAnsi="Arial" w:cs="Arial"/>
        </w:rPr>
        <w:t xml:space="preserve">igilancia de las </w:t>
      </w:r>
      <w:r>
        <w:rPr>
          <w:rStyle w:val="normaltextrun"/>
          <w:rFonts w:ascii="Arial" w:hAnsi="Arial" w:cs="Arial"/>
        </w:rPr>
        <w:t xml:space="preserve">intoxicaciones por sustancias químicas. </w:t>
      </w:r>
      <w:r w:rsidRPr="00756CDE">
        <w:rPr>
          <w:rFonts w:ascii="Arial" w:hAnsi="Arial" w:cs="Arial"/>
        </w:rPr>
        <w:t xml:space="preserve">[Internet]. </w:t>
      </w:r>
      <w:r>
        <w:rPr>
          <w:rStyle w:val="normaltextrun"/>
          <w:rFonts w:ascii="Arial" w:hAnsi="Arial" w:cs="Arial"/>
        </w:rPr>
        <w:t>2018</w:t>
      </w:r>
      <w:r w:rsidRPr="00BF0AF8">
        <w:rPr>
          <w:rStyle w:val="normaltextrun"/>
          <w:rFonts w:ascii="Arial" w:hAnsi="Arial" w:cs="Arial"/>
        </w:rPr>
        <w:t>.</w:t>
      </w:r>
      <w:r>
        <w:rPr>
          <w:rFonts w:ascii="Arial" w:hAnsi="Arial" w:cs="Arial"/>
        </w:rPr>
        <w:t xml:space="preserve"> </w:t>
      </w:r>
      <w:r w:rsidRPr="00756CDE">
        <w:rPr>
          <w:rStyle w:val="markedcontent"/>
          <w:rFonts w:ascii="Arial" w:hAnsi="Arial" w:cs="Arial"/>
        </w:rPr>
        <w:t>[</w:t>
      </w:r>
      <w:r>
        <w:rPr>
          <w:rStyle w:val="markedcontent"/>
          <w:rFonts w:ascii="Arial" w:hAnsi="Arial" w:cs="Arial"/>
        </w:rPr>
        <w:t xml:space="preserve">citado el 28 de noviembre 2021] </w:t>
      </w:r>
      <w:r w:rsidRPr="00756CDE">
        <w:rPr>
          <w:rFonts w:ascii="Arial" w:hAnsi="Arial" w:cs="Arial"/>
        </w:rPr>
        <w:t>Disponible en:</w:t>
      </w:r>
      <w:r w:rsidRPr="00BF0AF8">
        <w:rPr>
          <w:rStyle w:val="eop"/>
          <w:rFonts w:ascii="Arial" w:hAnsi="Arial" w:cs="Arial"/>
        </w:rPr>
        <w:t> </w:t>
      </w:r>
      <w:hyperlink r:id="rId39" w:history="1">
        <w:r w:rsidRPr="00C73946">
          <w:rPr>
            <w:rStyle w:val="Hipervnculo"/>
            <w:rFonts w:ascii="Arial" w:hAnsi="Arial" w:cs="Arial"/>
          </w:rPr>
          <w:t>https://www.ins.gov.co/BibliotecaDigital/manual-vsp-intoxicaciones-por-sustancias-quimicas-2018.pdf</w:t>
        </w:r>
      </w:hyperlink>
    </w:p>
    <w:p w14:paraId="247F35A9" w14:textId="77777777" w:rsidR="00036202" w:rsidRPr="008D0DF1" w:rsidRDefault="00036202" w:rsidP="00036202">
      <w:pPr>
        <w:numPr>
          <w:ilvl w:val="0"/>
          <w:numId w:val="5"/>
        </w:numPr>
        <w:spacing w:line="276" w:lineRule="auto"/>
        <w:jc w:val="both"/>
        <w:rPr>
          <w:rStyle w:val="normaltextrun"/>
          <w:rFonts w:ascii="Arial" w:hAnsi="Arial" w:cs="Arial"/>
          <w:sz w:val="28"/>
          <w:szCs w:val="28"/>
          <w:lang w:val="es-ES"/>
        </w:rPr>
      </w:pPr>
      <w:r>
        <w:rPr>
          <w:rStyle w:val="normaltextrun"/>
          <w:rFonts w:ascii="Arial" w:hAnsi="Arial" w:cs="Arial"/>
          <w:sz w:val="24"/>
          <w:szCs w:val="24"/>
        </w:rPr>
        <w:t xml:space="preserve">Colombia. </w:t>
      </w:r>
      <w:r w:rsidRPr="003B3A1C">
        <w:rPr>
          <w:rStyle w:val="normaltextrun"/>
          <w:rFonts w:ascii="Arial" w:hAnsi="Arial" w:cs="Arial"/>
          <w:sz w:val="24"/>
          <w:szCs w:val="24"/>
        </w:rPr>
        <w:t>Instituto Nacional de Salud. Lineamientos Nacionales, 2020.</w:t>
      </w:r>
      <w:bookmarkEnd w:id="3"/>
      <w:r>
        <w:rPr>
          <w:rStyle w:val="normaltextrun"/>
          <w:rFonts w:ascii="Arial" w:hAnsi="Arial" w:cs="Arial"/>
          <w:sz w:val="24"/>
          <w:szCs w:val="24"/>
        </w:rPr>
        <w:t xml:space="preserve"> </w:t>
      </w:r>
      <w:r w:rsidRPr="00756CDE">
        <w:rPr>
          <w:rStyle w:val="markedcontent"/>
          <w:rFonts w:ascii="Arial" w:hAnsi="Arial" w:cs="Arial"/>
        </w:rPr>
        <w:t>[</w:t>
      </w:r>
      <w:r>
        <w:rPr>
          <w:rStyle w:val="markedcontent"/>
          <w:rFonts w:ascii="Arial" w:hAnsi="Arial" w:cs="Arial"/>
        </w:rPr>
        <w:t xml:space="preserve">citado el 28 de noviembre 2021] </w:t>
      </w:r>
      <w:r>
        <w:rPr>
          <w:rStyle w:val="normaltextrun"/>
          <w:rFonts w:ascii="Arial" w:hAnsi="Arial" w:cs="Arial"/>
          <w:sz w:val="24"/>
          <w:szCs w:val="24"/>
        </w:rPr>
        <w:t xml:space="preserve">Disponible en: </w:t>
      </w:r>
      <w:hyperlink r:id="rId40" w:history="1">
        <w:r w:rsidRPr="00BD4330">
          <w:rPr>
            <w:rStyle w:val="Hipervnculo"/>
            <w:rFonts w:ascii="Arial" w:hAnsi="Arial" w:cs="Arial"/>
            <w:sz w:val="24"/>
            <w:szCs w:val="24"/>
          </w:rPr>
          <w:t>https://www.ins.gov.co/BibliotecaDigital/lineamientos-2020.pdf</w:t>
        </w:r>
      </w:hyperlink>
    </w:p>
    <w:p w14:paraId="5EB9F9A9" w14:textId="592AD480" w:rsidR="00036202" w:rsidRDefault="00036202" w:rsidP="00DA6CAC">
      <w:pPr>
        <w:jc w:val="both"/>
        <w:rPr>
          <w:rFonts w:ascii="Arial" w:hAnsi="Arial" w:cs="Arial"/>
          <w:sz w:val="24"/>
          <w:szCs w:val="24"/>
        </w:rPr>
      </w:pPr>
    </w:p>
    <w:p w14:paraId="5B271C86" w14:textId="373AF3BD" w:rsidR="00036202" w:rsidRDefault="00036202" w:rsidP="00DA6CAC">
      <w:pPr>
        <w:jc w:val="both"/>
        <w:rPr>
          <w:rFonts w:ascii="Arial" w:hAnsi="Arial" w:cs="Arial"/>
          <w:sz w:val="24"/>
          <w:szCs w:val="24"/>
        </w:rPr>
      </w:pPr>
      <w:r>
        <w:rPr>
          <w:rFonts w:ascii="Arial" w:hAnsi="Arial" w:cs="Arial"/>
          <w:sz w:val="24"/>
          <w:szCs w:val="24"/>
        </w:rPr>
        <w:t>Unidad 2</w:t>
      </w:r>
    </w:p>
    <w:p w14:paraId="6BA5590C" w14:textId="415614D3" w:rsidR="00036202" w:rsidRDefault="00036202" w:rsidP="00DA6CAC">
      <w:pPr>
        <w:jc w:val="both"/>
        <w:rPr>
          <w:rFonts w:ascii="Arial" w:hAnsi="Arial" w:cs="Arial"/>
          <w:sz w:val="24"/>
          <w:szCs w:val="24"/>
        </w:rPr>
      </w:pPr>
    </w:p>
    <w:p w14:paraId="656524E0" w14:textId="77777777" w:rsidR="00036202" w:rsidRDefault="00036202" w:rsidP="00036202">
      <w:pPr>
        <w:pStyle w:val="paragraph"/>
        <w:spacing w:line="276" w:lineRule="auto"/>
        <w:jc w:val="both"/>
        <w:textAlignment w:val="baseline"/>
        <w:rPr>
          <w:rStyle w:val="normaltextrun"/>
          <w:rFonts w:ascii="Arial" w:hAnsi="Arial" w:cs="Arial"/>
        </w:rPr>
      </w:pPr>
      <w:r>
        <w:rPr>
          <w:rStyle w:val="normaltextrun"/>
          <w:rFonts w:ascii="Arial" w:hAnsi="Arial" w:cs="Arial"/>
        </w:rPr>
        <w:t xml:space="preserve">Colombia. </w:t>
      </w:r>
      <w:r w:rsidRPr="00BF0AF8">
        <w:rPr>
          <w:rStyle w:val="normaltextrun"/>
          <w:rFonts w:ascii="Arial" w:hAnsi="Arial" w:cs="Arial"/>
        </w:rPr>
        <w:t>Instituto Nacional de Salud</w:t>
      </w:r>
      <w:r>
        <w:rPr>
          <w:rStyle w:val="normaltextrun"/>
          <w:rFonts w:ascii="Arial" w:hAnsi="Arial" w:cs="Arial"/>
        </w:rPr>
        <w:t>. Manual de referencia para la v</w:t>
      </w:r>
      <w:r w:rsidRPr="00BF0AF8">
        <w:rPr>
          <w:rStyle w:val="normaltextrun"/>
          <w:rFonts w:ascii="Arial" w:hAnsi="Arial" w:cs="Arial"/>
        </w:rPr>
        <w:t xml:space="preserve">igilancia de las </w:t>
      </w:r>
      <w:r>
        <w:rPr>
          <w:rStyle w:val="normaltextrun"/>
          <w:rFonts w:ascii="Arial" w:hAnsi="Arial" w:cs="Arial"/>
        </w:rPr>
        <w:t xml:space="preserve">intoxicaciones por sustancias químicas. </w:t>
      </w:r>
      <w:r w:rsidRPr="00756CDE">
        <w:rPr>
          <w:rFonts w:ascii="Arial" w:hAnsi="Arial" w:cs="Arial"/>
        </w:rPr>
        <w:t xml:space="preserve">[Internet]. </w:t>
      </w:r>
      <w:r>
        <w:rPr>
          <w:rStyle w:val="normaltextrun"/>
          <w:rFonts w:ascii="Arial" w:hAnsi="Arial" w:cs="Arial"/>
        </w:rPr>
        <w:t>2018</w:t>
      </w:r>
      <w:r w:rsidRPr="00BF0AF8">
        <w:rPr>
          <w:rStyle w:val="normaltextrun"/>
          <w:rFonts w:ascii="Arial" w:hAnsi="Arial" w:cs="Arial"/>
        </w:rPr>
        <w:t>.</w:t>
      </w:r>
      <w:r>
        <w:rPr>
          <w:rFonts w:ascii="Arial" w:hAnsi="Arial" w:cs="Arial"/>
        </w:rPr>
        <w:t xml:space="preserve"> </w:t>
      </w:r>
      <w:r w:rsidRPr="00756CDE">
        <w:rPr>
          <w:rStyle w:val="markedcontent"/>
          <w:rFonts w:ascii="Arial" w:hAnsi="Arial" w:cs="Arial"/>
        </w:rPr>
        <w:t>[</w:t>
      </w:r>
      <w:r>
        <w:rPr>
          <w:rStyle w:val="markedcontent"/>
          <w:rFonts w:ascii="Arial" w:hAnsi="Arial" w:cs="Arial"/>
        </w:rPr>
        <w:t xml:space="preserve">citado el 28 de noviembre 2021] </w:t>
      </w:r>
      <w:r w:rsidRPr="00756CDE">
        <w:rPr>
          <w:rFonts w:ascii="Arial" w:hAnsi="Arial" w:cs="Arial"/>
        </w:rPr>
        <w:t>Disponible en:</w:t>
      </w:r>
      <w:r w:rsidRPr="00BF0AF8">
        <w:rPr>
          <w:rStyle w:val="eop"/>
          <w:rFonts w:ascii="Arial" w:hAnsi="Arial" w:cs="Arial"/>
        </w:rPr>
        <w:t> </w:t>
      </w:r>
      <w:hyperlink r:id="rId41" w:history="1">
        <w:r w:rsidRPr="00C73946">
          <w:rPr>
            <w:rStyle w:val="Hipervnculo"/>
            <w:rFonts w:ascii="Arial" w:hAnsi="Arial" w:cs="Arial"/>
          </w:rPr>
          <w:t>https://www.ins.gov.co/BibliotecaDigital/manual-vsp-intoxicaciones-por-sustancias-quimicas-2018.pdf</w:t>
        </w:r>
      </w:hyperlink>
    </w:p>
    <w:p w14:paraId="1E69B90C" w14:textId="0BD32F8B" w:rsidR="00036202" w:rsidRDefault="00036202" w:rsidP="00DA6CAC">
      <w:pPr>
        <w:jc w:val="both"/>
        <w:rPr>
          <w:rFonts w:ascii="Arial" w:hAnsi="Arial" w:cs="Arial"/>
          <w:sz w:val="24"/>
          <w:szCs w:val="24"/>
        </w:rPr>
      </w:pPr>
    </w:p>
    <w:p w14:paraId="3FD3949A" w14:textId="572650C7" w:rsidR="00036202" w:rsidRDefault="00036202" w:rsidP="00DA6CAC">
      <w:pPr>
        <w:jc w:val="both"/>
        <w:rPr>
          <w:rFonts w:ascii="Arial" w:hAnsi="Arial" w:cs="Arial"/>
          <w:sz w:val="24"/>
          <w:szCs w:val="24"/>
        </w:rPr>
      </w:pPr>
      <w:r>
        <w:rPr>
          <w:rFonts w:ascii="Arial" w:hAnsi="Arial" w:cs="Arial"/>
          <w:sz w:val="24"/>
          <w:szCs w:val="24"/>
        </w:rPr>
        <w:t>Unidad 3</w:t>
      </w:r>
    </w:p>
    <w:p w14:paraId="73F5BBC1" w14:textId="3530D6AC" w:rsidR="00036202" w:rsidRDefault="00036202" w:rsidP="00DA6CAC">
      <w:pPr>
        <w:jc w:val="both"/>
        <w:rPr>
          <w:rFonts w:ascii="Arial" w:hAnsi="Arial" w:cs="Arial"/>
          <w:sz w:val="24"/>
          <w:szCs w:val="24"/>
        </w:rPr>
      </w:pPr>
    </w:p>
    <w:p w14:paraId="7201749B" w14:textId="77777777" w:rsidR="00036202" w:rsidRDefault="00036202" w:rsidP="00036202">
      <w:pPr>
        <w:numPr>
          <w:ilvl w:val="0"/>
          <w:numId w:val="6"/>
        </w:numPr>
        <w:jc w:val="both"/>
        <w:rPr>
          <w:rFonts w:ascii="Arial" w:hAnsi="Arial" w:cs="Arial"/>
          <w:sz w:val="24"/>
          <w:szCs w:val="24"/>
          <w:lang w:val="es-ES"/>
        </w:rPr>
      </w:pPr>
      <w:bookmarkStart w:id="4" w:name="_Hlk105711726"/>
      <w:r w:rsidRPr="00DC23F2">
        <w:rPr>
          <w:rFonts w:ascii="Arial" w:hAnsi="Arial" w:cs="Arial"/>
          <w:sz w:val="24"/>
          <w:szCs w:val="24"/>
          <w:lang w:val="es-ES"/>
        </w:rPr>
        <w:t>Organización Mundial de la Salud, Módulo de Principios de Epidemiología para el Control de Enfermedades (MOPECE), segunda edición, 2011</w:t>
      </w:r>
      <w:r>
        <w:rPr>
          <w:rFonts w:ascii="Arial" w:hAnsi="Arial" w:cs="Arial"/>
          <w:sz w:val="24"/>
          <w:szCs w:val="24"/>
          <w:lang w:val="es-ES"/>
        </w:rPr>
        <w:t xml:space="preserve">. Disponible en: </w:t>
      </w:r>
      <w:hyperlink r:id="rId42" w:history="1">
        <w:r w:rsidRPr="00BD4330">
          <w:rPr>
            <w:rStyle w:val="Hipervnculo"/>
            <w:rFonts w:ascii="Arial" w:hAnsi="Arial" w:cs="Arial"/>
            <w:sz w:val="24"/>
            <w:szCs w:val="24"/>
            <w:lang w:val="es-ES"/>
          </w:rPr>
          <w:t>https://www.paho.org/col/dmdocuments/MOPECE5.pdf</w:t>
        </w:r>
      </w:hyperlink>
    </w:p>
    <w:p w14:paraId="3CE33FDE" w14:textId="77777777" w:rsidR="00036202" w:rsidRPr="00DC23F2" w:rsidRDefault="00036202" w:rsidP="00036202">
      <w:pPr>
        <w:numPr>
          <w:ilvl w:val="0"/>
          <w:numId w:val="6"/>
        </w:numPr>
        <w:jc w:val="both"/>
        <w:rPr>
          <w:rFonts w:ascii="Arial" w:hAnsi="Arial" w:cs="Arial"/>
          <w:sz w:val="24"/>
          <w:szCs w:val="24"/>
          <w:lang w:val="es-ES"/>
        </w:rPr>
      </w:pPr>
      <w:r>
        <w:rPr>
          <w:rFonts w:ascii="Arial" w:hAnsi="Arial" w:cs="Arial"/>
          <w:sz w:val="24"/>
          <w:szCs w:val="24"/>
          <w:lang w:val="es-ES"/>
        </w:rPr>
        <w:t xml:space="preserve">Ley No. 1523 de 20112. </w:t>
      </w:r>
      <w:r w:rsidRPr="00DC23F2">
        <w:rPr>
          <w:rFonts w:ascii="Arial" w:hAnsi="Arial" w:cs="Arial"/>
          <w:sz w:val="24"/>
          <w:szCs w:val="24"/>
          <w:lang w:val="es-ES"/>
        </w:rPr>
        <w:t xml:space="preserve">República de Colombia, </w:t>
      </w:r>
      <w:r>
        <w:rPr>
          <w:rFonts w:ascii="Arial" w:hAnsi="Arial" w:cs="Arial"/>
          <w:sz w:val="24"/>
          <w:szCs w:val="24"/>
          <w:lang w:val="es-ES"/>
        </w:rPr>
        <w:t>abril de</w:t>
      </w:r>
      <w:r w:rsidRPr="00DC23F2">
        <w:rPr>
          <w:rFonts w:ascii="Arial" w:hAnsi="Arial" w:cs="Arial"/>
          <w:sz w:val="24"/>
          <w:szCs w:val="24"/>
          <w:lang w:val="es-ES"/>
        </w:rPr>
        <w:t xml:space="preserve"> 2012</w:t>
      </w:r>
    </w:p>
    <w:p w14:paraId="7515EE4E" w14:textId="77777777" w:rsidR="00036202" w:rsidRPr="00DC23F2" w:rsidRDefault="00036202" w:rsidP="00036202">
      <w:pPr>
        <w:numPr>
          <w:ilvl w:val="0"/>
          <w:numId w:val="6"/>
        </w:numPr>
        <w:jc w:val="both"/>
        <w:rPr>
          <w:rFonts w:ascii="Arial" w:eastAsia="Calibri" w:hAnsi="Arial" w:cs="Arial"/>
          <w:sz w:val="24"/>
          <w:szCs w:val="24"/>
          <w:lang w:val="es-ES"/>
        </w:rPr>
      </w:pPr>
      <w:r w:rsidRPr="00DC23F2">
        <w:rPr>
          <w:rFonts w:ascii="Arial" w:eastAsia="Calibri" w:hAnsi="Arial" w:cs="Arial"/>
          <w:sz w:val="24"/>
          <w:szCs w:val="24"/>
          <w:lang w:val="es-ES"/>
        </w:rPr>
        <w:t xml:space="preserve">México. Instituto Nacional de Salud Pública. Glosario epidemiológico. Disponible en </w:t>
      </w:r>
      <w:hyperlink r:id="rId43" w:history="1">
        <w:r w:rsidRPr="00DC23F2">
          <w:rPr>
            <w:rStyle w:val="Hipervnculo"/>
            <w:rFonts w:ascii="Arial" w:eastAsia="Calibri" w:hAnsi="Arial" w:cs="Arial"/>
            <w:sz w:val="24"/>
            <w:szCs w:val="24"/>
            <w:lang w:val="es-ES"/>
          </w:rPr>
          <w:t>https://www.insp.mx/nuevo-coronavirus-2019/glosario-epidemiologico.html</w:t>
        </w:r>
      </w:hyperlink>
    </w:p>
    <w:p w14:paraId="65640B30" w14:textId="77777777" w:rsidR="00036202" w:rsidRPr="00DC23F2" w:rsidRDefault="00036202" w:rsidP="00036202">
      <w:pPr>
        <w:numPr>
          <w:ilvl w:val="0"/>
          <w:numId w:val="6"/>
        </w:numPr>
        <w:jc w:val="both"/>
        <w:rPr>
          <w:rFonts w:ascii="Arial" w:eastAsia="Calibri" w:hAnsi="Arial" w:cs="Arial"/>
          <w:sz w:val="24"/>
          <w:szCs w:val="24"/>
          <w:lang w:val="es-ES"/>
        </w:rPr>
      </w:pPr>
      <w:r w:rsidRPr="00DC23F2">
        <w:rPr>
          <w:rFonts w:ascii="Arial" w:eastAsia="Calibri" w:hAnsi="Arial" w:cs="Arial"/>
          <w:sz w:val="24"/>
          <w:szCs w:val="24"/>
          <w:lang w:val="es-ES"/>
        </w:rPr>
        <w:t xml:space="preserve">Isaza P. Glosario de Epidemiología. Academia Nacional de Medicina de Colombia; 2015. 12 p. [acceso 20/09/2017]. Disponible en: Disponible en: http://www.academiamedicinatolima.org/uploads/7/1/5/9/71599273/glosario_epidemiologia_pdf.pdf </w:t>
      </w:r>
    </w:p>
    <w:p w14:paraId="4A0E1D28" w14:textId="77777777" w:rsidR="00036202" w:rsidRPr="00DC23F2" w:rsidRDefault="00036202" w:rsidP="00036202">
      <w:pPr>
        <w:numPr>
          <w:ilvl w:val="0"/>
          <w:numId w:val="6"/>
        </w:numPr>
        <w:jc w:val="both"/>
        <w:rPr>
          <w:rFonts w:ascii="Arial" w:hAnsi="Arial" w:cs="Arial"/>
          <w:sz w:val="24"/>
          <w:szCs w:val="24"/>
          <w:lang w:val="es-ES"/>
        </w:rPr>
      </w:pPr>
      <w:proofErr w:type="spellStart"/>
      <w:r w:rsidRPr="00DC23F2">
        <w:rPr>
          <w:rFonts w:ascii="Arial" w:hAnsi="Arial" w:cs="Arial"/>
          <w:sz w:val="24"/>
          <w:szCs w:val="24"/>
        </w:rPr>
        <w:t>Galofre</w:t>
      </w:r>
      <w:proofErr w:type="spellEnd"/>
      <w:r w:rsidRPr="00DC23F2">
        <w:rPr>
          <w:rFonts w:ascii="Arial" w:hAnsi="Arial" w:cs="Arial"/>
          <w:sz w:val="24"/>
          <w:szCs w:val="24"/>
        </w:rPr>
        <w:t xml:space="preserve"> Ruiz, M. Caracterización epidemiológica de intoxicaciones ocupacionales con plaguicidas químicos de uso agrícola, reportadas al centro de información, </w:t>
      </w:r>
      <w:r w:rsidRPr="00DC23F2">
        <w:rPr>
          <w:rFonts w:ascii="Arial" w:hAnsi="Arial" w:cs="Arial"/>
          <w:sz w:val="24"/>
          <w:szCs w:val="24"/>
        </w:rPr>
        <w:lastRenderedPageBreak/>
        <w:t>gestión e investigación en toxicología de la Universidad Nacional de Colombia, en los años 2011 y 2012.</w:t>
      </w:r>
    </w:p>
    <w:bookmarkEnd w:id="4"/>
    <w:p w14:paraId="1A8176E1" w14:textId="77777777" w:rsidR="00036202" w:rsidRDefault="00036202" w:rsidP="00036202">
      <w:pPr>
        <w:pStyle w:val="paragraph"/>
        <w:numPr>
          <w:ilvl w:val="0"/>
          <w:numId w:val="6"/>
        </w:numPr>
        <w:spacing w:line="276" w:lineRule="auto"/>
        <w:jc w:val="both"/>
        <w:textAlignment w:val="baseline"/>
        <w:rPr>
          <w:rStyle w:val="normaltextrun"/>
          <w:rFonts w:ascii="Arial" w:hAnsi="Arial" w:cs="Arial"/>
        </w:rPr>
      </w:pPr>
      <w:r w:rsidRPr="00BF0AF8">
        <w:rPr>
          <w:rStyle w:val="normaltextrun"/>
          <w:rFonts w:ascii="Arial" w:hAnsi="Arial" w:cs="Arial"/>
        </w:rPr>
        <w:t>Protocolo de Vigilancia en Salud Pública. Intoxicaciones por Sustancias Químicas. Instituto Nacional de Salud, 2017.</w:t>
      </w:r>
      <w:r w:rsidRPr="00BF0AF8">
        <w:rPr>
          <w:rStyle w:val="eop"/>
          <w:rFonts w:ascii="Arial" w:hAnsi="Arial" w:cs="Arial"/>
        </w:rPr>
        <w:t> </w:t>
      </w:r>
      <w:r>
        <w:rPr>
          <w:rStyle w:val="normaltextrun"/>
          <w:rFonts w:ascii="Arial" w:hAnsi="Arial" w:cs="Arial"/>
        </w:rPr>
        <w:t>2018</w:t>
      </w:r>
      <w:r w:rsidRPr="00BF0AF8">
        <w:rPr>
          <w:rStyle w:val="normaltextrun"/>
          <w:rFonts w:ascii="Arial" w:hAnsi="Arial" w:cs="Arial"/>
        </w:rPr>
        <w:t>.</w:t>
      </w:r>
      <w:r>
        <w:rPr>
          <w:rFonts w:ascii="Arial" w:hAnsi="Arial" w:cs="Arial"/>
        </w:rPr>
        <w:t xml:space="preserve"> </w:t>
      </w:r>
      <w:r w:rsidRPr="00756CDE">
        <w:rPr>
          <w:rStyle w:val="markedcontent"/>
          <w:rFonts w:ascii="Arial" w:hAnsi="Arial" w:cs="Arial"/>
        </w:rPr>
        <w:t>[</w:t>
      </w:r>
      <w:r>
        <w:rPr>
          <w:rStyle w:val="markedcontent"/>
          <w:rFonts w:ascii="Arial" w:hAnsi="Arial" w:cs="Arial"/>
        </w:rPr>
        <w:t xml:space="preserve">citado el 28 de noviembre 2021] </w:t>
      </w:r>
      <w:r w:rsidRPr="00756CDE">
        <w:rPr>
          <w:rFonts w:ascii="Arial" w:hAnsi="Arial" w:cs="Arial"/>
        </w:rPr>
        <w:t>Disponible en:</w:t>
      </w:r>
      <w:r w:rsidRPr="00BF0AF8">
        <w:rPr>
          <w:rStyle w:val="eop"/>
          <w:rFonts w:ascii="Arial" w:hAnsi="Arial" w:cs="Arial"/>
        </w:rPr>
        <w:t> </w:t>
      </w:r>
      <w:hyperlink r:id="rId44" w:history="1">
        <w:r w:rsidRPr="00C73946">
          <w:rPr>
            <w:rStyle w:val="Hipervnculo"/>
            <w:rFonts w:ascii="Arial" w:hAnsi="Arial" w:cs="Arial"/>
          </w:rPr>
          <w:t>https://www.ins.gov.co/BibliotecaDigital/PRO-Intoxicaciones.pdf</w:t>
        </w:r>
      </w:hyperlink>
    </w:p>
    <w:p w14:paraId="2DA84C31" w14:textId="69E20449" w:rsidR="00036202" w:rsidRDefault="00036202" w:rsidP="00DA6CAC">
      <w:pPr>
        <w:jc w:val="both"/>
        <w:rPr>
          <w:rFonts w:ascii="Arial" w:hAnsi="Arial" w:cs="Arial"/>
          <w:sz w:val="24"/>
          <w:szCs w:val="24"/>
        </w:rPr>
      </w:pPr>
      <w:r>
        <w:rPr>
          <w:rFonts w:ascii="Arial" w:hAnsi="Arial" w:cs="Arial"/>
          <w:sz w:val="24"/>
          <w:szCs w:val="24"/>
        </w:rPr>
        <w:t>Unidad 4</w:t>
      </w:r>
    </w:p>
    <w:p w14:paraId="4576054B" w14:textId="77777777" w:rsidR="00036202" w:rsidRPr="007449A5" w:rsidRDefault="00036202" w:rsidP="00036202">
      <w:pPr>
        <w:spacing w:line="276" w:lineRule="auto"/>
        <w:jc w:val="both"/>
        <w:rPr>
          <w:rFonts w:ascii="Arial" w:hAnsi="Arial" w:cs="Arial"/>
          <w:sz w:val="24"/>
          <w:szCs w:val="24"/>
        </w:rPr>
      </w:pPr>
      <w:r w:rsidRPr="007449A5">
        <w:rPr>
          <w:rFonts w:ascii="Arial" w:hAnsi="Arial" w:cs="Arial"/>
          <w:sz w:val="24"/>
          <w:szCs w:val="24"/>
        </w:rPr>
        <w:t xml:space="preserve">Instituto Nacional de Salud. Dirección de vigilancia y análisis del riesgo en salud pública. Grupo enfermedades no transmisibles. </w:t>
      </w:r>
      <w:r w:rsidRPr="00744A62">
        <w:rPr>
          <w:rFonts w:ascii="Arial" w:hAnsi="Arial" w:cs="Arial"/>
          <w:sz w:val="24"/>
          <w:szCs w:val="24"/>
        </w:rPr>
        <w:t xml:space="preserve">Metodología de notificación durante la vigilancia intensificada de lesiones por pólvora pirotécnica e intoxicaciones por fósforo blanco y licor adulterado con metanol, </w:t>
      </w:r>
      <w:r w:rsidRPr="007449A5">
        <w:rPr>
          <w:rFonts w:ascii="Arial" w:hAnsi="Arial" w:cs="Arial"/>
          <w:sz w:val="24"/>
          <w:szCs w:val="24"/>
        </w:rPr>
        <w:t>Colombia 2021</w:t>
      </w:r>
    </w:p>
    <w:p w14:paraId="5BB5E683" w14:textId="77777777" w:rsidR="00036202" w:rsidRPr="00C21AE9" w:rsidRDefault="00036202" w:rsidP="00036202">
      <w:pPr>
        <w:spacing w:after="0" w:line="276" w:lineRule="auto"/>
        <w:ind w:left="720"/>
        <w:jc w:val="both"/>
        <w:rPr>
          <w:rFonts w:ascii="Arial" w:hAnsi="Arial" w:cs="Arial"/>
          <w:color w:val="000000"/>
          <w:sz w:val="24"/>
          <w:szCs w:val="24"/>
        </w:rPr>
      </w:pPr>
    </w:p>
    <w:p w14:paraId="1ECB4AB9" w14:textId="77777777" w:rsidR="00036202" w:rsidRPr="00DA6CAC" w:rsidRDefault="00036202" w:rsidP="00DA6CAC">
      <w:pPr>
        <w:jc w:val="both"/>
        <w:rPr>
          <w:rFonts w:ascii="Arial" w:hAnsi="Arial" w:cs="Arial"/>
          <w:sz w:val="24"/>
          <w:szCs w:val="24"/>
        </w:rPr>
      </w:pPr>
    </w:p>
    <w:sectPr w:rsidR="00036202" w:rsidRPr="00DA6CAC" w:rsidSect="0044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39D"/>
    <w:multiLevelType w:val="hybridMultilevel"/>
    <w:tmpl w:val="227AEA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C94602"/>
    <w:multiLevelType w:val="hybridMultilevel"/>
    <w:tmpl w:val="E850E5D4"/>
    <w:lvl w:ilvl="0" w:tplc="7D2EE5A8">
      <w:start w:val="1"/>
      <w:numFmt w:val="decimal"/>
      <w:lvlText w:val="%1."/>
      <w:lvlJc w:val="left"/>
      <w:pPr>
        <w:ind w:left="502"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CE60EC"/>
    <w:multiLevelType w:val="hybridMultilevel"/>
    <w:tmpl w:val="DB18DCA4"/>
    <w:lvl w:ilvl="0" w:tplc="9B64C032">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0E74170"/>
    <w:multiLevelType w:val="hybridMultilevel"/>
    <w:tmpl w:val="A7168A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1C3388"/>
    <w:multiLevelType w:val="hybridMultilevel"/>
    <w:tmpl w:val="42647C94"/>
    <w:lvl w:ilvl="0" w:tplc="B936F9A8">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2E7899"/>
    <w:multiLevelType w:val="hybridMultilevel"/>
    <w:tmpl w:val="B27A8E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3132922">
    <w:abstractNumId w:val="1"/>
  </w:num>
  <w:num w:numId="2" w16cid:durableId="114105438">
    <w:abstractNumId w:val="5"/>
  </w:num>
  <w:num w:numId="3" w16cid:durableId="714045208">
    <w:abstractNumId w:val="0"/>
  </w:num>
  <w:num w:numId="4" w16cid:durableId="105851834">
    <w:abstractNumId w:val="4"/>
  </w:num>
  <w:num w:numId="5" w16cid:durableId="1831290408">
    <w:abstractNumId w:val="2"/>
  </w:num>
  <w:num w:numId="6" w16cid:durableId="1028991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FF"/>
    <w:rsid w:val="000057D6"/>
    <w:rsid w:val="00006137"/>
    <w:rsid w:val="00010A07"/>
    <w:rsid w:val="00012CFF"/>
    <w:rsid w:val="00036202"/>
    <w:rsid w:val="000848C9"/>
    <w:rsid w:val="000E7EF1"/>
    <w:rsid w:val="001A77E3"/>
    <w:rsid w:val="0023752C"/>
    <w:rsid w:val="00237AEC"/>
    <w:rsid w:val="002B0F3E"/>
    <w:rsid w:val="00440E43"/>
    <w:rsid w:val="00496152"/>
    <w:rsid w:val="00501298"/>
    <w:rsid w:val="0052406F"/>
    <w:rsid w:val="005326B5"/>
    <w:rsid w:val="00593BBC"/>
    <w:rsid w:val="00614D6A"/>
    <w:rsid w:val="00640235"/>
    <w:rsid w:val="00687E05"/>
    <w:rsid w:val="006A49EA"/>
    <w:rsid w:val="00746515"/>
    <w:rsid w:val="0079409D"/>
    <w:rsid w:val="007D22BB"/>
    <w:rsid w:val="007F3C70"/>
    <w:rsid w:val="0080344F"/>
    <w:rsid w:val="008454CD"/>
    <w:rsid w:val="00895AC8"/>
    <w:rsid w:val="008A5829"/>
    <w:rsid w:val="008F3EBC"/>
    <w:rsid w:val="00903105"/>
    <w:rsid w:val="0097705A"/>
    <w:rsid w:val="009F55C5"/>
    <w:rsid w:val="00A174B7"/>
    <w:rsid w:val="00A96C88"/>
    <w:rsid w:val="00A96DED"/>
    <w:rsid w:val="00AF003B"/>
    <w:rsid w:val="00B16DFA"/>
    <w:rsid w:val="00B5666C"/>
    <w:rsid w:val="00B934C6"/>
    <w:rsid w:val="00BC537F"/>
    <w:rsid w:val="00BE0CD8"/>
    <w:rsid w:val="00C42C07"/>
    <w:rsid w:val="00C72586"/>
    <w:rsid w:val="00CA3A32"/>
    <w:rsid w:val="00CB4F7B"/>
    <w:rsid w:val="00CC79D3"/>
    <w:rsid w:val="00CF0338"/>
    <w:rsid w:val="00D260C5"/>
    <w:rsid w:val="00D57A7F"/>
    <w:rsid w:val="00D85A5A"/>
    <w:rsid w:val="00D86B26"/>
    <w:rsid w:val="00D94001"/>
    <w:rsid w:val="00DA3A59"/>
    <w:rsid w:val="00DA6CAC"/>
    <w:rsid w:val="00E210C5"/>
    <w:rsid w:val="00E252BA"/>
    <w:rsid w:val="00E343F5"/>
    <w:rsid w:val="00E90164"/>
    <w:rsid w:val="00EA2F6A"/>
    <w:rsid w:val="00EE33F9"/>
    <w:rsid w:val="00F501FA"/>
    <w:rsid w:val="00F8593A"/>
    <w:rsid w:val="00FD0A4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D4D9"/>
  <w15:chartTrackingRefBased/>
  <w15:docId w15:val="{056E09A5-F46C-40B9-A98E-5A3FD60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FF"/>
    <w:rPr>
      <w:rFonts w:ascii="Calibri" w:eastAsia="Times New Roman" w:hAnsi="Calibri" w:cs="Times New Roman"/>
      <w:lang w:val="es-CO" w:eastAsia="es-CO"/>
    </w:rPr>
  </w:style>
  <w:style w:type="paragraph" w:styleId="Ttulo1">
    <w:name w:val="heading 1"/>
    <w:basedOn w:val="Normal"/>
    <w:next w:val="Normal"/>
    <w:link w:val="Ttulo1Car"/>
    <w:uiPriority w:val="9"/>
    <w:qFormat/>
    <w:rsid w:val="00012CFF"/>
    <w:pPr>
      <w:keepNext/>
      <w:keepLines/>
      <w:spacing w:before="400" w:after="40" w:line="240" w:lineRule="auto"/>
      <w:outlineLvl w:val="0"/>
    </w:pPr>
    <w:rPr>
      <w:rFonts w:ascii="Calibri Light" w:eastAsia="SimSun" w:hAnsi="Calibri Light"/>
      <w:color w:val="1F4E79"/>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2CFF"/>
    <w:rPr>
      <w:rFonts w:ascii="Calibri Light" w:eastAsia="SimSun" w:hAnsi="Calibri Light" w:cs="Times New Roman"/>
      <w:color w:val="1F4E79"/>
      <w:sz w:val="36"/>
      <w:szCs w:val="36"/>
      <w:lang w:val="es-CO" w:eastAsia="es-CO"/>
    </w:rPr>
  </w:style>
  <w:style w:type="paragraph" w:styleId="Prrafodelista">
    <w:name w:val="List Paragraph"/>
    <w:basedOn w:val="Normal"/>
    <w:uiPriority w:val="34"/>
    <w:qFormat/>
    <w:rsid w:val="00012CFF"/>
    <w:pPr>
      <w:ind w:left="720"/>
      <w:contextualSpacing/>
    </w:pPr>
  </w:style>
  <w:style w:type="character" w:styleId="Hipervnculo">
    <w:name w:val="Hyperlink"/>
    <w:uiPriority w:val="99"/>
    <w:unhideWhenUsed/>
    <w:rsid w:val="00012CFF"/>
    <w:rPr>
      <w:color w:val="0000FF"/>
      <w:u w:val="single"/>
    </w:rPr>
  </w:style>
  <w:style w:type="paragraph" w:customStyle="1" w:styleId="Default">
    <w:name w:val="Default"/>
    <w:rsid w:val="00012CFF"/>
    <w:pPr>
      <w:autoSpaceDE w:val="0"/>
      <w:autoSpaceDN w:val="0"/>
      <w:adjustRightInd w:val="0"/>
    </w:pPr>
    <w:rPr>
      <w:rFonts w:ascii="Arial" w:eastAsia="Times New Roman" w:hAnsi="Arial" w:cs="Arial"/>
      <w:color w:val="000000"/>
      <w:sz w:val="24"/>
      <w:szCs w:val="24"/>
      <w:lang w:val="es-CO"/>
    </w:rPr>
  </w:style>
  <w:style w:type="character" w:customStyle="1" w:styleId="markedcontent">
    <w:name w:val="markedcontent"/>
    <w:basedOn w:val="Fuentedeprrafopredeter"/>
    <w:rsid w:val="00012CFF"/>
  </w:style>
  <w:style w:type="paragraph" w:customStyle="1" w:styleId="paragraph">
    <w:name w:val="paragraph"/>
    <w:basedOn w:val="Normal"/>
    <w:rsid w:val="007F3C7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7F3C70"/>
  </w:style>
  <w:style w:type="character" w:customStyle="1" w:styleId="eop">
    <w:name w:val="eop"/>
    <w:basedOn w:val="Fuentedeprrafopredeter"/>
    <w:rsid w:val="007F3C70"/>
  </w:style>
  <w:style w:type="character" w:styleId="Mencinsinresolver">
    <w:name w:val="Unresolved Mention"/>
    <w:basedOn w:val="Fuentedeprrafopredeter"/>
    <w:uiPriority w:val="99"/>
    <w:semiHidden/>
    <w:unhideWhenUsed/>
    <w:rsid w:val="0080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9217407" TargetMode="External"/><Relationship Id="rId18" Type="http://schemas.openxmlformats.org/officeDocument/2006/relationships/hyperlink" Target="http://www.bvs.hn/RCFH/pdf/2016/pdf/RCFH2-2-2016-9.pdf" TargetMode="External"/><Relationship Id="rId26" Type="http://schemas.openxmlformats.org/officeDocument/2006/relationships/hyperlink" Target="http://www.nejm.org/doi/10.1056/NEJMra1810769" TargetMode="External"/><Relationship Id="rId39" Type="http://schemas.openxmlformats.org/officeDocument/2006/relationships/hyperlink" Target="https://www.ins.gov.co/BibliotecaDigital/manual-vsp-intoxicaciones-por-sustancias-quimicas-2018.pdf" TargetMode="External"/><Relationship Id="rId21" Type="http://schemas.openxmlformats.org/officeDocument/2006/relationships/hyperlink" Target="https://www.minsalud.gov.co/sites/rid/Lists/BibliotecaDigital/RIDE/DE/GT/guias-manejo-emergencias-toxicologicas-outpout.pdf" TargetMode="External"/><Relationship Id="rId34" Type="http://schemas.openxmlformats.org/officeDocument/2006/relationships/hyperlink" Target="https://doi.org/10.1007/978-3-319-63895-9_16" TargetMode="External"/><Relationship Id="rId42" Type="http://schemas.openxmlformats.org/officeDocument/2006/relationships/hyperlink" Target="https://www.paho.org/col/dmdocuments/MOPECE5.pdf" TargetMode="External"/><Relationship Id="rId7" Type="http://schemas.openxmlformats.org/officeDocument/2006/relationships/hyperlink" Target="https://doi.org/10.20937/rica.2017.33.04.15" TargetMode="External"/><Relationship Id="rId2" Type="http://schemas.openxmlformats.org/officeDocument/2006/relationships/styles" Target="styles.xml"/><Relationship Id="rId16" Type="http://schemas.openxmlformats.org/officeDocument/2006/relationships/hyperlink" Target="https://linkinghub.elsevier.com/retrieve/pii/S1353802017300755" TargetMode="External"/><Relationship Id="rId29" Type="http://schemas.openxmlformats.org/officeDocument/2006/relationships/hyperlink" Target="https://www.cdc.gov/niosh/ershdb/emergencyresponsecard_29750025.htm" TargetMode="External"/><Relationship Id="rId1" Type="http://schemas.openxmlformats.org/officeDocument/2006/relationships/numbering" Target="numbering.xml"/><Relationship Id="rId6" Type="http://schemas.openxmlformats.org/officeDocument/2006/relationships/hyperlink" Target="https://apps.who.int/iris/handle/10665/2556%20Herramienta%20de%20evaluaci&#243;n%20de%20riesgos%20para%20la%20salud%20humana%20de%20la%20OMS:%20peligros%20qu&#237;micos.%20Organizaci&#243;n%20Mundial%20de%20la%20Salud.%20https://apps.who.int/iris/handle/10665/255613.13" TargetMode="External"/><Relationship Id="rId11" Type="http://schemas.openxmlformats.org/officeDocument/2006/relationships/hyperlink" Target="https://linkinghub.elsevier.com/retrieve/pii/S0749070417300143" TargetMode="External"/><Relationship Id="rId24" Type="http://schemas.openxmlformats.org/officeDocument/2006/relationships/hyperlink" Target="https://www.nefrologiaaldia.org/es-articulo-acidosis-metabolica-por-metanol-367" TargetMode="External"/><Relationship Id="rId32" Type="http://schemas.openxmlformats.org/officeDocument/2006/relationships/hyperlink" Target="https://linkinghub.elsevier.com/retrieve/pii/S0304541218302993" TargetMode="External"/><Relationship Id="rId37" Type="http://schemas.openxmlformats.org/officeDocument/2006/relationships/hyperlink" Target="https://www.minsalud.gov.co/salud/publica/epidemiologia/Paginas/vigilancia-salud-publica.aspx" TargetMode="External"/><Relationship Id="rId40" Type="http://schemas.openxmlformats.org/officeDocument/2006/relationships/hyperlink" Target="https://www.ins.gov.co/BibliotecaDigital/lineamientos-2020.pdf" TargetMode="External"/><Relationship Id="rId45" Type="http://schemas.openxmlformats.org/officeDocument/2006/relationships/fontTable" Target="fontTable.xml"/><Relationship Id="rId5" Type="http://schemas.openxmlformats.org/officeDocument/2006/relationships/hyperlink" Target="https://wedocs.unep.org/bitstream/handle/20.500.11822/28400/ChemControl_Guid_SP.pdf?sequence=2&amp;isAllowed=y" TargetMode="External"/><Relationship Id="rId15" Type="http://schemas.openxmlformats.org/officeDocument/2006/relationships/hyperlink" Target="https://scielo.isciii.es/scielo.php?script=sci_arttext&amp;pid=S1134-80462012000600004&amp;lng=es&amp;nrm=iso&amp;tlng=es" TargetMode="External"/><Relationship Id="rId23" Type="http://schemas.openxmlformats.org/officeDocument/2006/relationships/hyperlink" Target="https://espanol.epa.gov/sites/production-es/files/2015-09/documents/spch17.pdf" TargetMode="External"/><Relationship Id="rId28" Type="http://schemas.openxmlformats.org/officeDocument/2006/relationships/hyperlink" Target="https://www.minsalud.gov.co/sites/rid/Lists/BibliotecaDigital/RIDE/DE/GT/guias-manejo-emergencias-toxicologicas-outpout.pdf" TargetMode="External"/><Relationship Id="rId36" Type="http://schemas.openxmlformats.org/officeDocument/2006/relationships/hyperlink" Target="https://www.who.int/health-topics/drugs-psychoactive" TargetMode="External"/><Relationship Id="rId10" Type="http://schemas.openxmlformats.org/officeDocument/2006/relationships/hyperlink" Target="https://onlinelibrary.wiley.com/doi/full/10.1111/bcp.12839" TargetMode="External"/><Relationship Id="rId19" Type="http://schemas.openxmlformats.org/officeDocument/2006/relationships/hyperlink" Target="http://omextad.salud.gob.mx/contenidos/investigaciones/Falsospositivos.pdf" TargetMode="External"/><Relationship Id="rId31" Type="http://schemas.openxmlformats.org/officeDocument/2006/relationships/hyperlink" Target="https://doi.org/10.4322/acr.2020.146" TargetMode="External"/><Relationship Id="rId44" Type="http://schemas.openxmlformats.org/officeDocument/2006/relationships/hyperlink" Target="https://www.ins.gov.co/BibliotecaDigital/PRO-Intoxicaciones.pdf" TargetMode="External"/><Relationship Id="rId4" Type="http://schemas.openxmlformats.org/officeDocument/2006/relationships/webSettings" Target="webSettings.xml"/><Relationship Id="rId9" Type="http://schemas.openxmlformats.org/officeDocument/2006/relationships/hyperlink" Target="https://linkinghub.elsevier.com/retrieve/pii/S1472029919302188" TargetMode="External"/><Relationship Id="rId14" Type="http://schemas.openxmlformats.org/officeDocument/2006/relationships/hyperlink" Target="https://uninet.edu/tratado/c100304.html" TargetMode="External"/><Relationship Id="rId22" Type="http://schemas.openxmlformats.org/officeDocument/2006/relationships/hyperlink" Target="https://www.google.com/search?client=firefox-b-d&amp;q=muestras+eorina+en+intoxicaciones" TargetMode="External"/><Relationship Id="rId27" Type="http://schemas.openxmlformats.org/officeDocument/2006/relationships/hyperlink" Target="http://www.ncbi.nlm.nih.gov/pubmed/32491374" TargetMode="External"/><Relationship Id="rId30" Type="http://schemas.openxmlformats.org/officeDocument/2006/relationships/hyperlink" Target="https://www.tandfonline.com/doi/abs/10.3109/15563650.2010.547860" TargetMode="External"/><Relationship Id="rId35" Type="http://schemas.openxmlformats.org/officeDocument/2006/relationships/hyperlink" Target="https://www.tandfonline.com/doi/abs/10.1080/15376516.2019.1669244" TargetMode="External"/><Relationship Id="rId43" Type="http://schemas.openxmlformats.org/officeDocument/2006/relationships/hyperlink" Target="https://www.insp.mx/nuevo-coronavirus-2019/glosario-epidemiologico.html" TargetMode="External"/><Relationship Id="rId8" Type="http://schemas.openxmlformats.org/officeDocument/2006/relationships/hyperlink" Target="https://linkinghub.elsevier.com/retrieve/pii/S0749070412000607" TargetMode="External"/><Relationship Id="rId3" Type="http://schemas.openxmlformats.org/officeDocument/2006/relationships/settings" Target="settings.xml"/><Relationship Id="rId12" Type="http://schemas.openxmlformats.org/officeDocument/2006/relationships/hyperlink" Target="https://www.medigraphic.com/cgi-bin/new/resumen.cgi?IDARTICULO=97139" TargetMode="External"/><Relationship Id="rId17" Type="http://schemas.openxmlformats.org/officeDocument/2006/relationships/hyperlink" Target="https://www.scielo.cl/pdf/rmc/v137n10/art18.pdf" TargetMode="External"/><Relationship Id="rId25" Type="http://schemas.openxmlformats.org/officeDocument/2006/relationships/hyperlink" Target="https://www.minsalud.gov.co/sites/rid/Lists/BibliotecaDigital/RIDE/DE/GT/guias-manejo-emergencias-toxicologicas-outpout.pdf" TargetMode="External"/><Relationship Id="rId33" Type="http://schemas.openxmlformats.org/officeDocument/2006/relationships/hyperlink" Target="https://linkinghub.elsevier.com/retrieve/pii/S1357303915003217" TargetMode="External"/><Relationship Id="rId38" Type="http://schemas.openxmlformats.org/officeDocument/2006/relationships/hyperlink" Target="https://www.ins.gov.co/BibliotecaDigital/PRO-Intoxicaciones.pdf" TargetMode="External"/><Relationship Id="rId46" Type="http://schemas.openxmlformats.org/officeDocument/2006/relationships/theme" Target="theme/theme1.xml"/><Relationship Id="rId20" Type="http://schemas.openxmlformats.org/officeDocument/2006/relationships/hyperlink" Target="http://www.navarra.es/home_es/Temas/Portal+de+la+Salud/Profesionales/Documentacion+y+publicaciones/Otras+publicaciones/Libro+electronico+de+Toxicologia/Generalidades.htm" TargetMode="External"/><Relationship Id="rId41" Type="http://schemas.openxmlformats.org/officeDocument/2006/relationships/hyperlink" Target="https://www.ins.gov.co/BibliotecaDigital/manual-vsp-intoxicaciones-por-sustancias-quimicas-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3594</Words>
  <Characters>19771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Giomar Sichaca</dc:creator>
  <cp:keywords/>
  <dc:description/>
  <cp:lastModifiedBy>Giomar Sichaca</cp:lastModifiedBy>
  <cp:revision>5</cp:revision>
  <dcterms:created xsi:type="dcterms:W3CDTF">2022-06-16T19:33:00Z</dcterms:created>
  <dcterms:modified xsi:type="dcterms:W3CDTF">2022-06-24T16:53:00Z</dcterms:modified>
</cp:coreProperties>
</file>