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291806" w14:textId="5C4772C1" w:rsidR="00496908" w:rsidRPr="00496908" w:rsidRDefault="00496908" w:rsidP="00496908">
      <w:pPr>
        <w:jc w:val="center"/>
        <w:rPr>
          <w:rFonts w:cs="Arial"/>
          <w:b/>
          <w:iCs/>
          <w:lang w:val="es-CO"/>
        </w:rPr>
      </w:pPr>
      <w:bookmarkStart w:id="0" w:name="_Hlk536688033"/>
      <w:r w:rsidRPr="00496908">
        <w:rPr>
          <w:rFonts w:cs="Arial"/>
          <w:b/>
          <w:iCs/>
          <w:lang w:val="es-CO"/>
        </w:rPr>
        <w:t>GLOSARIO</w:t>
      </w:r>
    </w:p>
    <w:p w14:paraId="6E31D18F" w14:textId="77777777" w:rsidR="00496908" w:rsidRPr="00A861D6" w:rsidRDefault="00496908" w:rsidP="004737FE">
      <w:pPr>
        <w:rPr>
          <w:rFonts w:cs="Arial"/>
          <w:lang w:val="es-CO"/>
        </w:rPr>
      </w:pPr>
    </w:p>
    <w:tbl>
      <w:tblPr>
        <w:tblStyle w:val="Tablaconcuadrcula"/>
        <w:tblpPr w:leftFromText="180" w:rightFromText="180" w:vertAnchor="page" w:horzAnchor="margin" w:tblpY="2251"/>
        <w:tblW w:w="0" w:type="auto"/>
        <w:tblLook w:val="04A0" w:firstRow="1" w:lastRow="0" w:firstColumn="1" w:lastColumn="0" w:noHBand="0" w:noVBand="1"/>
      </w:tblPr>
      <w:tblGrid>
        <w:gridCol w:w="3539"/>
        <w:gridCol w:w="5478"/>
      </w:tblGrid>
      <w:tr w:rsidR="004737FE" w:rsidRPr="00133B9E" w14:paraId="5B337CC6" w14:textId="77777777" w:rsidTr="00496908">
        <w:trPr>
          <w:cantSplit/>
        </w:trPr>
        <w:tc>
          <w:tcPr>
            <w:tcW w:w="3539" w:type="dxa"/>
          </w:tcPr>
          <w:p w14:paraId="3EF0B8E3" w14:textId="77777777" w:rsidR="004737FE" w:rsidRPr="00A861D6" w:rsidRDefault="004737FE" w:rsidP="00070607">
            <w:pPr>
              <w:rPr>
                <w:rFonts w:cs="Arial"/>
                <w:b/>
                <w:lang w:val="es-CO"/>
              </w:rPr>
            </w:pPr>
            <w:r w:rsidRPr="00A861D6">
              <w:rPr>
                <w:rFonts w:cs="Arial"/>
                <w:b/>
                <w:lang w:val="es-CO"/>
              </w:rPr>
              <w:t>Actividades</w:t>
            </w:r>
          </w:p>
        </w:tc>
        <w:tc>
          <w:tcPr>
            <w:tcW w:w="5478" w:type="dxa"/>
          </w:tcPr>
          <w:p w14:paraId="33F1B82E" w14:textId="77777777" w:rsidR="004737FE" w:rsidRPr="00A861D6" w:rsidRDefault="004737FE" w:rsidP="007B4787">
            <w:pPr>
              <w:jc w:val="both"/>
              <w:rPr>
                <w:rFonts w:cs="Arial"/>
                <w:color w:val="000000"/>
                <w:lang w:val="es-CO"/>
              </w:rPr>
            </w:pPr>
            <w:r w:rsidRPr="00A861D6">
              <w:rPr>
                <w:rFonts w:cs="Arial"/>
                <w:color w:val="000000"/>
                <w:lang w:val="es-CO"/>
              </w:rPr>
              <w:t>Acciones que conforman un programa, en este caso, identificar el problema y desarrollar e implementar la opción de política.</w:t>
            </w:r>
          </w:p>
        </w:tc>
      </w:tr>
      <w:tr w:rsidR="004737FE" w:rsidRPr="00496908" w14:paraId="2F788E9B" w14:textId="77777777" w:rsidTr="00496908">
        <w:trPr>
          <w:cantSplit/>
        </w:trPr>
        <w:tc>
          <w:tcPr>
            <w:tcW w:w="3539" w:type="dxa"/>
          </w:tcPr>
          <w:p w14:paraId="61469D62" w14:textId="77777777" w:rsidR="004737FE" w:rsidRPr="00A861D6" w:rsidRDefault="004737FE" w:rsidP="00070607">
            <w:pPr>
              <w:rPr>
                <w:rFonts w:cs="Arial"/>
                <w:b/>
                <w:lang w:val="es-CO"/>
              </w:rPr>
            </w:pPr>
            <w:r w:rsidRPr="00A861D6">
              <w:rPr>
                <w:rFonts w:cs="Arial"/>
                <w:b/>
                <w:lang w:val="es-CO"/>
              </w:rPr>
              <w:t>Acción administrativa</w:t>
            </w:r>
          </w:p>
        </w:tc>
        <w:tc>
          <w:tcPr>
            <w:tcW w:w="5478" w:type="dxa"/>
          </w:tcPr>
          <w:p w14:paraId="6D109031" w14:textId="77777777" w:rsidR="004737FE" w:rsidRPr="00496908" w:rsidRDefault="004737FE" w:rsidP="007B4787">
            <w:pPr>
              <w:jc w:val="both"/>
              <w:rPr>
                <w:rFonts w:cs="Arial"/>
                <w:bCs/>
                <w:lang w:val="es-CO"/>
              </w:rPr>
            </w:pPr>
            <w:r w:rsidRPr="00496908">
              <w:rPr>
                <w:rFonts w:cs="Arial"/>
                <w:bCs/>
                <w:lang w:val="es-CO"/>
              </w:rPr>
              <w:t>Acción o decisión realizada o tomada por una agencia, por ejemplo, una orden ejecutiva, para ordenar o autorizar la implementación de una política o un programa.</w:t>
            </w:r>
          </w:p>
        </w:tc>
      </w:tr>
      <w:tr w:rsidR="004737FE" w:rsidRPr="00496908" w14:paraId="2D8E16E2" w14:textId="77777777" w:rsidTr="00496908">
        <w:trPr>
          <w:cantSplit/>
        </w:trPr>
        <w:tc>
          <w:tcPr>
            <w:tcW w:w="3539" w:type="dxa"/>
          </w:tcPr>
          <w:p w14:paraId="3F038BE1" w14:textId="4D094ACC" w:rsidR="004737FE" w:rsidRPr="00496908" w:rsidRDefault="00133B9E" w:rsidP="00070607">
            <w:pPr>
              <w:rPr>
                <w:rFonts w:cs="Arial"/>
                <w:b/>
                <w:lang w:val="es-CO"/>
              </w:rPr>
            </w:pPr>
            <w:r w:rsidRPr="00133B9E">
              <w:rPr>
                <w:rFonts w:cs="Arial"/>
                <w:b/>
                <w:lang w:val="es-CO"/>
              </w:rPr>
              <w:t>Autoridades Sanitarias</w:t>
            </w:r>
          </w:p>
        </w:tc>
        <w:tc>
          <w:tcPr>
            <w:tcW w:w="5478" w:type="dxa"/>
          </w:tcPr>
          <w:p w14:paraId="0619F9BA" w14:textId="4EFB63BD" w:rsidR="004737FE" w:rsidRPr="00496908" w:rsidRDefault="00133B9E" w:rsidP="007B4787">
            <w:pPr>
              <w:jc w:val="both"/>
              <w:rPr>
                <w:rFonts w:cs="Arial"/>
                <w:bCs/>
                <w:lang w:val="es-CO"/>
              </w:rPr>
            </w:pPr>
            <w:r w:rsidRPr="00496908">
              <w:rPr>
                <w:rFonts w:cs="Arial"/>
                <w:bCs/>
                <w:lang w:val="es-CO"/>
              </w:rPr>
              <w:t>Entidades jurídicas de carácter público con atribuciones para ejercer funciones de rectoría, regulación, inspección, vigilancia y control de los sectores público y privado en salud y adoptar medidas de prevención y seguimiento que garanticen la protección de la salud pública</w:t>
            </w:r>
          </w:p>
        </w:tc>
      </w:tr>
      <w:tr w:rsidR="00133B9E" w:rsidRPr="00496908" w14:paraId="27A6C40A" w14:textId="77777777" w:rsidTr="00496908">
        <w:trPr>
          <w:cantSplit/>
        </w:trPr>
        <w:tc>
          <w:tcPr>
            <w:tcW w:w="3539" w:type="dxa"/>
          </w:tcPr>
          <w:p w14:paraId="66C2757B" w14:textId="3B1B1D70" w:rsidR="00133B9E" w:rsidRPr="00133B9E" w:rsidRDefault="00133B9E" w:rsidP="00496908">
            <w:pPr>
              <w:rPr>
                <w:rFonts w:cs="Arial"/>
                <w:b/>
                <w:lang w:val="es-CO"/>
              </w:rPr>
            </w:pPr>
            <w:r w:rsidRPr="00496908">
              <w:rPr>
                <w:rFonts w:cs="Arial"/>
                <w:b/>
                <w:lang w:val="es-CO"/>
              </w:rPr>
              <w:t>Abuso (de sustancias)</w:t>
            </w:r>
          </w:p>
        </w:tc>
        <w:tc>
          <w:tcPr>
            <w:tcW w:w="5478" w:type="dxa"/>
          </w:tcPr>
          <w:p w14:paraId="4D21E04D" w14:textId="37CF0AC8" w:rsidR="00133B9E" w:rsidRPr="00496908" w:rsidRDefault="00133B9E" w:rsidP="007B4787">
            <w:pPr>
              <w:jc w:val="both"/>
              <w:rPr>
                <w:rFonts w:cs="Arial"/>
                <w:bCs/>
                <w:lang w:val="es-CO"/>
              </w:rPr>
            </w:pPr>
            <w:r w:rsidRPr="00496908">
              <w:rPr>
                <w:rFonts w:cs="Arial"/>
                <w:bCs/>
                <w:lang w:val="es-CO"/>
              </w:rPr>
              <w:t>Uso inadecuado o excesivo de medicamentos, disolventes, drogas u otras sustancias</w:t>
            </w:r>
          </w:p>
        </w:tc>
      </w:tr>
      <w:tr w:rsidR="00133B9E" w:rsidRPr="00496908" w14:paraId="4174524E" w14:textId="77777777" w:rsidTr="00496908">
        <w:trPr>
          <w:cantSplit/>
        </w:trPr>
        <w:tc>
          <w:tcPr>
            <w:tcW w:w="3539" w:type="dxa"/>
          </w:tcPr>
          <w:p w14:paraId="2B6AA4EA" w14:textId="54A5158B" w:rsidR="00133B9E" w:rsidRPr="00133B9E" w:rsidRDefault="00133B9E" w:rsidP="00070607">
            <w:pPr>
              <w:rPr>
                <w:rFonts w:cs="Arial"/>
                <w:b/>
                <w:lang w:val="es-CO"/>
              </w:rPr>
            </w:pPr>
            <w:r w:rsidRPr="00496908">
              <w:rPr>
                <w:rFonts w:cs="Arial"/>
                <w:b/>
                <w:lang w:val="es-CO"/>
              </w:rPr>
              <w:t>Adicción</w:t>
            </w:r>
          </w:p>
        </w:tc>
        <w:tc>
          <w:tcPr>
            <w:tcW w:w="5478" w:type="dxa"/>
          </w:tcPr>
          <w:p w14:paraId="35455FAD" w14:textId="789491E5" w:rsidR="00133B9E" w:rsidRPr="00496908" w:rsidRDefault="00133B9E" w:rsidP="007B4787">
            <w:pPr>
              <w:jc w:val="both"/>
              <w:rPr>
                <w:rFonts w:cs="Arial"/>
                <w:bCs/>
                <w:lang w:val="es-CO"/>
              </w:rPr>
            </w:pPr>
            <w:r w:rsidRPr="00496908">
              <w:rPr>
                <w:rFonts w:cs="Arial"/>
                <w:bCs/>
                <w:lang w:val="es-CO"/>
              </w:rPr>
              <w:t>Afición y sometimiento al uso regular de una sustancia en busca de alivio, bienestar, estimulación o vigor, frecuentemente con desarrollo de necesidad de consumo</w:t>
            </w:r>
          </w:p>
        </w:tc>
      </w:tr>
      <w:tr w:rsidR="00133B9E" w:rsidRPr="00496908" w14:paraId="05B79D15" w14:textId="77777777" w:rsidTr="00496908">
        <w:trPr>
          <w:cantSplit/>
        </w:trPr>
        <w:tc>
          <w:tcPr>
            <w:tcW w:w="3539" w:type="dxa"/>
          </w:tcPr>
          <w:p w14:paraId="07350361" w14:textId="55463677" w:rsidR="00133B9E" w:rsidRPr="00133B9E" w:rsidRDefault="00133B9E" w:rsidP="00070607">
            <w:pPr>
              <w:rPr>
                <w:rFonts w:cs="Arial"/>
                <w:b/>
                <w:lang w:val="es-CO"/>
              </w:rPr>
            </w:pPr>
            <w:r w:rsidRPr="00496908">
              <w:rPr>
                <w:rFonts w:cs="Arial"/>
                <w:b/>
                <w:lang w:val="es-CO"/>
              </w:rPr>
              <w:t>Antídoto</w:t>
            </w:r>
          </w:p>
        </w:tc>
        <w:tc>
          <w:tcPr>
            <w:tcW w:w="5478" w:type="dxa"/>
          </w:tcPr>
          <w:p w14:paraId="17CF45DB" w14:textId="3EEC506D" w:rsidR="00133B9E" w:rsidRPr="00496908" w:rsidRDefault="00133B9E" w:rsidP="007B4787">
            <w:pPr>
              <w:jc w:val="both"/>
              <w:rPr>
                <w:rFonts w:cs="Arial"/>
                <w:bCs/>
                <w:lang w:val="es-CO"/>
              </w:rPr>
            </w:pPr>
            <w:r w:rsidRPr="00496908">
              <w:rPr>
                <w:rFonts w:cs="Arial"/>
                <w:bCs/>
                <w:lang w:val="es-CO"/>
              </w:rPr>
              <w:t>Sustancia capaz de contrarrestar o reducir el efecto de una sustancia potencialmente tóxica mediante una acción química relativamente específica</w:t>
            </w:r>
          </w:p>
        </w:tc>
      </w:tr>
      <w:tr w:rsidR="00133B9E" w:rsidRPr="00496908" w14:paraId="133EF436" w14:textId="77777777" w:rsidTr="00496908">
        <w:trPr>
          <w:cantSplit/>
        </w:trPr>
        <w:tc>
          <w:tcPr>
            <w:tcW w:w="3539" w:type="dxa"/>
          </w:tcPr>
          <w:p w14:paraId="49BCFB88" w14:textId="5D946AC7" w:rsidR="00133B9E" w:rsidRPr="00133B9E" w:rsidRDefault="00133B9E" w:rsidP="00070607">
            <w:pPr>
              <w:rPr>
                <w:rFonts w:cs="Arial"/>
                <w:b/>
                <w:lang w:val="es-CO"/>
              </w:rPr>
            </w:pPr>
            <w:r w:rsidRPr="00496908">
              <w:rPr>
                <w:rFonts w:cs="Arial"/>
                <w:b/>
                <w:lang w:val="es-CO"/>
              </w:rPr>
              <w:t>Automedicación</w:t>
            </w:r>
          </w:p>
        </w:tc>
        <w:tc>
          <w:tcPr>
            <w:tcW w:w="5478" w:type="dxa"/>
          </w:tcPr>
          <w:p w14:paraId="720A612D" w14:textId="22604E17" w:rsidR="00133B9E" w:rsidRPr="00496908" w:rsidRDefault="00133B9E" w:rsidP="007B4787">
            <w:pPr>
              <w:jc w:val="both"/>
              <w:rPr>
                <w:rFonts w:cs="Arial"/>
                <w:bCs/>
                <w:lang w:val="es-CO"/>
              </w:rPr>
            </w:pPr>
            <w:r w:rsidRPr="00496908">
              <w:rPr>
                <w:rFonts w:cs="Arial"/>
                <w:bCs/>
                <w:lang w:val="es-CO"/>
              </w:rPr>
              <w:t>Selección y uso de medicamentos de venta libre o sin receta con la finalidad de tratar síntomas o desordenes reconocidos, por iniciativa de las personas</w:t>
            </w:r>
          </w:p>
        </w:tc>
      </w:tr>
      <w:tr w:rsidR="00133B9E" w:rsidRPr="00496908" w14:paraId="396BF761" w14:textId="77777777" w:rsidTr="00496908">
        <w:trPr>
          <w:cantSplit/>
        </w:trPr>
        <w:tc>
          <w:tcPr>
            <w:tcW w:w="3539" w:type="dxa"/>
          </w:tcPr>
          <w:p w14:paraId="7DE9B24A" w14:textId="00B86701" w:rsidR="00133B9E" w:rsidRPr="00133B9E" w:rsidRDefault="007B4787" w:rsidP="00496908">
            <w:pPr>
              <w:rPr>
                <w:rFonts w:cs="Arial"/>
                <w:b/>
                <w:lang w:val="es-CO"/>
              </w:rPr>
            </w:pPr>
            <w:r w:rsidRPr="00496908">
              <w:rPr>
                <w:rFonts w:cs="Arial"/>
                <w:b/>
                <w:lang w:val="es-CO"/>
              </w:rPr>
              <w:t>Auto prescripción</w:t>
            </w:r>
          </w:p>
        </w:tc>
        <w:tc>
          <w:tcPr>
            <w:tcW w:w="5478" w:type="dxa"/>
          </w:tcPr>
          <w:p w14:paraId="0969C309" w14:textId="28519476" w:rsidR="00133B9E" w:rsidRPr="00496908" w:rsidRDefault="00133B9E" w:rsidP="007B4787">
            <w:pPr>
              <w:jc w:val="both"/>
              <w:rPr>
                <w:rFonts w:cs="Arial"/>
                <w:bCs/>
                <w:lang w:val="es-CO"/>
              </w:rPr>
            </w:pPr>
            <w:r w:rsidRPr="00496908">
              <w:rPr>
                <w:rFonts w:cs="Arial"/>
                <w:bCs/>
                <w:lang w:val="es-CO"/>
              </w:rPr>
              <w:t>Es aquella circunstancia en la cual se usan medicamentos de prescripción o regulados como de “venta bajo formula medica”, sin que ellos hayan sido prescritos por el médico específicamente para quien los usa o en el momento que los usa</w:t>
            </w:r>
          </w:p>
        </w:tc>
      </w:tr>
      <w:tr w:rsidR="00133B9E" w:rsidRPr="00496908" w14:paraId="7DA11C0F" w14:textId="77777777" w:rsidTr="00496908">
        <w:trPr>
          <w:cantSplit/>
        </w:trPr>
        <w:tc>
          <w:tcPr>
            <w:tcW w:w="3539" w:type="dxa"/>
          </w:tcPr>
          <w:p w14:paraId="3DBAE831" w14:textId="0A2DE5BB" w:rsidR="00133B9E" w:rsidRPr="00133B9E" w:rsidRDefault="00133B9E" w:rsidP="00070607">
            <w:pPr>
              <w:rPr>
                <w:rFonts w:cs="Arial"/>
                <w:b/>
                <w:lang w:val="es-CO"/>
              </w:rPr>
            </w:pPr>
            <w:r w:rsidRPr="00496908">
              <w:rPr>
                <w:rFonts w:cs="Arial"/>
                <w:b/>
                <w:lang w:val="es-CO"/>
              </w:rPr>
              <w:t>Bebida alcohólica falsificada o adulterada</w:t>
            </w:r>
          </w:p>
        </w:tc>
        <w:tc>
          <w:tcPr>
            <w:tcW w:w="5478" w:type="dxa"/>
          </w:tcPr>
          <w:p w14:paraId="74FFEA93" w14:textId="77777777" w:rsidR="009A183B" w:rsidRPr="00496908" w:rsidRDefault="009A183B" w:rsidP="00496908">
            <w:pPr>
              <w:rPr>
                <w:rFonts w:cs="Arial"/>
                <w:bCs/>
                <w:lang w:val="es-CO"/>
              </w:rPr>
            </w:pPr>
            <w:r w:rsidRPr="00496908">
              <w:rPr>
                <w:rFonts w:cs="Arial"/>
                <w:bCs/>
                <w:lang w:val="es-CO"/>
              </w:rPr>
              <w:t xml:space="preserve">Es aquella bebida alcohólica que: </w:t>
            </w:r>
          </w:p>
          <w:p w14:paraId="18D6FBF8" w14:textId="77777777" w:rsidR="009A183B" w:rsidRPr="007B4787" w:rsidRDefault="009A183B" w:rsidP="007B4787">
            <w:pPr>
              <w:pStyle w:val="Prrafodelista"/>
              <w:numPr>
                <w:ilvl w:val="0"/>
                <w:numId w:val="5"/>
              </w:numPr>
              <w:tabs>
                <w:tab w:val="num" w:pos="142"/>
              </w:tabs>
              <w:jc w:val="both"/>
              <w:rPr>
                <w:bCs/>
                <w:lang w:val="es-CO"/>
              </w:rPr>
            </w:pPr>
            <w:r w:rsidRPr="007B4787">
              <w:rPr>
                <w:bCs/>
                <w:lang w:val="es-CO"/>
              </w:rPr>
              <w:t>Se designa o expende con nombre o calificativo distinto al que le corresponde.</w:t>
            </w:r>
          </w:p>
          <w:p w14:paraId="0A8D2899" w14:textId="77777777" w:rsidR="009A183B" w:rsidRPr="007B4787" w:rsidRDefault="009A183B" w:rsidP="007B4787">
            <w:pPr>
              <w:pStyle w:val="Prrafodelista"/>
              <w:numPr>
                <w:ilvl w:val="0"/>
                <w:numId w:val="5"/>
              </w:numPr>
              <w:tabs>
                <w:tab w:val="num" w:pos="142"/>
              </w:tabs>
              <w:jc w:val="both"/>
              <w:rPr>
                <w:bCs/>
                <w:lang w:val="es-CO"/>
              </w:rPr>
            </w:pPr>
            <w:r w:rsidRPr="007B4787">
              <w:rPr>
                <w:bCs/>
                <w:lang w:val="es-CO"/>
              </w:rPr>
              <w:t xml:space="preserve">En su envase, rotulo o etiqueta contiene diseño o declaración ambigua, falsa o que pueda inducir o producir engaño o </w:t>
            </w:r>
            <w:r w:rsidRPr="007B4787">
              <w:rPr>
                <w:bCs/>
                <w:lang w:val="es-CO"/>
              </w:rPr>
              <w:lastRenderedPageBreak/>
              <w:t>confusión respecto de su composición intrínseca y uso.</w:t>
            </w:r>
          </w:p>
          <w:p w14:paraId="466A7897" w14:textId="645B1E57" w:rsidR="00133B9E" w:rsidRPr="007B4787" w:rsidRDefault="009A183B" w:rsidP="007B4787">
            <w:pPr>
              <w:pStyle w:val="Prrafodelista"/>
              <w:numPr>
                <w:ilvl w:val="0"/>
                <w:numId w:val="5"/>
              </w:numPr>
              <w:jc w:val="both"/>
              <w:rPr>
                <w:bCs/>
                <w:lang w:val="es-CO"/>
              </w:rPr>
            </w:pPr>
            <w:r w:rsidRPr="007B4787">
              <w:rPr>
                <w:bCs/>
                <w:lang w:val="es-CO"/>
              </w:rPr>
              <w:t>No procede de sus verdaderos fabricantes o que tiene la apariencia y caracteres generales de un producto legítimo, protegido o no por marca registrada y que se denomine como este, sin serlo</w:t>
            </w:r>
          </w:p>
        </w:tc>
      </w:tr>
      <w:tr w:rsidR="00133B9E" w:rsidRPr="00496908" w14:paraId="6F9E39DD" w14:textId="77777777" w:rsidTr="00496908">
        <w:trPr>
          <w:cantSplit/>
        </w:trPr>
        <w:tc>
          <w:tcPr>
            <w:tcW w:w="3539" w:type="dxa"/>
          </w:tcPr>
          <w:p w14:paraId="5BA77ADD" w14:textId="37D494C9" w:rsidR="00133B9E" w:rsidRPr="00133B9E" w:rsidRDefault="009A183B" w:rsidP="00070607">
            <w:pPr>
              <w:rPr>
                <w:rFonts w:cs="Arial"/>
                <w:b/>
                <w:lang w:val="es-CO"/>
              </w:rPr>
            </w:pPr>
            <w:r w:rsidRPr="00496908">
              <w:rPr>
                <w:rFonts w:cs="Arial"/>
                <w:b/>
                <w:lang w:val="es-CO"/>
              </w:rPr>
              <w:t>Bebida alcohólica fraudulenta</w:t>
            </w:r>
          </w:p>
        </w:tc>
        <w:tc>
          <w:tcPr>
            <w:tcW w:w="5478" w:type="dxa"/>
          </w:tcPr>
          <w:p w14:paraId="6FF0B962" w14:textId="77777777" w:rsidR="009A183B" w:rsidRPr="00496908" w:rsidRDefault="009A183B" w:rsidP="00496908">
            <w:pPr>
              <w:rPr>
                <w:rFonts w:cs="Arial"/>
                <w:bCs/>
                <w:lang w:val="es-CO"/>
              </w:rPr>
            </w:pPr>
            <w:r w:rsidRPr="00496908">
              <w:rPr>
                <w:rFonts w:cs="Arial"/>
                <w:bCs/>
                <w:lang w:val="es-CO"/>
              </w:rPr>
              <w:t>Es aquella bebida alcohólica que:</w:t>
            </w:r>
          </w:p>
          <w:p w14:paraId="0104E3D5" w14:textId="77777777" w:rsidR="009A183B" w:rsidRPr="007B4787" w:rsidRDefault="009A183B" w:rsidP="007B4787">
            <w:pPr>
              <w:pStyle w:val="Prrafodelista"/>
              <w:numPr>
                <w:ilvl w:val="0"/>
                <w:numId w:val="6"/>
              </w:numPr>
              <w:tabs>
                <w:tab w:val="num" w:pos="426"/>
              </w:tabs>
              <w:jc w:val="both"/>
              <w:rPr>
                <w:bCs/>
                <w:lang w:val="es-CO"/>
              </w:rPr>
            </w:pPr>
            <w:r w:rsidRPr="007B4787">
              <w:rPr>
                <w:bCs/>
                <w:lang w:val="es-CO"/>
              </w:rPr>
              <w:t xml:space="preserve">No posee registro sanitario. </w:t>
            </w:r>
          </w:p>
          <w:p w14:paraId="33A52657" w14:textId="77777777" w:rsidR="009A183B" w:rsidRPr="007B4787" w:rsidRDefault="009A183B" w:rsidP="007B4787">
            <w:pPr>
              <w:pStyle w:val="Prrafodelista"/>
              <w:numPr>
                <w:ilvl w:val="0"/>
                <w:numId w:val="6"/>
              </w:numPr>
              <w:tabs>
                <w:tab w:val="num" w:pos="426"/>
              </w:tabs>
              <w:jc w:val="both"/>
              <w:rPr>
                <w:bCs/>
                <w:lang w:val="es-CO"/>
              </w:rPr>
            </w:pPr>
            <w:r w:rsidRPr="007B4787">
              <w:rPr>
                <w:bCs/>
                <w:lang w:val="es-CO"/>
              </w:rPr>
              <w:t xml:space="preserve">Es importada sin el cumplimiento de los requisitos señalados por las normas sanitarias vigentes. </w:t>
            </w:r>
          </w:p>
          <w:p w14:paraId="61BCA7C7" w14:textId="77777777" w:rsidR="009A183B" w:rsidRPr="007B4787" w:rsidRDefault="009A183B" w:rsidP="007B4787">
            <w:pPr>
              <w:pStyle w:val="Prrafodelista"/>
              <w:numPr>
                <w:ilvl w:val="0"/>
                <w:numId w:val="6"/>
              </w:numPr>
              <w:tabs>
                <w:tab w:val="num" w:pos="426"/>
              </w:tabs>
              <w:jc w:val="both"/>
              <w:rPr>
                <w:bCs/>
                <w:lang w:val="es-CO"/>
              </w:rPr>
            </w:pPr>
            <w:r w:rsidRPr="007B4787">
              <w:rPr>
                <w:bCs/>
                <w:lang w:val="es-CO"/>
              </w:rPr>
              <w:t xml:space="preserve">Incumple con los requisitos exigidos por la legislación sanitaria vigente. </w:t>
            </w:r>
          </w:p>
          <w:p w14:paraId="1D7D7046" w14:textId="77777777" w:rsidR="009A183B" w:rsidRPr="007B4787" w:rsidRDefault="009A183B" w:rsidP="007B4787">
            <w:pPr>
              <w:pStyle w:val="Prrafodelista"/>
              <w:numPr>
                <w:ilvl w:val="0"/>
                <w:numId w:val="6"/>
              </w:numPr>
              <w:tabs>
                <w:tab w:val="num" w:pos="426"/>
              </w:tabs>
              <w:jc w:val="both"/>
              <w:rPr>
                <w:bCs/>
                <w:lang w:val="es-CO"/>
              </w:rPr>
            </w:pPr>
            <w:r w:rsidRPr="007B4787">
              <w:rPr>
                <w:bCs/>
                <w:lang w:val="es-CO"/>
              </w:rPr>
              <w:t xml:space="preserve">Se designa, comercializa, distribuye, expende o suministra con nombre o calificativo distinto al aprobado por la autoridad sanitaria. </w:t>
            </w:r>
          </w:p>
          <w:p w14:paraId="7048E9AB" w14:textId="77777777" w:rsidR="009A183B" w:rsidRPr="007B4787" w:rsidRDefault="009A183B" w:rsidP="007B4787">
            <w:pPr>
              <w:pStyle w:val="Prrafodelista"/>
              <w:numPr>
                <w:ilvl w:val="0"/>
                <w:numId w:val="6"/>
              </w:numPr>
              <w:tabs>
                <w:tab w:val="num" w:pos="426"/>
              </w:tabs>
              <w:jc w:val="both"/>
              <w:rPr>
                <w:bCs/>
                <w:lang w:val="es-CO"/>
              </w:rPr>
            </w:pPr>
            <w:r w:rsidRPr="007B4787">
              <w:rPr>
                <w:bCs/>
                <w:lang w:val="es-CO"/>
              </w:rPr>
              <w:t xml:space="preserve">En su envase o rotulo contiene diseño o declaraciones que puedan inducir a engaño respecto de su composición u origen. </w:t>
            </w:r>
          </w:p>
          <w:p w14:paraId="383946D3" w14:textId="77777777" w:rsidR="009A183B" w:rsidRPr="007B4787" w:rsidRDefault="009A183B" w:rsidP="007B4787">
            <w:pPr>
              <w:pStyle w:val="Prrafodelista"/>
              <w:numPr>
                <w:ilvl w:val="0"/>
                <w:numId w:val="6"/>
              </w:numPr>
              <w:tabs>
                <w:tab w:val="num" w:pos="426"/>
              </w:tabs>
              <w:jc w:val="both"/>
              <w:rPr>
                <w:bCs/>
                <w:lang w:val="es-CO"/>
              </w:rPr>
            </w:pPr>
            <w:r w:rsidRPr="007B4787">
              <w:rPr>
                <w:bCs/>
                <w:lang w:val="es-CO"/>
              </w:rPr>
              <w:t xml:space="preserve">Requiere declarar fecha de vencimiento y se comercializa cuando esta haya expirado. </w:t>
            </w:r>
          </w:p>
          <w:p w14:paraId="43214D45" w14:textId="085ED051" w:rsidR="00133B9E" w:rsidRPr="007B4787" w:rsidRDefault="009A183B" w:rsidP="007B4787">
            <w:pPr>
              <w:pStyle w:val="Prrafodelista"/>
              <w:numPr>
                <w:ilvl w:val="0"/>
                <w:numId w:val="6"/>
              </w:numPr>
              <w:jc w:val="both"/>
              <w:rPr>
                <w:bCs/>
                <w:lang w:val="es-CO"/>
              </w:rPr>
            </w:pPr>
            <w:r w:rsidRPr="007B4787">
              <w:rPr>
                <w:bCs/>
                <w:lang w:val="es-CO"/>
              </w:rPr>
              <w:t>Tiene apariencia y características aprobadas por la autoridad sanitaria sin serlo y que no procede de los verdaderos fabricantes</w:t>
            </w:r>
          </w:p>
        </w:tc>
      </w:tr>
      <w:tr w:rsidR="00133B9E" w:rsidRPr="00496908" w14:paraId="4348800F" w14:textId="77777777" w:rsidTr="00496908">
        <w:trPr>
          <w:cantSplit/>
        </w:trPr>
        <w:tc>
          <w:tcPr>
            <w:tcW w:w="3539" w:type="dxa"/>
          </w:tcPr>
          <w:p w14:paraId="1F8A1BB5" w14:textId="570FCBDC" w:rsidR="00133B9E" w:rsidRPr="00133B9E" w:rsidRDefault="009A183B" w:rsidP="00070607">
            <w:pPr>
              <w:rPr>
                <w:rFonts w:cs="Arial"/>
                <w:b/>
                <w:lang w:val="es-CO"/>
              </w:rPr>
            </w:pPr>
            <w:r w:rsidRPr="00496908">
              <w:rPr>
                <w:rFonts w:cs="Arial"/>
                <w:b/>
                <w:lang w:val="es-CO"/>
              </w:rPr>
              <w:t>Biocida</w:t>
            </w:r>
          </w:p>
        </w:tc>
        <w:tc>
          <w:tcPr>
            <w:tcW w:w="5478" w:type="dxa"/>
          </w:tcPr>
          <w:p w14:paraId="1055B68A" w14:textId="52310438" w:rsidR="00133B9E" w:rsidRPr="00496908" w:rsidRDefault="009A183B" w:rsidP="00496908">
            <w:pPr>
              <w:rPr>
                <w:rFonts w:cs="Arial"/>
                <w:bCs/>
                <w:lang w:val="es-CO"/>
              </w:rPr>
            </w:pPr>
            <w:r w:rsidRPr="00496908">
              <w:rPr>
                <w:rFonts w:cs="Arial"/>
                <w:bCs/>
                <w:lang w:val="es-CO"/>
              </w:rPr>
              <w:t>Sustancia para matar organismos vivos</w:t>
            </w:r>
          </w:p>
        </w:tc>
      </w:tr>
      <w:tr w:rsidR="009A183B" w:rsidRPr="00496908" w14:paraId="52367ED0" w14:textId="77777777" w:rsidTr="00496908">
        <w:trPr>
          <w:cantSplit/>
        </w:trPr>
        <w:tc>
          <w:tcPr>
            <w:tcW w:w="3539" w:type="dxa"/>
          </w:tcPr>
          <w:p w14:paraId="4D5E0130" w14:textId="3CC475E7" w:rsidR="009A183B" w:rsidRPr="00133B9E" w:rsidRDefault="009A183B" w:rsidP="00070607">
            <w:pPr>
              <w:rPr>
                <w:rFonts w:cs="Arial"/>
                <w:b/>
                <w:lang w:val="es-CO"/>
              </w:rPr>
            </w:pPr>
            <w:r w:rsidRPr="00496908">
              <w:rPr>
                <w:rFonts w:cs="Arial"/>
                <w:b/>
                <w:lang w:val="es-CO"/>
              </w:rPr>
              <w:t>Biomarcador</w:t>
            </w:r>
          </w:p>
        </w:tc>
        <w:tc>
          <w:tcPr>
            <w:tcW w:w="5478" w:type="dxa"/>
          </w:tcPr>
          <w:p w14:paraId="2A607A09" w14:textId="6DDE85C4" w:rsidR="009A183B" w:rsidRPr="00496908" w:rsidRDefault="009A183B" w:rsidP="007B4787">
            <w:pPr>
              <w:jc w:val="both"/>
              <w:rPr>
                <w:rFonts w:cs="Arial"/>
                <w:bCs/>
                <w:lang w:val="es-CO"/>
              </w:rPr>
            </w:pPr>
            <w:r w:rsidRPr="00496908">
              <w:rPr>
                <w:rFonts w:cs="Arial"/>
                <w:bCs/>
                <w:lang w:val="es-CO"/>
              </w:rPr>
              <w:t xml:space="preserve">Parámetro que puede utilizarse para identificar un efecto toxico en un organismo, y puede permitir la extrapolación </w:t>
            </w:r>
            <w:proofErr w:type="spellStart"/>
            <w:r w:rsidRPr="00496908">
              <w:rPr>
                <w:rFonts w:cs="Arial"/>
                <w:bCs/>
                <w:lang w:val="es-CO"/>
              </w:rPr>
              <w:t>interespecies</w:t>
            </w:r>
            <w:proofErr w:type="spellEnd"/>
            <w:r w:rsidRPr="00496908">
              <w:rPr>
                <w:rFonts w:cs="Arial"/>
                <w:bCs/>
                <w:lang w:val="es-CO"/>
              </w:rPr>
              <w:t>. También se define como un indicador que señala un acontecimiento o una situación en una muestra o sistema biológico y proporciona una medida de la exposición, el efecto o la susceptibilidad</w:t>
            </w:r>
          </w:p>
        </w:tc>
      </w:tr>
      <w:tr w:rsidR="009A183B" w:rsidRPr="00496908" w14:paraId="545C1B83" w14:textId="77777777" w:rsidTr="00496908">
        <w:trPr>
          <w:cantSplit/>
        </w:trPr>
        <w:tc>
          <w:tcPr>
            <w:tcW w:w="3539" w:type="dxa"/>
          </w:tcPr>
          <w:p w14:paraId="6BC94044" w14:textId="5D6E8A3C" w:rsidR="009A183B" w:rsidRPr="00133B9E" w:rsidRDefault="009A183B" w:rsidP="00070607">
            <w:pPr>
              <w:rPr>
                <w:rFonts w:cs="Arial"/>
                <w:b/>
                <w:lang w:val="es-CO"/>
              </w:rPr>
            </w:pPr>
            <w:r w:rsidRPr="00496908">
              <w:rPr>
                <w:rFonts w:cs="Arial"/>
                <w:b/>
                <w:lang w:val="es-CO"/>
              </w:rPr>
              <w:t>Droga</w:t>
            </w:r>
          </w:p>
        </w:tc>
        <w:tc>
          <w:tcPr>
            <w:tcW w:w="5478" w:type="dxa"/>
          </w:tcPr>
          <w:p w14:paraId="22B351F6" w14:textId="02BDE54B" w:rsidR="009A183B" w:rsidRPr="00496908" w:rsidRDefault="009A183B" w:rsidP="007B4787">
            <w:pPr>
              <w:jc w:val="both"/>
              <w:rPr>
                <w:rFonts w:cs="Arial"/>
                <w:bCs/>
                <w:lang w:val="es-CO"/>
              </w:rPr>
            </w:pPr>
            <w:r w:rsidRPr="00496908">
              <w:rPr>
                <w:rFonts w:cs="Arial"/>
                <w:bCs/>
                <w:lang w:val="es-CO"/>
              </w:rPr>
              <w:t xml:space="preserve">Es toda sustancia </w:t>
            </w:r>
            <w:proofErr w:type="gramStart"/>
            <w:r w:rsidRPr="00496908">
              <w:rPr>
                <w:rFonts w:cs="Arial"/>
                <w:bCs/>
                <w:lang w:val="es-CO"/>
              </w:rPr>
              <w:t>que</w:t>
            </w:r>
            <w:proofErr w:type="gramEnd"/>
            <w:r w:rsidRPr="00496908">
              <w:rPr>
                <w:rFonts w:cs="Arial"/>
                <w:bCs/>
                <w:lang w:val="es-CO"/>
              </w:rPr>
              <w:t xml:space="preserve"> introducida en el organismo, puede alterar una o varias de sus funciones; de modo que droga es sinónimo de fármaco y así se usa en la literatura en inglés (</w:t>
            </w:r>
            <w:proofErr w:type="spellStart"/>
            <w:r w:rsidRPr="00496908">
              <w:rPr>
                <w:rFonts w:cs="Arial"/>
                <w:bCs/>
                <w:lang w:val="es-CO"/>
              </w:rPr>
              <w:t>drug</w:t>
            </w:r>
            <w:proofErr w:type="spellEnd"/>
            <w:r w:rsidRPr="00496908">
              <w:rPr>
                <w:rFonts w:cs="Arial"/>
                <w:bCs/>
                <w:lang w:val="es-CO"/>
              </w:rPr>
              <w:t>)</w:t>
            </w:r>
            <w:r w:rsidR="007B4787">
              <w:rPr>
                <w:rFonts w:cs="Arial"/>
                <w:bCs/>
                <w:lang w:val="es-CO"/>
              </w:rPr>
              <w:t>.</w:t>
            </w:r>
            <w:r w:rsidRPr="00496908">
              <w:rPr>
                <w:rFonts w:cs="Arial"/>
                <w:bCs/>
                <w:lang w:val="es-CO"/>
              </w:rPr>
              <w:t xml:space="preserve"> En su uso común, el término hace referencia a las sustancias psicoactivas y específicamente a las ilícitas. Sin embargo, la </w:t>
            </w:r>
            <w:r w:rsidRPr="00496908">
              <w:rPr>
                <w:rFonts w:cs="Arial"/>
                <w:bCs/>
                <w:lang w:val="es-CO"/>
              </w:rPr>
              <w:lastRenderedPageBreak/>
              <w:t>cafeína, el tabaco, el alcohol y otras sustancias que se usan frecuentemente sin fines terapéuticos (uso no médico) son también drogas en el sentido de que se toman básicamente por sus efectos psicoactivos</w:t>
            </w:r>
            <w:r w:rsidRPr="00496908">
              <w:rPr>
                <w:rFonts w:cs="Arial"/>
                <w:bCs/>
                <w:lang w:val="es-CO"/>
              </w:rPr>
              <w:fldChar w:fldCharType="begin" w:fldLock="1"/>
            </w:r>
            <w:r w:rsidRPr="00496908">
              <w:rPr>
                <w:rFonts w:cs="Arial"/>
                <w:bCs/>
                <w:lang w:val="es-CO"/>
              </w:rPr>
              <w:instrText>ADDIN CSL_CITATION { "citationItems" : [ { "id" : "ITEM-1", "itemData" : { "author" : [ { "dropping-particle" : "", "family" : "Babor, T.", "given" : "et al.", "non-dropping-particle" : "", "parse-names" : false, "suffix" : "" } ], "id" : "ITEM-1", "issued" : { "date-parts" : [ [ "1994" ] ] }, "title" : "Lexicon of alcohol and drug terms World Health Organization", "type" : "report" }, "uris" : [ "http://www.mendeley.com/documents/?uuid=c24305d3-5e13-4660-894b-92d3e548309e" ] } ], "mendeley" : { "formattedCitation" : "(7)", "plainTextFormattedCitation" : "(7)", "previouslyFormattedCitation" : "(7)" }, "properties" : { "noteIndex" : 0 }, "schema" : "https://github.com/citation-style-language/schema/raw/master/csl-citation.json" }</w:instrText>
            </w:r>
            <w:r w:rsidRPr="00496908">
              <w:rPr>
                <w:rFonts w:cs="Arial"/>
                <w:bCs/>
                <w:lang w:val="es-CO"/>
              </w:rPr>
              <w:fldChar w:fldCharType="separate"/>
            </w:r>
            <w:r w:rsidRPr="00496908">
              <w:rPr>
                <w:rFonts w:cs="Arial"/>
                <w:bCs/>
                <w:lang w:val="es-CO"/>
              </w:rPr>
              <w:fldChar w:fldCharType="end"/>
            </w:r>
            <w:r w:rsidRPr="00496908">
              <w:rPr>
                <w:rFonts w:cs="Arial"/>
                <w:bCs/>
                <w:lang w:val="es-CO"/>
              </w:rPr>
              <w:t>. En la declaración sobre Reducción de la Demanda de Drogas</w:t>
            </w:r>
            <w:r w:rsidRPr="00496908">
              <w:rPr>
                <w:rFonts w:cs="Arial"/>
                <w:bCs/>
                <w:lang w:val="es-CO"/>
              </w:rPr>
              <w:fldChar w:fldCharType="begin"/>
            </w:r>
            <w:r w:rsidRPr="00496908">
              <w:rPr>
                <w:rFonts w:cs="Arial"/>
                <w:bCs/>
                <w:lang w:val="es-CO"/>
              </w:rPr>
              <w:instrText xml:space="preserve"> ADDIN EN.CITE &lt;EndNote&gt;&lt;Cite&gt;&lt;Author&gt;United Nations Office for Drug Control and Crime Prevention&lt;/Author&gt;&lt;Year&gt;2000&lt;/Year&gt;&lt;RecNum&gt;40&lt;/RecNum&gt;&lt;record&gt;&lt;rec-number&gt;40&lt;/rec-number&gt;&lt;foreign-keys&gt;&lt;key app="EN" db-id="ddpe5f20rxpzfme5vd9vtzvts0derwa25asd"&gt;40&lt;/key&gt;&lt;/foreign-keys&gt;&lt;ref-type name="Report"&gt;27&lt;/ref-type&gt;&lt;contributors&gt;&lt;authors&gt;&lt;author&gt;United Nations Office for Drug Control and Crime Prevention, UNODCCP.&lt;/author&gt;&lt;/authors&gt;&lt;/contributors&gt;&lt;titles&gt;&lt;title&gt;Guidelines. ODCCP Studies on Drugs and Crime. A Glossary of terms&lt;/title&gt;&lt;/titles&gt;&lt;dates&gt;&lt;year&gt;2000&lt;/year&gt;&lt;/dates&gt;&lt;pub-location&gt;New York&lt;/pub-location&gt;&lt;urls&gt;&lt;related-urls&gt;&lt;url&gt;&lt;style face="underline" font="default" size="100%"&gt;&amp;lt;http://www.unodc.org/pdf/report_2000-11-30_1.pdf&amp;gt;&lt;/style&gt;&lt;style face="normal" font="default" size="100%"&gt;&lt;/style&gt;&lt;/url&gt;&lt;/related-urls&gt;&lt;/urls&gt;&lt;/record&gt;&lt;/Cite&gt;&lt;/EndNote&gt;</w:instrText>
            </w:r>
            <w:r w:rsidRPr="00496908">
              <w:rPr>
                <w:rFonts w:cs="Arial"/>
                <w:bCs/>
                <w:lang w:val="es-CO"/>
              </w:rPr>
              <w:fldChar w:fldCharType="end"/>
            </w:r>
            <w:r w:rsidRPr="00496908">
              <w:rPr>
                <w:rFonts w:cs="Arial"/>
                <w:bCs/>
                <w:lang w:val="es-CO"/>
              </w:rPr>
              <w:t>, el término se refiere a sustancias ilícitas que son objeto de control internacional (estupefacientes).</w:t>
            </w:r>
          </w:p>
        </w:tc>
      </w:tr>
      <w:tr w:rsidR="009A183B" w:rsidRPr="00496908" w14:paraId="7B15438D" w14:textId="77777777" w:rsidTr="00496908">
        <w:trPr>
          <w:cantSplit/>
        </w:trPr>
        <w:tc>
          <w:tcPr>
            <w:tcW w:w="3539" w:type="dxa"/>
          </w:tcPr>
          <w:p w14:paraId="75BA0680" w14:textId="5705A449" w:rsidR="009A183B" w:rsidRPr="00133B9E" w:rsidRDefault="009A183B" w:rsidP="00070607">
            <w:pPr>
              <w:rPr>
                <w:rFonts w:cs="Arial"/>
                <w:b/>
                <w:lang w:val="es-CO"/>
              </w:rPr>
            </w:pPr>
            <w:r w:rsidRPr="00496908">
              <w:rPr>
                <w:rFonts w:cs="Arial"/>
                <w:b/>
                <w:lang w:val="es-CO"/>
              </w:rPr>
              <w:lastRenderedPageBreak/>
              <w:t>Droga Blanca</w:t>
            </w:r>
          </w:p>
        </w:tc>
        <w:tc>
          <w:tcPr>
            <w:tcW w:w="5478" w:type="dxa"/>
          </w:tcPr>
          <w:p w14:paraId="7C985581" w14:textId="1E6D6793" w:rsidR="009A183B" w:rsidRPr="00496908" w:rsidRDefault="009A183B" w:rsidP="007B4787">
            <w:pPr>
              <w:jc w:val="both"/>
              <w:rPr>
                <w:rFonts w:cs="Arial"/>
                <w:bCs/>
                <w:lang w:val="es-CO"/>
              </w:rPr>
            </w:pPr>
            <w:r w:rsidRPr="00496908">
              <w:rPr>
                <w:rFonts w:cs="Arial"/>
                <w:bCs/>
                <w:lang w:val="es-CO"/>
              </w:rPr>
              <w:t xml:space="preserve">Es la materia prima para preparar formula magistrales tales como: Aceite de Almendras, Aceite de Manzanilla, Aceite Mineral, Ácido Bórico, Alumbre en Barra o en Pasta, Azufre, Bicarbonato de Sodio, Bórax, Glicerina Pura, Sal de Nitro, Sulfato de Magnesio, </w:t>
            </w:r>
            <w:proofErr w:type="spellStart"/>
            <w:r w:rsidRPr="00496908">
              <w:rPr>
                <w:rFonts w:cs="Arial"/>
                <w:bCs/>
                <w:lang w:val="es-CO"/>
              </w:rPr>
              <w:t>Storaque</w:t>
            </w:r>
            <w:proofErr w:type="spellEnd"/>
            <w:r w:rsidRPr="00496908">
              <w:rPr>
                <w:rFonts w:cs="Arial"/>
                <w:bCs/>
                <w:lang w:val="es-CO"/>
              </w:rPr>
              <w:t xml:space="preserve">, Vaselina Pura, Agua de Rosas, Formol, Ácido Acético, Amoniaco, Sal Nitro, Sulfato de Cobre, Blanco de Zinc, Sulfato de Soda, Sal </w:t>
            </w:r>
            <w:proofErr w:type="spellStart"/>
            <w:r w:rsidRPr="00496908">
              <w:rPr>
                <w:rFonts w:cs="Arial"/>
                <w:bCs/>
                <w:lang w:val="es-CO"/>
              </w:rPr>
              <w:t>Bigua</w:t>
            </w:r>
            <w:proofErr w:type="spellEnd"/>
            <w:r w:rsidRPr="00496908">
              <w:rPr>
                <w:rFonts w:cs="Arial"/>
                <w:bCs/>
                <w:lang w:val="es-CO"/>
              </w:rPr>
              <w:t>, Azul de Metileno y otros</w:t>
            </w:r>
          </w:p>
        </w:tc>
      </w:tr>
      <w:tr w:rsidR="009A183B" w:rsidRPr="00496908" w14:paraId="116A62FF" w14:textId="77777777" w:rsidTr="00496908">
        <w:trPr>
          <w:cantSplit/>
        </w:trPr>
        <w:tc>
          <w:tcPr>
            <w:tcW w:w="3539" w:type="dxa"/>
          </w:tcPr>
          <w:p w14:paraId="32DDD38A" w14:textId="5CC914D7" w:rsidR="009A183B" w:rsidRPr="00133B9E" w:rsidRDefault="009A183B" w:rsidP="00070607">
            <w:pPr>
              <w:rPr>
                <w:rFonts w:cs="Arial"/>
                <w:b/>
                <w:lang w:val="es-CO"/>
              </w:rPr>
            </w:pPr>
            <w:r w:rsidRPr="00496908">
              <w:rPr>
                <w:rFonts w:cs="Arial"/>
                <w:b/>
                <w:lang w:val="es-CO"/>
              </w:rPr>
              <w:t>Drogas ilegales</w:t>
            </w:r>
          </w:p>
        </w:tc>
        <w:tc>
          <w:tcPr>
            <w:tcW w:w="5478" w:type="dxa"/>
          </w:tcPr>
          <w:p w14:paraId="030928AF" w14:textId="04D1978A" w:rsidR="009A183B" w:rsidRPr="00496908" w:rsidRDefault="009A183B" w:rsidP="007B4787">
            <w:pPr>
              <w:jc w:val="both"/>
              <w:rPr>
                <w:rFonts w:cs="Arial"/>
                <w:bCs/>
                <w:lang w:val="es-CO"/>
              </w:rPr>
            </w:pPr>
            <w:r w:rsidRPr="00496908">
              <w:rPr>
                <w:rFonts w:cs="Arial"/>
                <w:bCs/>
                <w:lang w:val="es-CO"/>
              </w:rPr>
              <w:t xml:space="preserve">Sustancia psicoactiva cuya producción, venta (no necesariamente su consumo) está prohibido por la legislación con carácter general. Una droga incluida en las listas de los acuerdos internacionales sobre control de </w:t>
            </w:r>
            <w:r w:rsidR="007B4787" w:rsidRPr="00496908">
              <w:rPr>
                <w:rFonts w:cs="Arial"/>
                <w:bCs/>
                <w:lang w:val="es-CO"/>
              </w:rPr>
              <w:t>drogas</w:t>
            </w:r>
            <w:r w:rsidRPr="00496908">
              <w:rPr>
                <w:rFonts w:cs="Arial"/>
                <w:bCs/>
                <w:lang w:val="es-CO"/>
              </w:rPr>
              <w:t xml:space="preserve"> sólo puede ser denominada ilegal (o ilícita) si su origen es ilícito. Si su origen es legal, entonces la droga en sí misma no es ilícita, pero lo pueden ser su venta o uso en determinadas circunstancias (menores de edad</w:t>
            </w:r>
            <w:r w:rsidR="007B4787">
              <w:rPr>
                <w:rFonts w:cs="Arial"/>
                <w:bCs/>
                <w:lang w:val="es-CO"/>
              </w:rPr>
              <w:t>).</w:t>
            </w:r>
            <w:r w:rsidR="007B4787" w:rsidRPr="00496908">
              <w:rPr>
                <w:rFonts w:cs="Arial"/>
                <w:bCs/>
                <w:lang w:val="es-CO"/>
              </w:rPr>
              <w:t xml:space="preserve"> </w:t>
            </w:r>
          </w:p>
        </w:tc>
      </w:tr>
      <w:tr w:rsidR="009A183B" w:rsidRPr="00496908" w14:paraId="6A6AC729" w14:textId="77777777" w:rsidTr="00496908">
        <w:trPr>
          <w:cantSplit/>
        </w:trPr>
        <w:tc>
          <w:tcPr>
            <w:tcW w:w="3539" w:type="dxa"/>
          </w:tcPr>
          <w:p w14:paraId="0497833E" w14:textId="45A10D38" w:rsidR="009A183B" w:rsidRPr="00133B9E" w:rsidRDefault="00DB33D2" w:rsidP="00070607">
            <w:pPr>
              <w:rPr>
                <w:rFonts w:cs="Arial"/>
                <w:b/>
                <w:lang w:val="es-CO"/>
              </w:rPr>
            </w:pPr>
            <w:r w:rsidRPr="00496908">
              <w:rPr>
                <w:rFonts w:cs="Arial"/>
                <w:b/>
                <w:lang w:val="es-CO"/>
              </w:rPr>
              <w:t>Drogas legales</w:t>
            </w:r>
          </w:p>
        </w:tc>
        <w:tc>
          <w:tcPr>
            <w:tcW w:w="5478" w:type="dxa"/>
          </w:tcPr>
          <w:p w14:paraId="43929BAB" w14:textId="08C26DBF" w:rsidR="009A183B" w:rsidRPr="00496908" w:rsidRDefault="007B4787" w:rsidP="007B4787">
            <w:pPr>
              <w:jc w:val="both"/>
              <w:rPr>
                <w:rFonts w:cs="Arial"/>
                <w:bCs/>
                <w:lang w:val="es-CO"/>
              </w:rPr>
            </w:pPr>
            <w:r>
              <w:rPr>
                <w:rFonts w:cs="Arial"/>
                <w:bCs/>
                <w:lang w:val="es-CO"/>
              </w:rPr>
              <w:t>S</w:t>
            </w:r>
            <w:r w:rsidR="00DB33D2" w:rsidRPr="00496908">
              <w:rPr>
                <w:rFonts w:cs="Arial"/>
                <w:bCs/>
                <w:lang w:val="es-CO"/>
              </w:rPr>
              <w:t>on aquellas sustancias psicoactivas cuya producción, venta y consumo no están prohibidos por la legislación (por ejemplo, el tabaco o el alcohol). En algunos casos su comercialización o uso, pueden estar sometidos a restricciones en función de determinadas circunstancias (horarios o tipos de establecimiento de venta, edad de los consumidores, etc.). En el caso de los fármacos, generalmente su venta legal está sometida a la prescripción facultativa</w:t>
            </w:r>
          </w:p>
        </w:tc>
      </w:tr>
      <w:tr w:rsidR="009A183B" w:rsidRPr="00496908" w14:paraId="1100BE81" w14:textId="77777777" w:rsidTr="00496908">
        <w:trPr>
          <w:cantSplit/>
        </w:trPr>
        <w:tc>
          <w:tcPr>
            <w:tcW w:w="3539" w:type="dxa"/>
          </w:tcPr>
          <w:p w14:paraId="56B84C3D" w14:textId="21C27AAD" w:rsidR="009A183B" w:rsidRPr="00133B9E" w:rsidRDefault="00DB33D2" w:rsidP="00496908">
            <w:pPr>
              <w:rPr>
                <w:rFonts w:cs="Arial"/>
                <w:b/>
                <w:lang w:val="es-CO"/>
              </w:rPr>
            </w:pPr>
            <w:r w:rsidRPr="00496908">
              <w:rPr>
                <w:rFonts w:cs="Arial"/>
                <w:b/>
                <w:lang w:val="es-CO"/>
              </w:rPr>
              <w:t>Droga de abuso</w:t>
            </w:r>
          </w:p>
        </w:tc>
        <w:tc>
          <w:tcPr>
            <w:tcW w:w="5478" w:type="dxa"/>
          </w:tcPr>
          <w:p w14:paraId="77519CFE" w14:textId="46C0411E" w:rsidR="009A183B" w:rsidRPr="00496908" w:rsidRDefault="00DB33D2" w:rsidP="007B4787">
            <w:pPr>
              <w:jc w:val="both"/>
              <w:rPr>
                <w:rFonts w:cs="Arial"/>
                <w:bCs/>
                <w:lang w:val="es-CO"/>
              </w:rPr>
            </w:pPr>
            <w:r w:rsidRPr="00496908">
              <w:rPr>
                <w:rFonts w:cs="Arial"/>
                <w:bCs/>
                <w:lang w:val="es-CO"/>
              </w:rPr>
              <w:t xml:space="preserve">En 1982 la OMS, intentó delimitar aquellas sustancias que producían dependencia y </w:t>
            </w:r>
            <w:proofErr w:type="gramStart"/>
            <w:r w:rsidRPr="00496908">
              <w:rPr>
                <w:rFonts w:cs="Arial"/>
                <w:bCs/>
                <w:lang w:val="es-CO"/>
              </w:rPr>
              <w:t>declaró como</w:t>
            </w:r>
            <w:proofErr w:type="gramEnd"/>
            <w:r w:rsidRPr="00496908">
              <w:rPr>
                <w:rFonts w:cs="Arial"/>
                <w:bCs/>
                <w:lang w:val="es-CO"/>
              </w:rPr>
              <w:t xml:space="preserve"> droga de abuso “aquella de uso no médico con efectos psicoactivos (cambios en la percepción, estado de ánimo, la conciencia y el comportamiento) y susceptible de ser autoadministrad</w:t>
            </w:r>
            <w:r w:rsidR="007B4787">
              <w:rPr>
                <w:rFonts w:cs="Arial"/>
                <w:bCs/>
                <w:lang w:val="es-CO"/>
              </w:rPr>
              <w:t>a</w:t>
            </w:r>
            <w:r w:rsidRPr="00496908">
              <w:rPr>
                <w:rFonts w:cs="Arial"/>
                <w:bCs/>
                <w:lang w:val="es-CO"/>
              </w:rPr>
              <w:t xml:space="preserve">. En el contexto internacional de control de drogas, una droga de abuso constituye cualquier sustancia bajo control internacional para </w:t>
            </w:r>
            <w:r w:rsidRPr="00496908">
              <w:rPr>
                <w:rFonts w:cs="Arial"/>
                <w:bCs/>
                <w:lang w:val="es-CO"/>
              </w:rPr>
              <w:lastRenderedPageBreak/>
              <w:t>fines distintos a los médicos, científicos, incluyendo uso sin prescripción, en niveles de dosis excesivos, o durante un periodo injustificado de tiempo</w:t>
            </w:r>
          </w:p>
        </w:tc>
      </w:tr>
      <w:tr w:rsidR="009A183B" w:rsidRPr="00496908" w14:paraId="00FAE472" w14:textId="77777777" w:rsidTr="00496908">
        <w:trPr>
          <w:cantSplit/>
        </w:trPr>
        <w:tc>
          <w:tcPr>
            <w:tcW w:w="3539" w:type="dxa"/>
          </w:tcPr>
          <w:p w14:paraId="5584133B" w14:textId="4CA23316" w:rsidR="009A183B" w:rsidRPr="00133B9E" w:rsidRDefault="00DB33D2" w:rsidP="00070607">
            <w:pPr>
              <w:rPr>
                <w:rFonts w:cs="Arial"/>
                <w:b/>
                <w:lang w:val="es-CO"/>
              </w:rPr>
            </w:pPr>
            <w:r w:rsidRPr="00496908">
              <w:rPr>
                <w:rFonts w:cs="Arial"/>
                <w:b/>
                <w:lang w:val="es-CO"/>
              </w:rPr>
              <w:lastRenderedPageBreak/>
              <w:t>Evento adverso</w:t>
            </w:r>
          </w:p>
        </w:tc>
        <w:tc>
          <w:tcPr>
            <w:tcW w:w="5478" w:type="dxa"/>
          </w:tcPr>
          <w:p w14:paraId="46E2AC5A" w14:textId="0E085032" w:rsidR="009A183B" w:rsidRPr="00496908" w:rsidRDefault="00DB33D2" w:rsidP="007B4787">
            <w:pPr>
              <w:jc w:val="both"/>
              <w:rPr>
                <w:rFonts w:cs="Arial"/>
                <w:bCs/>
                <w:lang w:val="es-CO"/>
              </w:rPr>
            </w:pPr>
            <w:r w:rsidRPr="00496908">
              <w:rPr>
                <w:rFonts w:cs="Arial"/>
                <w:bCs/>
                <w:lang w:val="es-CO"/>
              </w:rPr>
              <w:t>Cualquier suceso o incidencia médica (signo, síntoma o enfermedad) desafortunada que se produce durante el tratamiento con un medicamento pero que no tiene necesariamente una relación causal con dicho tratamiento. En este caso el punto básico es la coincidencia en el tiempo sin ninguna sospecha de una relación causal. Se catalogan como graves cuando: son mortales, amenazan la vida, causan o prolongan la hospitalización, causan incapacidad o discapacidad permanente, están relacionados con abuso o dependencia</w:t>
            </w:r>
          </w:p>
        </w:tc>
      </w:tr>
      <w:tr w:rsidR="00133B9E" w:rsidRPr="00496908" w14:paraId="4B1EC549" w14:textId="77777777" w:rsidTr="00496908">
        <w:trPr>
          <w:cantSplit/>
        </w:trPr>
        <w:tc>
          <w:tcPr>
            <w:tcW w:w="3539" w:type="dxa"/>
          </w:tcPr>
          <w:p w14:paraId="13BE7F46" w14:textId="119C6F11" w:rsidR="00133B9E" w:rsidRPr="00133B9E" w:rsidRDefault="00DB33D2" w:rsidP="00070607">
            <w:pPr>
              <w:rPr>
                <w:rFonts w:cs="Arial"/>
                <w:b/>
                <w:lang w:val="es-CO"/>
              </w:rPr>
            </w:pPr>
            <w:r w:rsidRPr="00496908">
              <w:rPr>
                <w:rFonts w:cs="Arial"/>
                <w:b/>
                <w:lang w:val="es-CO"/>
              </w:rPr>
              <w:t>Exposición</w:t>
            </w:r>
          </w:p>
        </w:tc>
        <w:tc>
          <w:tcPr>
            <w:tcW w:w="5478" w:type="dxa"/>
          </w:tcPr>
          <w:p w14:paraId="0E25619F" w14:textId="283E07C1" w:rsidR="00133B9E" w:rsidRPr="00496908" w:rsidRDefault="00DB33D2" w:rsidP="007B4787">
            <w:pPr>
              <w:jc w:val="both"/>
              <w:rPr>
                <w:rFonts w:cs="Arial"/>
                <w:bCs/>
                <w:lang w:val="es-CO"/>
              </w:rPr>
            </w:pPr>
            <w:r w:rsidRPr="00496908">
              <w:rPr>
                <w:rFonts w:cs="Arial"/>
                <w:bCs/>
                <w:lang w:val="es-CO"/>
              </w:rPr>
              <w:t>Situación en la cual una sustancia puede incidir, por cualquier vía, sobre una población, organismo, órgano, tejido o célula diana</w:t>
            </w:r>
            <w:r w:rsidRPr="00496908">
              <w:rPr>
                <w:rFonts w:cs="Arial"/>
                <w:bCs/>
                <w:lang w:val="es-CO"/>
              </w:rPr>
              <w:fldChar w:fldCharType="begin"/>
            </w:r>
            <w:r w:rsidRPr="00496908">
              <w:rPr>
                <w:rFonts w:cs="Arial"/>
                <w:bCs/>
                <w:lang w:val="es-CO"/>
              </w:rPr>
              <w:instrText xml:space="preserve"> ADDIN EN.CITE &lt;EndNote&gt;&lt;Cite&gt;&lt;Author&gt;Repetto&lt;/Author&gt;&lt;Year&gt;1995&lt;/Year&gt;&lt;RecNum&gt;2471&lt;/RecNum&gt;&lt;DisplayText&gt;(8)&lt;/DisplayText&gt;&lt;record&gt;&lt;rec-number&gt;2471&lt;/rec-number&gt;&lt;foreign-keys&gt;&lt;key app="EN" db-id="009rpx2x4zssace5atw5zppkzpwrsdtvxpdr"&gt;2471&lt;/key&gt;&lt;/foreign-keys&gt;&lt;ref-type name="Manuscript"&gt;36&lt;/ref-type&gt;&lt;contributors&gt;&lt;authors&gt;&lt;author&gt;Repetto, M.&lt;/author&gt;&lt;author&gt;Sanz, P.&lt;/author&gt;&lt;/authors&gt;&lt;/contributors&gt;&lt;titles&gt;&lt;title&gt;Glosario de términos usados en toxicología. Recomendaciones de la IUPAC 1993. Versión española. AET&lt;/title&gt;&lt;/titles&gt;&lt;dates&gt;&lt;year&gt;1995&lt;/year&gt;&lt;/dates&gt;&lt;urls&gt;&lt;/urls&gt;&lt;/record&gt;&lt;/Cite&gt;&lt;/EndNote&gt;</w:instrText>
            </w:r>
            <w:r w:rsidRPr="00496908">
              <w:rPr>
                <w:rFonts w:cs="Arial"/>
                <w:bCs/>
                <w:lang w:val="es-CO"/>
              </w:rPr>
              <w:fldChar w:fldCharType="end"/>
            </w:r>
            <w:r w:rsidRPr="00496908">
              <w:rPr>
                <w:rFonts w:cs="Arial"/>
                <w:bCs/>
                <w:lang w:val="es-CO"/>
              </w:rPr>
              <w:t>. Otra definición de exposición es la concentración, cantidad o intensidad de un determinado agente físico, químico o biológico, que incide sobre una población, organismo, órgano o célula diana; usualmente se expresa en términos cuantitativos de concentración, duración y frecuencia (para agentes químicos y microbiológicos) o de intensidad (para agentes físicos)</w:t>
            </w:r>
            <w:r w:rsidR="007B4787">
              <w:rPr>
                <w:rFonts w:cs="Arial"/>
                <w:bCs/>
                <w:lang w:val="es-CO"/>
              </w:rPr>
              <w:t>.</w:t>
            </w:r>
          </w:p>
        </w:tc>
      </w:tr>
      <w:tr w:rsidR="00DB33D2" w:rsidRPr="00496908" w14:paraId="71F828C1" w14:textId="77777777" w:rsidTr="00496908">
        <w:trPr>
          <w:cantSplit/>
        </w:trPr>
        <w:tc>
          <w:tcPr>
            <w:tcW w:w="3539" w:type="dxa"/>
          </w:tcPr>
          <w:p w14:paraId="5C519DD2" w14:textId="35DE90FA" w:rsidR="00DB33D2" w:rsidRPr="00133B9E" w:rsidRDefault="00496908" w:rsidP="00070607">
            <w:pPr>
              <w:rPr>
                <w:rFonts w:cs="Arial"/>
                <w:b/>
                <w:lang w:val="es-CO"/>
              </w:rPr>
            </w:pPr>
            <w:r w:rsidRPr="00496908">
              <w:rPr>
                <w:rFonts w:cs="Arial"/>
                <w:b/>
                <w:lang w:val="es-CO"/>
              </w:rPr>
              <w:t>Fármaco</w:t>
            </w:r>
          </w:p>
        </w:tc>
        <w:tc>
          <w:tcPr>
            <w:tcW w:w="5478" w:type="dxa"/>
          </w:tcPr>
          <w:p w14:paraId="42207368" w14:textId="11E9AFF0" w:rsidR="00DB33D2" w:rsidRPr="00496908" w:rsidRDefault="00496908" w:rsidP="003840FE">
            <w:pPr>
              <w:jc w:val="both"/>
              <w:rPr>
                <w:rFonts w:cs="Arial"/>
                <w:bCs/>
                <w:lang w:val="es-CO"/>
              </w:rPr>
            </w:pPr>
            <w:r w:rsidRPr="00496908">
              <w:rPr>
                <w:rFonts w:cs="Arial"/>
                <w:bCs/>
                <w:lang w:val="es-CO"/>
              </w:rPr>
              <w:t>Es el principio activo de un producto farmacéutico</w:t>
            </w:r>
          </w:p>
        </w:tc>
      </w:tr>
      <w:tr w:rsidR="00DB33D2" w:rsidRPr="00496908" w14:paraId="026CD8C7" w14:textId="77777777" w:rsidTr="00496908">
        <w:trPr>
          <w:cantSplit/>
        </w:trPr>
        <w:tc>
          <w:tcPr>
            <w:tcW w:w="3539" w:type="dxa"/>
          </w:tcPr>
          <w:p w14:paraId="003329E7" w14:textId="227AA940" w:rsidR="00DB33D2" w:rsidRPr="00133B9E" w:rsidRDefault="00496908" w:rsidP="00496908">
            <w:pPr>
              <w:rPr>
                <w:rFonts w:cs="Arial"/>
                <w:b/>
                <w:lang w:val="es-CO"/>
              </w:rPr>
            </w:pPr>
            <w:r w:rsidRPr="00496908">
              <w:rPr>
                <w:rFonts w:cs="Arial"/>
                <w:b/>
                <w:lang w:val="es-CO"/>
              </w:rPr>
              <w:t>Farmacovigilancia</w:t>
            </w:r>
          </w:p>
        </w:tc>
        <w:tc>
          <w:tcPr>
            <w:tcW w:w="5478" w:type="dxa"/>
          </w:tcPr>
          <w:p w14:paraId="45DB2024" w14:textId="6F11D4E5" w:rsidR="00DB33D2" w:rsidRPr="00496908" w:rsidRDefault="00496908" w:rsidP="003840FE">
            <w:pPr>
              <w:jc w:val="both"/>
              <w:rPr>
                <w:rFonts w:cs="Arial"/>
                <w:bCs/>
                <w:lang w:val="es-CO"/>
              </w:rPr>
            </w:pPr>
            <w:r w:rsidRPr="00496908">
              <w:rPr>
                <w:rFonts w:cs="Arial"/>
                <w:bCs/>
                <w:lang w:val="es-CO"/>
              </w:rPr>
              <w:t>Es la ciencia y actividades relativas con la detección, evaluación y prevención de los efectos adversos o cualquier otro problema relacionado con los medicamentos</w:t>
            </w:r>
          </w:p>
        </w:tc>
      </w:tr>
      <w:tr w:rsidR="00DB33D2" w:rsidRPr="00496908" w14:paraId="641A0276" w14:textId="77777777" w:rsidTr="00496908">
        <w:trPr>
          <w:cantSplit/>
        </w:trPr>
        <w:tc>
          <w:tcPr>
            <w:tcW w:w="3539" w:type="dxa"/>
          </w:tcPr>
          <w:p w14:paraId="238466AA" w14:textId="76714834" w:rsidR="00DB33D2" w:rsidRPr="00133B9E" w:rsidRDefault="00496908" w:rsidP="00070607">
            <w:pPr>
              <w:rPr>
                <w:rFonts w:cs="Arial"/>
                <w:b/>
                <w:lang w:val="es-CO"/>
              </w:rPr>
            </w:pPr>
            <w:r w:rsidRPr="00496908">
              <w:rPr>
                <w:rFonts w:cs="Arial"/>
                <w:b/>
                <w:lang w:val="es-CO"/>
              </w:rPr>
              <w:t>Intoxicación</w:t>
            </w:r>
          </w:p>
        </w:tc>
        <w:tc>
          <w:tcPr>
            <w:tcW w:w="5478" w:type="dxa"/>
          </w:tcPr>
          <w:p w14:paraId="29635E01" w14:textId="2253CD22" w:rsidR="00DB33D2" w:rsidRPr="00496908" w:rsidRDefault="00496908" w:rsidP="003840FE">
            <w:pPr>
              <w:jc w:val="both"/>
              <w:rPr>
                <w:rFonts w:cs="Arial"/>
                <w:bCs/>
                <w:lang w:val="es-CO"/>
              </w:rPr>
            </w:pPr>
            <w:r w:rsidRPr="00496908">
              <w:rPr>
                <w:rFonts w:cs="Arial"/>
                <w:bCs/>
                <w:lang w:val="es-CO"/>
              </w:rPr>
              <w:t>Proceso patológico, con signos y síntomas clínicos, causado por una sustancia de origen exógeno o endógeno</w:t>
            </w:r>
          </w:p>
        </w:tc>
      </w:tr>
      <w:tr w:rsidR="00DB33D2" w:rsidRPr="00496908" w14:paraId="390FB7A0" w14:textId="77777777" w:rsidTr="00496908">
        <w:trPr>
          <w:cantSplit/>
        </w:trPr>
        <w:tc>
          <w:tcPr>
            <w:tcW w:w="3539" w:type="dxa"/>
          </w:tcPr>
          <w:p w14:paraId="737D27FE" w14:textId="5D41AE7B" w:rsidR="00DB33D2" w:rsidRPr="00133B9E" w:rsidRDefault="00496908" w:rsidP="00496908">
            <w:pPr>
              <w:rPr>
                <w:rFonts w:cs="Arial"/>
                <w:b/>
                <w:lang w:val="es-CO"/>
              </w:rPr>
            </w:pPr>
            <w:r w:rsidRPr="00496908">
              <w:rPr>
                <w:rFonts w:cs="Arial"/>
                <w:b/>
                <w:lang w:val="es-CO"/>
              </w:rPr>
              <w:t>Intoxicación aguda</w:t>
            </w:r>
          </w:p>
        </w:tc>
        <w:tc>
          <w:tcPr>
            <w:tcW w:w="5478" w:type="dxa"/>
          </w:tcPr>
          <w:p w14:paraId="23742081" w14:textId="6C77899D" w:rsidR="00DB33D2" w:rsidRPr="00496908" w:rsidRDefault="00496908" w:rsidP="003840FE">
            <w:pPr>
              <w:jc w:val="both"/>
              <w:rPr>
                <w:rFonts w:cs="Arial"/>
                <w:bCs/>
                <w:lang w:val="es-CO"/>
              </w:rPr>
            </w:pPr>
            <w:r w:rsidRPr="00496908">
              <w:rPr>
                <w:rFonts w:cs="Arial"/>
                <w:bCs/>
                <w:lang w:val="es-CO"/>
              </w:rPr>
              <w:t>Es aquella cuyas manifestaciones clínicas aparecen en las primeras 48 horas después del contacto con el tóxico</w:t>
            </w:r>
          </w:p>
        </w:tc>
      </w:tr>
      <w:tr w:rsidR="00DB33D2" w:rsidRPr="00496908" w14:paraId="63C846FF" w14:textId="77777777" w:rsidTr="00496908">
        <w:trPr>
          <w:cantSplit/>
        </w:trPr>
        <w:tc>
          <w:tcPr>
            <w:tcW w:w="3539" w:type="dxa"/>
          </w:tcPr>
          <w:p w14:paraId="5BECE869" w14:textId="76AC0997" w:rsidR="00DB33D2" w:rsidRPr="00496908" w:rsidRDefault="00496908" w:rsidP="00070607">
            <w:pPr>
              <w:rPr>
                <w:rFonts w:cs="Arial"/>
                <w:b/>
                <w:lang w:val="es-CO"/>
              </w:rPr>
            </w:pPr>
            <w:r w:rsidRPr="00496908">
              <w:rPr>
                <w:rFonts w:cs="Arial"/>
                <w:b/>
                <w:lang w:val="es-CO"/>
              </w:rPr>
              <w:t>Intoxicación subaguda</w:t>
            </w:r>
          </w:p>
        </w:tc>
        <w:tc>
          <w:tcPr>
            <w:tcW w:w="5478" w:type="dxa"/>
          </w:tcPr>
          <w:p w14:paraId="2A9CFDFB" w14:textId="73FEFC53" w:rsidR="00DB33D2" w:rsidRPr="00496908" w:rsidRDefault="00496908" w:rsidP="003840FE">
            <w:pPr>
              <w:jc w:val="both"/>
              <w:rPr>
                <w:rFonts w:cs="Arial"/>
                <w:bCs/>
                <w:lang w:val="es-CO"/>
              </w:rPr>
            </w:pPr>
            <w:r w:rsidRPr="00496908">
              <w:rPr>
                <w:rFonts w:cs="Arial"/>
                <w:bCs/>
                <w:lang w:val="es-CO"/>
              </w:rPr>
              <w:t>Es aquella cuyas manifestaciones clínicas se presentan dentro de un periodo de 30 a 120 días</w:t>
            </w:r>
          </w:p>
        </w:tc>
      </w:tr>
      <w:tr w:rsidR="00496908" w:rsidRPr="00496908" w14:paraId="06D6E2A6" w14:textId="77777777" w:rsidTr="00496908">
        <w:trPr>
          <w:cantSplit/>
        </w:trPr>
        <w:tc>
          <w:tcPr>
            <w:tcW w:w="3539" w:type="dxa"/>
          </w:tcPr>
          <w:p w14:paraId="443BBE91" w14:textId="5BDCB839" w:rsidR="00496908" w:rsidRPr="00133B9E" w:rsidRDefault="00496908" w:rsidP="00070607">
            <w:pPr>
              <w:rPr>
                <w:rFonts w:cs="Arial"/>
                <w:b/>
                <w:lang w:val="es-CO"/>
              </w:rPr>
            </w:pPr>
            <w:r w:rsidRPr="00496908">
              <w:rPr>
                <w:rFonts w:cs="Arial"/>
                <w:b/>
                <w:lang w:val="es-CO"/>
              </w:rPr>
              <w:t>Intoxicación crónica</w:t>
            </w:r>
          </w:p>
        </w:tc>
        <w:tc>
          <w:tcPr>
            <w:tcW w:w="5478" w:type="dxa"/>
          </w:tcPr>
          <w:p w14:paraId="430A8D2D" w14:textId="0C2D3AED" w:rsidR="00496908" w:rsidRPr="00496908" w:rsidRDefault="00496908" w:rsidP="003840FE">
            <w:pPr>
              <w:jc w:val="both"/>
              <w:rPr>
                <w:rFonts w:cs="Arial"/>
                <w:bCs/>
                <w:lang w:val="es-CO"/>
              </w:rPr>
            </w:pPr>
            <w:r w:rsidRPr="00496908">
              <w:rPr>
                <w:rFonts w:cs="Arial"/>
                <w:bCs/>
                <w:lang w:val="es-CO"/>
              </w:rPr>
              <w:t xml:space="preserve">Es aquella cuyas manifestaciones clínicas aparecen tardíamente, generalmente, después de </w:t>
            </w:r>
            <w:r w:rsidRPr="00496908">
              <w:rPr>
                <w:rFonts w:cs="Arial"/>
                <w:bCs/>
                <w:lang w:val="es-CO"/>
              </w:rPr>
              <w:lastRenderedPageBreak/>
              <w:t>3 a 6 meses e incluso años, después del contacto con el tóxico</w:t>
            </w:r>
          </w:p>
        </w:tc>
      </w:tr>
      <w:tr w:rsidR="00496908" w:rsidRPr="00496908" w14:paraId="2956D522" w14:textId="77777777" w:rsidTr="00496908">
        <w:trPr>
          <w:cantSplit/>
        </w:trPr>
        <w:tc>
          <w:tcPr>
            <w:tcW w:w="3539" w:type="dxa"/>
          </w:tcPr>
          <w:p w14:paraId="1A1D9FD7" w14:textId="7AD1D2B8" w:rsidR="00496908" w:rsidRPr="00133B9E" w:rsidRDefault="00496908" w:rsidP="00496908">
            <w:pPr>
              <w:rPr>
                <w:rFonts w:cs="Arial"/>
                <w:b/>
                <w:lang w:val="es-CO"/>
              </w:rPr>
            </w:pPr>
            <w:r>
              <w:rPr>
                <w:rFonts w:cs="Arial"/>
                <w:b/>
                <w:lang w:val="es-CO"/>
              </w:rPr>
              <w:lastRenderedPageBreak/>
              <w:tab/>
            </w:r>
            <w:r w:rsidRPr="00496908">
              <w:rPr>
                <w:rFonts w:cs="Arial"/>
                <w:b/>
                <w:lang w:val="es-CO"/>
              </w:rPr>
              <w:t xml:space="preserve"> </w:t>
            </w:r>
            <w:r w:rsidRPr="00496908">
              <w:rPr>
                <w:rFonts w:cs="Arial"/>
                <w:b/>
                <w:lang w:val="es-CO"/>
              </w:rPr>
              <w:t>Medicamento homeopático</w:t>
            </w:r>
          </w:p>
        </w:tc>
        <w:tc>
          <w:tcPr>
            <w:tcW w:w="5478" w:type="dxa"/>
          </w:tcPr>
          <w:p w14:paraId="7D89C4FB" w14:textId="2C89B9A0" w:rsidR="00496908" w:rsidRPr="00496908" w:rsidRDefault="00496908" w:rsidP="003840FE">
            <w:pPr>
              <w:jc w:val="both"/>
              <w:rPr>
                <w:rFonts w:cs="Arial"/>
                <w:bCs/>
                <w:lang w:val="es-CO"/>
              </w:rPr>
            </w:pPr>
            <w:r w:rsidRPr="00496908">
              <w:rPr>
                <w:rFonts w:cs="Arial"/>
                <w:bCs/>
                <w:lang w:val="es-CO"/>
              </w:rPr>
              <w:t>Es el preparado farmacéutico obtenido por técnicas homeopáticas, conforme a las reglas descritas en las farmacopeas oficiales aceptadas en el país, con el objeto de prevenir la enfermedad, aliviar, curar, tratar y/o rehabilitar un paciente. Los envases, rótulos, etiquetas y empaques hacen parte integral del medicamento, por cuanto estos garantizan su calidad, estabilidad y uso adecuado</w:t>
            </w:r>
          </w:p>
        </w:tc>
      </w:tr>
      <w:tr w:rsidR="00496908" w:rsidRPr="00496908" w14:paraId="077AC2BE" w14:textId="77777777" w:rsidTr="00496908">
        <w:trPr>
          <w:cantSplit/>
        </w:trPr>
        <w:tc>
          <w:tcPr>
            <w:tcW w:w="3539" w:type="dxa"/>
          </w:tcPr>
          <w:p w14:paraId="5C9AD964" w14:textId="05FBA066" w:rsidR="00496908" w:rsidRPr="00133B9E" w:rsidRDefault="00496908" w:rsidP="00070607">
            <w:pPr>
              <w:rPr>
                <w:rFonts w:cs="Arial"/>
                <w:b/>
                <w:lang w:val="es-CO"/>
              </w:rPr>
            </w:pPr>
            <w:r w:rsidRPr="00496908">
              <w:rPr>
                <w:rFonts w:cs="Arial"/>
                <w:b/>
                <w:lang w:val="es-CO"/>
              </w:rPr>
              <w:t>Medicamentos oficinales</w:t>
            </w:r>
          </w:p>
        </w:tc>
        <w:tc>
          <w:tcPr>
            <w:tcW w:w="5478" w:type="dxa"/>
          </w:tcPr>
          <w:p w14:paraId="3B92BD73" w14:textId="1BDA3795" w:rsidR="00496908" w:rsidRPr="00496908" w:rsidRDefault="00496908" w:rsidP="003840FE">
            <w:pPr>
              <w:jc w:val="both"/>
              <w:rPr>
                <w:rFonts w:cs="Arial"/>
                <w:bCs/>
                <w:lang w:val="es-CO"/>
              </w:rPr>
            </w:pPr>
            <w:r w:rsidRPr="00496908">
              <w:rPr>
                <w:rFonts w:cs="Arial"/>
                <w:bCs/>
                <w:lang w:val="es-CO"/>
              </w:rPr>
              <w:t xml:space="preserve">Son aquellos productos preparados según las farmacopeas oficiales tales como: Alcohol Yodado, Yodo, Solución Tópica de Yodo, Solución Fuerte de Yodo, Tintura de </w:t>
            </w:r>
            <w:proofErr w:type="spellStart"/>
            <w:r w:rsidRPr="00496908">
              <w:rPr>
                <w:rFonts w:cs="Arial"/>
                <w:bCs/>
                <w:lang w:val="es-CO"/>
              </w:rPr>
              <w:t>Thimerosal</w:t>
            </w:r>
            <w:proofErr w:type="spellEnd"/>
            <w:r w:rsidRPr="00496908">
              <w:rPr>
                <w:rFonts w:cs="Arial"/>
                <w:bCs/>
                <w:lang w:val="es-CO"/>
              </w:rPr>
              <w:t xml:space="preserve">, </w:t>
            </w:r>
            <w:proofErr w:type="spellStart"/>
            <w:r w:rsidRPr="00496908">
              <w:rPr>
                <w:rFonts w:cs="Arial"/>
                <w:bCs/>
                <w:lang w:val="es-CO"/>
              </w:rPr>
              <w:t>Thimerosal</w:t>
            </w:r>
            <w:proofErr w:type="spellEnd"/>
            <w:r w:rsidRPr="00496908">
              <w:rPr>
                <w:rFonts w:cs="Arial"/>
                <w:bCs/>
                <w:lang w:val="es-CO"/>
              </w:rPr>
              <w:t xml:space="preserve"> Solución Tópica, Tintura de Benjuí, Glicerina Carbonatada y Aceite de Ricino. Debido a sus uso, comercialización y formulación esto productos se expenden, en algunos casos, en forma farmacéutica dosificadas y con indicaciones terapéuticas</w:t>
            </w:r>
          </w:p>
        </w:tc>
      </w:tr>
      <w:tr w:rsidR="00496908" w:rsidRPr="00496908" w14:paraId="3EC95FEC" w14:textId="77777777" w:rsidTr="00496908">
        <w:trPr>
          <w:cantSplit/>
        </w:trPr>
        <w:tc>
          <w:tcPr>
            <w:tcW w:w="3539" w:type="dxa"/>
          </w:tcPr>
          <w:p w14:paraId="14287BDC" w14:textId="37523622" w:rsidR="00496908" w:rsidRPr="00133B9E" w:rsidRDefault="00496908" w:rsidP="00070607">
            <w:pPr>
              <w:rPr>
                <w:rFonts w:cs="Arial"/>
                <w:b/>
                <w:lang w:val="es-CO"/>
              </w:rPr>
            </w:pPr>
            <w:r w:rsidRPr="00496908">
              <w:rPr>
                <w:rFonts w:cs="Arial"/>
                <w:b/>
                <w:lang w:val="es-CO"/>
              </w:rPr>
              <w:t>Medicamentos veterinarios</w:t>
            </w:r>
          </w:p>
        </w:tc>
        <w:tc>
          <w:tcPr>
            <w:tcW w:w="5478" w:type="dxa"/>
          </w:tcPr>
          <w:p w14:paraId="702461D0" w14:textId="7ABF8897" w:rsidR="00496908" w:rsidRPr="00496908" w:rsidRDefault="00496908" w:rsidP="003840FE">
            <w:pPr>
              <w:jc w:val="both"/>
              <w:rPr>
                <w:rFonts w:cs="Arial"/>
                <w:bCs/>
                <w:lang w:val="es-CO"/>
              </w:rPr>
            </w:pPr>
            <w:r w:rsidRPr="00496908">
              <w:rPr>
                <w:rFonts w:cs="Arial"/>
                <w:bCs/>
                <w:lang w:val="es-CO"/>
              </w:rPr>
              <w:t>Cualquier sustancia aplicada o administrada a cualquier animal doméstico, tanto si se emplea con fines terapéuticos, profilácticos o de diagnóstico, o para modificar las funciones fisiológicas o de comportamiento</w:t>
            </w:r>
            <w:r w:rsidRPr="00496908">
              <w:rPr>
                <w:rFonts w:cs="Arial"/>
                <w:bCs/>
                <w:lang w:val="es-CO"/>
              </w:rPr>
              <w:fldChar w:fldCharType="begin" w:fldLock="1"/>
            </w:r>
            <w:r w:rsidRPr="00496908">
              <w:rPr>
                <w:rFonts w:cs="Arial"/>
                <w:bCs/>
                <w:lang w:val="es-CO"/>
              </w:rPr>
              <w:instrText>ADDIN CSL_CITATION { "citationItems" : [ { "id" : "ITEM-1", "itemData" : { "author" : [ { "dropping-particle" : "", "family" : "Rural.", "given" : "Ministerio de Agricultura y Desarrollo", "non-dropping-particle" : "", "parse-names" : false, "suffix" : "" } ], "id" : "ITEM-1", "issued" : { "date-parts" : [ [ "2002" ] ] }, "title" : "Resoluci\u00f3n 00074. Establece el reglamento para la producci\u00f3n primaria, procesamiento, empacado, etiquetado, almacenamiento, certificaci\u00f3n, importaci\u00f3n y comercializaci\u00f3n de productos agropecuarios", "type" : "report" }, "uris" : [ "http://www.mendeley.com/documents/?uuid=51b27a94-f205-479d-a42a-868eead2767d" ] } ], "mendeley" : { "formattedCitation" : "(17)", "plainTextFormattedCitation" : "(17)", "previouslyFormattedCitation" : "(17)" }, "properties" : { "noteIndex" : 0 }, "schema" : "https://github.com/citation-style-language/schema/raw/master/csl-citation.json" }</w:instrText>
            </w:r>
            <w:r w:rsidRPr="00496908">
              <w:rPr>
                <w:rFonts w:cs="Arial"/>
                <w:bCs/>
                <w:lang w:val="es-CO"/>
              </w:rPr>
              <w:fldChar w:fldCharType="separate"/>
            </w:r>
            <w:r w:rsidRPr="00496908">
              <w:rPr>
                <w:rFonts w:cs="Arial"/>
                <w:bCs/>
                <w:lang w:val="es-CO"/>
              </w:rPr>
              <w:fldChar w:fldCharType="end"/>
            </w:r>
            <w:r w:rsidRPr="00496908">
              <w:rPr>
                <w:rFonts w:cs="Arial"/>
                <w:bCs/>
                <w:lang w:val="es-CO"/>
              </w:rPr>
              <w:t xml:space="preserve">. Para los efectos de la notificación del evento esta denominación no incluye los plaguicidas como medicamentos veterinarios, y cuando sea el caso se </w:t>
            </w:r>
            <w:r w:rsidR="003840FE" w:rsidRPr="00496908">
              <w:rPr>
                <w:rFonts w:cs="Arial"/>
                <w:bCs/>
                <w:lang w:val="es-CO"/>
              </w:rPr>
              <w:t>reportarán</w:t>
            </w:r>
            <w:r w:rsidRPr="00496908">
              <w:rPr>
                <w:rFonts w:cs="Arial"/>
                <w:bCs/>
                <w:lang w:val="es-CO"/>
              </w:rPr>
              <w:t xml:space="preserve"> como intoxicación por plaguicidas</w:t>
            </w:r>
          </w:p>
        </w:tc>
      </w:tr>
      <w:tr w:rsidR="00496908" w:rsidRPr="00496908" w14:paraId="59DC15DD" w14:textId="77777777" w:rsidTr="00496908">
        <w:trPr>
          <w:cantSplit/>
        </w:trPr>
        <w:tc>
          <w:tcPr>
            <w:tcW w:w="3539" w:type="dxa"/>
          </w:tcPr>
          <w:p w14:paraId="4E097584" w14:textId="0FEEC34A" w:rsidR="00496908" w:rsidRPr="00133B9E" w:rsidRDefault="00496908" w:rsidP="00070607">
            <w:pPr>
              <w:rPr>
                <w:rFonts w:cs="Arial"/>
                <w:b/>
                <w:lang w:val="es-CO"/>
              </w:rPr>
            </w:pPr>
            <w:r w:rsidRPr="00496908">
              <w:rPr>
                <w:rFonts w:cs="Arial"/>
                <w:b/>
                <w:lang w:val="es-CO"/>
              </w:rPr>
              <w:t xml:space="preserve">Producto </w:t>
            </w:r>
            <w:proofErr w:type="spellStart"/>
            <w:r w:rsidRPr="00496908">
              <w:rPr>
                <w:rFonts w:cs="Arial"/>
                <w:b/>
                <w:lang w:val="es-CO"/>
              </w:rPr>
              <w:t>fitoterapéutico</w:t>
            </w:r>
            <w:proofErr w:type="spellEnd"/>
          </w:p>
        </w:tc>
        <w:tc>
          <w:tcPr>
            <w:tcW w:w="5478" w:type="dxa"/>
          </w:tcPr>
          <w:p w14:paraId="5BEE23B1" w14:textId="2F195B03" w:rsidR="00496908" w:rsidRPr="00496908" w:rsidRDefault="00496908" w:rsidP="003840FE">
            <w:pPr>
              <w:jc w:val="both"/>
              <w:rPr>
                <w:rFonts w:cs="Arial"/>
                <w:bCs/>
                <w:lang w:val="es-CO"/>
              </w:rPr>
            </w:pPr>
            <w:r w:rsidRPr="00496908">
              <w:rPr>
                <w:rFonts w:cs="Arial"/>
                <w:bCs/>
                <w:lang w:val="es-CO"/>
              </w:rPr>
              <w:t xml:space="preserve">Producto medicinal empacado y etiquetado, cuyas sustancias activas provienen del material de una planta medicinal o sus asociaciones, presentado en estado bruto o en forma farmacéutica, y que se utiliza con fines terapéuticos. También puede provenir de extractos, tinturas o aceites. No podrá contener en su formulación principios activos aislados y químicamente definidos. Los productos obtenidos del material de la planta medicinal, que hayan sido procesados y obtenidos en forma pura, no serán clasificados como productos </w:t>
            </w:r>
            <w:proofErr w:type="spellStart"/>
            <w:r w:rsidRPr="00496908">
              <w:rPr>
                <w:rFonts w:cs="Arial"/>
                <w:bCs/>
                <w:lang w:val="es-CO"/>
              </w:rPr>
              <w:t>fitoterapéuticos</w:t>
            </w:r>
            <w:proofErr w:type="spellEnd"/>
          </w:p>
        </w:tc>
      </w:tr>
      <w:tr w:rsidR="00496908" w:rsidRPr="00496908" w14:paraId="46253942" w14:textId="77777777" w:rsidTr="00496908">
        <w:trPr>
          <w:cantSplit/>
        </w:trPr>
        <w:tc>
          <w:tcPr>
            <w:tcW w:w="3539" w:type="dxa"/>
          </w:tcPr>
          <w:p w14:paraId="5671580A" w14:textId="4E24104A" w:rsidR="00496908" w:rsidRPr="00496908" w:rsidRDefault="00496908" w:rsidP="00070607">
            <w:pPr>
              <w:rPr>
                <w:rFonts w:cs="Arial"/>
                <w:b/>
                <w:lang w:val="es-CO"/>
              </w:rPr>
            </w:pPr>
            <w:r w:rsidRPr="00496908">
              <w:rPr>
                <w:rFonts w:cs="Arial"/>
                <w:b/>
                <w:lang w:val="es-CO"/>
              </w:rPr>
              <w:t>Plantas medicinales aceptadas con fines terapéuticos</w:t>
            </w:r>
          </w:p>
        </w:tc>
        <w:tc>
          <w:tcPr>
            <w:tcW w:w="5478" w:type="dxa"/>
          </w:tcPr>
          <w:p w14:paraId="554B55BE" w14:textId="6BD8AD3B" w:rsidR="00496908" w:rsidRPr="00496908" w:rsidRDefault="00496908" w:rsidP="003840FE">
            <w:pPr>
              <w:jc w:val="both"/>
              <w:rPr>
                <w:rFonts w:cs="Arial"/>
                <w:bCs/>
                <w:lang w:val="es-CO"/>
              </w:rPr>
            </w:pPr>
            <w:r w:rsidRPr="00496908">
              <w:rPr>
                <w:rFonts w:cs="Arial"/>
                <w:bCs/>
                <w:lang w:val="es-CO"/>
              </w:rPr>
              <w:t xml:space="preserve">Es el listado de plantas medicinales aceptadas con fines terapéuticos, que se encuentran incluidas en normas farmacológicas colombianas </w:t>
            </w:r>
            <w:r w:rsidRPr="00496908">
              <w:rPr>
                <w:rFonts w:cs="Arial"/>
                <w:bCs/>
                <w:lang w:val="es-CO"/>
              </w:rPr>
              <w:lastRenderedPageBreak/>
              <w:t>vigentes atendiendo a criterios de seguridad y eficacia</w:t>
            </w:r>
          </w:p>
        </w:tc>
      </w:tr>
      <w:tr w:rsidR="00496908" w:rsidRPr="00496908" w14:paraId="59A5FE5C" w14:textId="77777777" w:rsidTr="00496908">
        <w:trPr>
          <w:cantSplit/>
        </w:trPr>
        <w:tc>
          <w:tcPr>
            <w:tcW w:w="3539" w:type="dxa"/>
          </w:tcPr>
          <w:p w14:paraId="5A26727C" w14:textId="4489C9C0" w:rsidR="00496908" w:rsidRPr="00496908" w:rsidRDefault="00496908" w:rsidP="00070607">
            <w:pPr>
              <w:rPr>
                <w:rFonts w:cs="Arial"/>
                <w:b/>
                <w:lang w:val="es-CO"/>
              </w:rPr>
            </w:pPr>
            <w:r w:rsidRPr="00496908">
              <w:rPr>
                <w:rFonts w:cs="Arial"/>
                <w:b/>
                <w:lang w:val="es-CO"/>
              </w:rPr>
              <w:lastRenderedPageBreak/>
              <w:t xml:space="preserve">Reacción adversa producidas por medicamentos - RAM (adverse </w:t>
            </w:r>
            <w:proofErr w:type="spellStart"/>
            <w:r w:rsidRPr="00496908">
              <w:rPr>
                <w:rFonts w:cs="Arial"/>
                <w:b/>
                <w:lang w:val="es-CO"/>
              </w:rPr>
              <w:t>drug</w:t>
            </w:r>
            <w:proofErr w:type="spellEnd"/>
            <w:r w:rsidRPr="00496908">
              <w:rPr>
                <w:rFonts w:cs="Arial"/>
                <w:b/>
                <w:lang w:val="es-CO"/>
              </w:rPr>
              <w:t xml:space="preserve"> </w:t>
            </w:r>
            <w:proofErr w:type="spellStart"/>
            <w:r w:rsidRPr="00496908">
              <w:rPr>
                <w:rFonts w:cs="Arial"/>
                <w:b/>
                <w:lang w:val="es-CO"/>
              </w:rPr>
              <w:t>reaction</w:t>
            </w:r>
            <w:proofErr w:type="spellEnd"/>
            <w:r w:rsidRPr="00496908">
              <w:rPr>
                <w:rFonts w:cs="Arial"/>
                <w:b/>
                <w:lang w:val="es-CO"/>
              </w:rPr>
              <w:t>):</w:t>
            </w:r>
          </w:p>
        </w:tc>
        <w:tc>
          <w:tcPr>
            <w:tcW w:w="5478" w:type="dxa"/>
          </w:tcPr>
          <w:p w14:paraId="1002E208" w14:textId="717FCFBB" w:rsidR="00496908" w:rsidRPr="00496908" w:rsidRDefault="00496908" w:rsidP="003840FE">
            <w:pPr>
              <w:jc w:val="both"/>
              <w:rPr>
                <w:rFonts w:cs="Arial"/>
                <w:bCs/>
                <w:lang w:val="es-CO"/>
              </w:rPr>
            </w:pPr>
            <w:r w:rsidRPr="00496908">
              <w:rPr>
                <w:rFonts w:cs="Arial"/>
                <w:bCs/>
                <w:lang w:val="es-CO"/>
              </w:rPr>
              <w:t>Es una respuesta nociva y no intencionada a un medicamento que se produce con las dosis utilizadas normalmente para obtener una actividad terapéutica, profilaxis o diagnóstico. Por tanto, las RAM son efectos no deseados ni intencionados de un medicamento, incluidos los efectos idiosincrásicos, que se producen durante su uso adecuado. Difieren de la dosificación excesiva accidental o intencionada o de la mala administración de un medicamento</w:t>
            </w:r>
          </w:p>
        </w:tc>
      </w:tr>
      <w:tr w:rsidR="00496908" w:rsidRPr="00496908" w14:paraId="1BE0CEF3" w14:textId="77777777" w:rsidTr="00496908">
        <w:trPr>
          <w:cantSplit/>
        </w:trPr>
        <w:tc>
          <w:tcPr>
            <w:tcW w:w="3539" w:type="dxa"/>
          </w:tcPr>
          <w:p w14:paraId="54B1FFB7" w14:textId="7CF8A6B0" w:rsidR="00496908" w:rsidRPr="00496908" w:rsidRDefault="00496908" w:rsidP="00070607">
            <w:pPr>
              <w:rPr>
                <w:rFonts w:cs="Arial"/>
                <w:b/>
                <w:lang w:val="es-CO"/>
              </w:rPr>
            </w:pPr>
            <w:r w:rsidRPr="00496908">
              <w:rPr>
                <w:rFonts w:cs="Arial"/>
                <w:b/>
                <w:lang w:val="es-CO"/>
              </w:rPr>
              <w:t>Suplemento dietario</w:t>
            </w:r>
          </w:p>
        </w:tc>
        <w:tc>
          <w:tcPr>
            <w:tcW w:w="5478" w:type="dxa"/>
          </w:tcPr>
          <w:p w14:paraId="4BABE0ED" w14:textId="57200042" w:rsidR="00496908" w:rsidRPr="00496908" w:rsidRDefault="00496908" w:rsidP="003840FE">
            <w:pPr>
              <w:jc w:val="both"/>
              <w:rPr>
                <w:rFonts w:cs="Arial"/>
                <w:bCs/>
                <w:lang w:val="es-CO"/>
              </w:rPr>
            </w:pPr>
            <w:r w:rsidRPr="00496908">
              <w:rPr>
                <w:rFonts w:cs="Arial"/>
                <w:bCs/>
                <w:lang w:val="es-CO"/>
              </w:rPr>
              <w:t>Es aquel producto cuyo propósito es adicionar la dieta normal y que es fuente concentrada de nutrientes y otras sustancias con efecto fisiológico o nutricional que puede contener vitaminas, minerales, proteínas, aminoácidos, otros nutrientes y derivados de nutrientes, plantas, concentrados y extractos de plantas solas o en combinación</w:t>
            </w:r>
            <w:r w:rsidRPr="00496908">
              <w:rPr>
                <w:rFonts w:cs="Arial"/>
                <w:bCs/>
                <w:lang w:val="es-CO"/>
              </w:rPr>
              <w:fldChar w:fldCharType="begin" w:fldLock="1"/>
            </w:r>
            <w:r w:rsidRPr="00496908">
              <w:rPr>
                <w:rFonts w:cs="Arial"/>
                <w:bCs/>
                <w:lang w:val="es-CO"/>
              </w:rPr>
              <w:instrText>ADDIN CSL_CITATION { "citationItems" : [ { "id" : "ITEM-1", "itemData" : { "author" : [ { "dropping-particle" : "", "family" : "Ministerio de la Protecci\u00f3n Social. Colombia", "given" : "", "non-dropping-particle" : "", "parse-names" : false, "suffix" : "" } ], "id" : "ITEM-1", "issued" : { "date-parts" : [ [ "2006" ] ] }, "title" : "Decreto 3249. Reglamenta la fabricaci\u00f3n, comercializaci\u00f3n, envase, rotulado o etiquetado, r\u00e9gimen de registro sanitario, de control de calidad, de vigilancia sanitaria y control sanitario de los suplementos dietarios.", "type" : "report" }, "uris" : [ "http://www.mendeley.com/documents/?uuid=bffd406b-ae85-4aa2-9fe1-450bb0fadf01" ] } ], "mendeley" : { "formattedCitation" : "(20)", "plainTextFormattedCitation" : "(20)", "previouslyFormattedCitation" : "(20)" }, "properties" : { "noteIndex" : 0 }, "schema" : "https://github.com/citation-style-language/schema/raw/master/csl-citation.json" }</w:instrText>
            </w:r>
            <w:r w:rsidRPr="00496908">
              <w:rPr>
                <w:rFonts w:cs="Arial"/>
                <w:bCs/>
                <w:lang w:val="es-CO"/>
              </w:rPr>
              <w:fldChar w:fldCharType="separate"/>
            </w:r>
            <w:r w:rsidRPr="00496908">
              <w:rPr>
                <w:rFonts w:cs="Arial"/>
                <w:bCs/>
                <w:lang w:val="es-CO"/>
              </w:rPr>
              <w:fldChar w:fldCharType="end"/>
            </w:r>
            <w:r w:rsidRPr="00496908">
              <w:rPr>
                <w:rFonts w:cs="Arial"/>
                <w:bCs/>
                <w:lang w:val="es-CO"/>
              </w:rPr>
              <w:t xml:space="preserve">. La denominación suplemento dietario está contemplada en </w:t>
            </w:r>
            <w:r w:rsidR="003840FE" w:rsidRPr="00496908">
              <w:rPr>
                <w:rFonts w:cs="Arial"/>
                <w:bCs/>
                <w:lang w:val="es-CO"/>
              </w:rPr>
              <w:t>el Decreto</w:t>
            </w:r>
            <w:r w:rsidRPr="00496908">
              <w:rPr>
                <w:rFonts w:cs="Arial"/>
                <w:bCs/>
                <w:lang w:val="es-CO"/>
              </w:rPr>
              <w:t xml:space="preserve"> 3249/2006 y reemplazó la denominació</w:t>
            </w:r>
            <w:bookmarkStart w:id="1" w:name="_Ref213771202"/>
            <w:r w:rsidRPr="00496908">
              <w:rPr>
                <w:rFonts w:cs="Arial"/>
                <w:bCs/>
                <w:lang w:val="es-CO"/>
              </w:rPr>
              <w:t>n “producto de uso específico”</w:t>
            </w:r>
            <w:bookmarkEnd w:id="1"/>
            <w:r w:rsidRPr="00496908">
              <w:rPr>
                <w:rFonts w:cs="Arial"/>
                <w:bCs/>
                <w:lang w:val="es-CO"/>
              </w:rPr>
              <w:t xml:space="preserve"> que estaba contemplada en el Decreto 3636/2005 el cual fue derogado</w:t>
            </w:r>
          </w:p>
        </w:tc>
      </w:tr>
      <w:tr w:rsidR="00496908" w:rsidRPr="00496908" w14:paraId="73B55FF4" w14:textId="77777777" w:rsidTr="00496908">
        <w:trPr>
          <w:cantSplit/>
        </w:trPr>
        <w:tc>
          <w:tcPr>
            <w:tcW w:w="3539" w:type="dxa"/>
          </w:tcPr>
          <w:p w14:paraId="2F6F8F51" w14:textId="4AD07B65" w:rsidR="00496908" w:rsidRPr="00496908" w:rsidRDefault="00496908" w:rsidP="00496908">
            <w:pPr>
              <w:rPr>
                <w:rFonts w:cs="Arial"/>
                <w:b/>
                <w:lang w:val="es-CO"/>
              </w:rPr>
            </w:pPr>
            <w:r w:rsidRPr="00496908">
              <w:rPr>
                <w:rFonts w:cs="Arial"/>
                <w:b/>
                <w:lang w:val="es-CO"/>
              </w:rPr>
              <w:t>Sustancia o droga psicoactiva</w:t>
            </w:r>
          </w:p>
        </w:tc>
        <w:tc>
          <w:tcPr>
            <w:tcW w:w="5478" w:type="dxa"/>
          </w:tcPr>
          <w:p w14:paraId="65D9E865" w14:textId="6A0B067A" w:rsidR="00496908" w:rsidRPr="003840FE" w:rsidRDefault="00496908" w:rsidP="003840FE">
            <w:pPr>
              <w:jc w:val="both"/>
              <w:rPr>
                <w:rFonts w:cs="Arial"/>
                <w:bCs/>
                <w:lang w:val="es-CO"/>
              </w:rPr>
            </w:pPr>
            <w:r w:rsidRPr="003840FE">
              <w:rPr>
                <w:rFonts w:cs="Arial"/>
                <w:bCs/>
                <w:lang w:val="es-CO"/>
              </w:rPr>
              <w:t xml:space="preserve">Es el término más neutral y descriptivo que se usa para referirse a todas aquellas sustancias, tanto legales como ilegales que afectan los procesos mentales (cognición, emociones, etc.). Este término es equivalente a droga o sustancia psicotrópica y no implica necesariamente que produzca dependencia. En el lenguaje común el término queda implícito cuando se </w:t>
            </w:r>
            <w:r w:rsidR="003840FE" w:rsidRPr="003840FE">
              <w:rPr>
                <w:rFonts w:cs="Arial"/>
                <w:bCs/>
                <w:lang w:val="es-CO"/>
              </w:rPr>
              <w:t>usan expresiones</w:t>
            </w:r>
            <w:r w:rsidRPr="003840FE">
              <w:rPr>
                <w:rFonts w:cs="Arial"/>
                <w:bCs/>
                <w:lang w:val="es-CO"/>
              </w:rPr>
              <w:t xml:space="preserve"> como “uso de drogas” o “abuso de sustancias”</w:t>
            </w:r>
          </w:p>
        </w:tc>
      </w:tr>
      <w:tr w:rsidR="00496908" w:rsidRPr="00496908" w14:paraId="3929AE69" w14:textId="77777777" w:rsidTr="00496908">
        <w:trPr>
          <w:cantSplit/>
        </w:trPr>
        <w:tc>
          <w:tcPr>
            <w:tcW w:w="3539" w:type="dxa"/>
          </w:tcPr>
          <w:p w14:paraId="49747C78" w14:textId="772E24F7" w:rsidR="00496908" w:rsidRPr="00496908" w:rsidRDefault="00496908" w:rsidP="00070607">
            <w:pPr>
              <w:rPr>
                <w:rFonts w:cs="Arial"/>
                <w:b/>
                <w:lang w:val="es-CO"/>
              </w:rPr>
            </w:pPr>
            <w:r w:rsidRPr="00496908">
              <w:rPr>
                <w:rFonts w:cs="Arial"/>
                <w:b/>
                <w:lang w:val="es-CO"/>
              </w:rPr>
              <w:t>Toxicidad</w:t>
            </w:r>
          </w:p>
        </w:tc>
        <w:tc>
          <w:tcPr>
            <w:tcW w:w="5478" w:type="dxa"/>
          </w:tcPr>
          <w:p w14:paraId="14D7E2EF" w14:textId="7BC660B9" w:rsidR="00496908" w:rsidRPr="003840FE" w:rsidRDefault="00496908" w:rsidP="003840FE">
            <w:pPr>
              <w:jc w:val="both"/>
              <w:rPr>
                <w:rFonts w:cs="Arial"/>
                <w:bCs/>
                <w:lang w:val="es-CO"/>
              </w:rPr>
            </w:pPr>
            <w:r w:rsidRPr="003840FE">
              <w:rPr>
                <w:rFonts w:cs="Arial"/>
                <w:bCs/>
                <w:lang w:val="es-CO"/>
              </w:rPr>
              <w:t>Capacidad para producir daño a un organismo vivo, en relación con la cantidad o dosis de sustancia administrada o absorbida, la vía de administración y su distribución en el tiempo (dosis única o repetidas), tipo y severidad del daño, tiempo necesario para producir éste, la naturaleza del organismo afectado y otras condiciones intervinientes</w:t>
            </w:r>
          </w:p>
        </w:tc>
      </w:tr>
      <w:tr w:rsidR="00496908" w:rsidRPr="00496908" w14:paraId="4C5C3F2D" w14:textId="77777777" w:rsidTr="00496908">
        <w:trPr>
          <w:cantSplit/>
        </w:trPr>
        <w:tc>
          <w:tcPr>
            <w:tcW w:w="3539" w:type="dxa"/>
          </w:tcPr>
          <w:p w14:paraId="5237D6B3" w14:textId="04799B96" w:rsidR="00496908" w:rsidRPr="00496908" w:rsidRDefault="00496908" w:rsidP="00070607">
            <w:pPr>
              <w:rPr>
                <w:rFonts w:cs="Arial"/>
                <w:b/>
                <w:lang w:val="es-CO"/>
              </w:rPr>
            </w:pPr>
            <w:r w:rsidRPr="00496908">
              <w:rPr>
                <w:rFonts w:cs="Arial"/>
                <w:b/>
                <w:lang w:val="es-CO"/>
              </w:rPr>
              <w:t>Tóxico</w:t>
            </w:r>
          </w:p>
        </w:tc>
        <w:tc>
          <w:tcPr>
            <w:tcW w:w="5478" w:type="dxa"/>
          </w:tcPr>
          <w:p w14:paraId="433466E5" w14:textId="29975888" w:rsidR="00496908" w:rsidRPr="003840FE" w:rsidRDefault="00496908" w:rsidP="003840FE">
            <w:pPr>
              <w:jc w:val="both"/>
              <w:rPr>
                <w:rFonts w:cs="Arial"/>
                <w:bCs/>
                <w:lang w:val="es-CO"/>
              </w:rPr>
            </w:pPr>
            <w:r w:rsidRPr="003840FE">
              <w:rPr>
                <w:rFonts w:cs="Arial"/>
                <w:bCs/>
                <w:lang w:val="es-CO"/>
              </w:rPr>
              <w:t xml:space="preserve">Cualquier agente químico o físico capaz de producir un efecto adverso para la salud. Todos los agentes físicos y químicos son tóxicos </w:t>
            </w:r>
            <w:r w:rsidRPr="003840FE">
              <w:rPr>
                <w:rFonts w:cs="Arial"/>
                <w:bCs/>
                <w:lang w:val="es-CO"/>
              </w:rPr>
              <w:lastRenderedPageBreak/>
              <w:t>potenciales, ya que su acción depende de la dosis y de las circunstancias individuales y ambientales</w:t>
            </w:r>
          </w:p>
        </w:tc>
      </w:tr>
      <w:tr w:rsidR="00496908" w:rsidRPr="00496908" w14:paraId="3BE3977D" w14:textId="77777777" w:rsidTr="00496908">
        <w:trPr>
          <w:cantSplit/>
        </w:trPr>
        <w:tc>
          <w:tcPr>
            <w:tcW w:w="3539" w:type="dxa"/>
          </w:tcPr>
          <w:p w14:paraId="27019F57" w14:textId="25375F78" w:rsidR="00496908" w:rsidRPr="00496908" w:rsidRDefault="00496908" w:rsidP="00070607">
            <w:pPr>
              <w:rPr>
                <w:rFonts w:cs="Arial"/>
                <w:b/>
                <w:lang w:val="es-CO"/>
              </w:rPr>
            </w:pPr>
            <w:proofErr w:type="spellStart"/>
            <w:r w:rsidRPr="00496908">
              <w:rPr>
                <w:rFonts w:cs="Arial"/>
                <w:b/>
                <w:lang w:val="es-CO"/>
              </w:rPr>
              <w:lastRenderedPageBreak/>
              <w:t>Toxidrome</w:t>
            </w:r>
            <w:proofErr w:type="spellEnd"/>
          </w:p>
        </w:tc>
        <w:tc>
          <w:tcPr>
            <w:tcW w:w="5478" w:type="dxa"/>
          </w:tcPr>
          <w:p w14:paraId="044A9284" w14:textId="01EE3F6F" w:rsidR="00496908" w:rsidRPr="003840FE" w:rsidRDefault="00496908" w:rsidP="003840FE">
            <w:pPr>
              <w:jc w:val="both"/>
              <w:rPr>
                <w:rFonts w:cs="Arial"/>
                <w:bCs/>
                <w:lang w:val="es-CO"/>
              </w:rPr>
            </w:pPr>
            <w:r w:rsidRPr="003840FE">
              <w:rPr>
                <w:rFonts w:cs="Arial"/>
                <w:bCs/>
                <w:lang w:val="es-CO"/>
              </w:rPr>
              <w:t>Conjunto o grupo de síntomas y signos clínicos propios de ciertos tóxicos que comparten un mecanismo de acción igual o similar, en combinación con el comportamiento de los signos vitales</w:t>
            </w:r>
          </w:p>
        </w:tc>
      </w:tr>
      <w:tr w:rsidR="00496908" w:rsidRPr="00496908" w14:paraId="50064678" w14:textId="77777777" w:rsidTr="00496908">
        <w:trPr>
          <w:cantSplit/>
        </w:trPr>
        <w:tc>
          <w:tcPr>
            <w:tcW w:w="3539" w:type="dxa"/>
          </w:tcPr>
          <w:p w14:paraId="7888F2E6" w14:textId="275E3204" w:rsidR="00496908" w:rsidRPr="00496908" w:rsidRDefault="00496908" w:rsidP="00070607">
            <w:pPr>
              <w:rPr>
                <w:rFonts w:cs="Arial"/>
                <w:b/>
                <w:lang w:val="es-CO"/>
              </w:rPr>
            </w:pPr>
            <w:r w:rsidRPr="00496908">
              <w:rPr>
                <w:rFonts w:cs="Arial"/>
                <w:b/>
                <w:lang w:val="es-CO"/>
              </w:rPr>
              <w:t>Xenobiótico</w:t>
            </w:r>
          </w:p>
        </w:tc>
        <w:tc>
          <w:tcPr>
            <w:tcW w:w="5478" w:type="dxa"/>
          </w:tcPr>
          <w:p w14:paraId="38DB4C2E" w14:textId="338C469F" w:rsidR="00496908" w:rsidRPr="003840FE" w:rsidRDefault="00496908" w:rsidP="003840FE">
            <w:pPr>
              <w:jc w:val="both"/>
              <w:rPr>
                <w:rFonts w:cs="Arial"/>
                <w:bCs/>
                <w:lang w:val="es-CO"/>
              </w:rPr>
            </w:pPr>
            <w:r w:rsidRPr="003840FE">
              <w:rPr>
                <w:rFonts w:cs="Arial"/>
                <w:bCs/>
                <w:lang w:val="es-CO"/>
              </w:rPr>
              <w:t>En sentido estricto, cualquier sustancia que interactúa con un organismo y que no es uno de sus componentes naturales</w:t>
            </w:r>
          </w:p>
        </w:tc>
      </w:tr>
      <w:bookmarkEnd w:id="0"/>
    </w:tbl>
    <w:p w14:paraId="458CE896" w14:textId="77777777" w:rsidR="00DC3428" w:rsidRPr="00496908" w:rsidRDefault="00DC3428">
      <w:pPr>
        <w:rPr>
          <w:rFonts w:cs="Arial"/>
          <w:b/>
          <w:lang w:val="es-CO"/>
        </w:rPr>
      </w:pPr>
    </w:p>
    <w:sectPr w:rsidR="00DC3428" w:rsidRPr="00496908" w:rsidSect="00496908">
      <w:pgSz w:w="11907" w:h="16839" w:code="9"/>
      <w:pgMar w:top="1134"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E35F2"/>
    <w:multiLevelType w:val="hybridMultilevel"/>
    <w:tmpl w:val="906A9EC4"/>
    <w:lvl w:ilvl="0" w:tplc="364C592C">
      <w:start w:val="1"/>
      <w:numFmt w:val="decimal"/>
      <w:lvlText w:val="%1."/>
      <w:lvlJc w:val="left"/>
      <w:pPr>
        <w:tabs>
          <w:tab w:val="num" w:pos="360"/>
        </w:tabs>
        <w:ind w:left="360" w:hanging="360"/>
      </w:pPr>
    </w:lvl>
    <w:lvl w:ilvl="1" w:tplc="EB84C12C">
      <w:start w:val="1"/>
      <w:numFmt w:val="lowerLetter"/>
      <w:lvlText w:val="%2."/>
      <w:lvlJc w:val="left"/>
      <w:pPr>
        <w:tabs>
          <w:tab w:val="num" w:pos="1080"/>
        </w:tabs>
        <w:ind w:left="1080" w:hanging="360"/>
      </w:pPr>
      <w:rPr>
        <w:rFonts w:hint="default"/>
      </w:rPr>
    </w:lvl>
    <w:lvl w:ilvl="2" w:tplc="771849EE">
      <w:start w:val="1"/>
      <w:numFmt w:val="decimal"/>
      <w:lvlText w:val="%3."/>
      <w:lvlJc w:val="left"/>
      <w:pPr>
        <w:tabs>
          <w:tab w:val="num" w:pos="2227"/>
        </w:tabs>
        <w:ind w:left="2227" w:hanging="607"/>
      </w:pPr>
      <w:rPr>
        <w:rFonts w:hint="default"/>
      </w:rPr>
    </w:lvl>
    <w:lvl w:ilvl="3" w:tplc="0EFC33A2">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15:restartNumberingAfterBreak="0">
    <w:nsid w:val="124D563A"/>
    <w:multiLevelType w:val="hybridMultilevel"/>
    <w:tmpl w:val="8E0E2AE4"/>
    <w:lvl w:ilvl="0" w:tplc="B5B2F890">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66530EF"/>
    <w:multiLevelType w:val="hybridMultilevel"/>
    <w:tmpl w:val="0DD85538"/>
    <w:lvl w:ilvl="0" w:tplc="B5B2F890">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5803E79"/>
    <w:multiLevelType w:val="hybridMultilevel"/>
    <w:tmpl w:val="CF2455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F5005C9"/>
    <w:multiLevelType w:val="hybridMultilevel"/>
    <w:tmpl w:val="647A3AD6"/>
    <w:lvl w:ilvl="0" w:tplc="7B12BD7C">
      <w:start w:val="1"/>
      <w:numFmt w:val="bullet"/>
      <w:lvlText w:val=""/>
      <w:lvlJc w:val="left"/>
      <w:pPr>
        <w:ind w:left="1800" w:hanging="360"/>
      </w:pPr>
      <w:rPr>
        <w:rFonts w:ascii="Symbol" w:hAnsi="Symbol"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8AC0BD8"/>
    <w:multiLevelType w:val="hybridMultilevel"/>
    <w:tmpl w:val="0A90A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7FE"/>
    <w:rsid w:val="000F5C34"/>
    <w:rsid w:val="00133B9E"/>
    <w:rsid w:val="002C188B"/>
    <w:rsid w:val="003840FE"/>
    <w:rsid w:val="00425492"/>
    <w:rsid w:val="004737FE"/>
    <w:rsid w:val="00496908"/>
    <w:rsid w:val="005C7575"/>
    <w:rsid w:val="007B4787"/>
    <w:rsid w:val="009A183B"/>
    <w:rsid w:val="00DB33D2"/>
    <w:rsid w:val="00DC3428"/>
    <w:rsid w:val="00EA6A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F42E2"/>
  <w15:chartTrackingRefBased/>
  <w15:docId w15:val="{7D3530DD-353F-43B8-B063-D01F904C4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Calibri" w:hAnsiTheme="minorHAnsi" w:cstheme="minorBidi"/>
        <w:sz w:val="22"/>
        <w:szCs w:val="22"/>
        <w:lang w:val="es-E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7FE"/>
    <w:pPr>
      <w:widowControl/>
      <w:spacing w:before="120" w:after="120"/>
    </w:pPr>
    <w:rPr>
      <w:rFonts w:ascii="Arial" w:eastAsia="Times New Roman" w:hAnsi="Arial" w:cs="Times New Roman"/>
      <w:sz w:val="24"/>
      <w:szCs w:val="24"/>
      <w:lang w:val="en-US"/>
    </w:rPr>
  </w:style>
  <w:style w:type="paragraph" w:styleId="Ttulo1">
    <w:name w:val="heading 1"/>
    <w:basedOn w:val="Normal"/>
    <w:link w:val="Ttulo1Car"/>
    <w:uiPriority w:val="1"/>
    <w:qFormat/>
    <w:rsid w:val="00425492"/>
    <w:pPr>
      <w:ind w:left="20"/>
      <w:outlineLvl w:val="0"/>
    </w:pPr>
    <w:rPr>
      <w:rFonts w:ascii="Franklin Gothic Medium" w:eastAsia="Franklin Gothic Medium" w:hAnsi="Franklin Gothic Medium" w:cs="Franklin Gothic Medium"/>
      <w:sz w:val="20"/>
      <w:szCs w:val="20"/>
    </w:rPr>
  </w:style>
  <w:style w:type="paragraph" w:styleId="Ttulo2">
    <w:name w:val="heading 2"/>
    <w:basedOn w:val="Normal"/>
    <w:link w:val="Ttulo2Car"/>
    <w:uiPriority w:val="1"/>
    <w:qFormat/>
    <w:rsid w:val="00425492"/>
    <w:pPr>
      <w:ind w:left="5467"/>
      <w:outlineLvl w:val="1"/>
    </w:pPr>
    <w:rPr>
      <w:sz w:val="14"/>
      <w:szCs w:val="14"/>
    </w:rPr>
  </w:style>
  <w:style w:type="paragraph" w:styleId="Ttulo3">
    <w:name w:val="heading 3"/>
    <w:basedOn w:val="Normal"/>
    <w:link w:val="Ttulo3Car"/>
    <w:uiPriority w:val="1"/>
    <w:qFormat/>
    <w:rsid w:val="00425492"/>
    <w:pPr>
      <w:spacing w:before="78"/>
      <w:ind w:left="5467"/>
      <w:outlineLvl w:val="2"/>
    </w:pPr>
    <w:rPr>
      <w:rFonts w:ascii="Times New Roman" w:hAnsi="Times New Roman"/>
      <w:sz w:val="13"/>
      <w:szCs w:val="13"/>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425492"/>
    <w:rPr>
      <w:rFonts w:ascii="Franklin Gothic Medium" w:eastAsia="Franklin Gothic Medium" w:hAnsi="Franklin Gothic Medium" w:cs="Franklin Gothic Medium"/>
    </w:rPr>
  </w:style>
  <w:style w:type="character" w:customStyle="1" w:styleId="Ttulo1Car">
    <w:name w:val="Título 1 Car"/>
    <w:basedOn w:val="Fuentedeprrafopredeter"/>
    <w:link w:val="Ttulo1"/>
    <w:uiPriority w:val="1"/>
    <w:rsid w:val="00425492"/>
    <w:rPr>
      <w:rFonts w:ascii="Franklin Gothic Medium" w:eastAsia="Franklin Gothic Medium" w:hAnsi="Franklin Gothic Medium" w:cs="Franklin Gothic Medium"/>
      <w:sz w:val="20"/>
      <w:szCs w:val="20"/>
    </w:rPr>
  </w:style>
  <w:style w:type="character" w:customStyle="1" w:styleId="Ttulo2Car">
    <w:name w:val="Título 2 Car"/>
    <w:basedOn w:val="Fuentedeprrafopredeter"/>
    <w:link w:val="Ttulo2"/>
    <w:uiPriority w:val="1"/>
    <w:rsid w:val="00425492"/>
    <w:rPr>
      <w:rFonts w:ascii="Calibri" w:eastAsia="Calibri" w:hAnsi="Calibri" w:cs="Calibri"/>
      <w:sz w:val="14"/>
      <w:szCs w:val="14"/>
    </w:rPr>
  </w:style>
  <w:style w:type="character" w:customStyle="1" w:styleId="Ttulo3Car">
    <w:name w:val="Título 3 Car"/>
    <w:basedOn w:val="Fuentedeprrafopredeter"/>
    <w:link w:val="Ttulo3"/>
    <w:uiPriority w:val="1"/>
    <w:rsid w:val="00425492"/>
    <w:rPr>
      <w:rFonts w:ascii="Times New Roman" w:eastAsia="Times New Roman" w:hAnsi="Times New Roman" w:cs="Times New Roman"/>
      <w:sz w:val="13"/>
      <w:szCs w:val="13"/>
      <w:u w:val="single" w:color="000000"/>
    </w:rPr>
  </w:style>
  <w:style w:type="paragraph" w:styleId="Textoindependiente">
    <w:name w:val="Body Text"/>
    <w:basedOn w:val="Normal"/>
    <w:link w:val="TextoindependienteCar"/>
    <w:uiPriority w:val="1"/>
    <w:qFormat/>
    <w:rsid w:val="00425492"/>
    <w:rPr>
      <w:sz w:val="12"/>
      <w:szCs w:val="12"/>
    </w:rPr>
  </w:style>
  <w:style w:type="character" w:customStyle="1" w:styleId="TextoindependienteCar">
    <w:name w:val="Texto independiente Car"/>
    <w:basedOn w:val="Fuentedeprrafopredeter"/>
    <w:link w:val="Textoindependiente"/>
    <w:uiPriority w:val="1"/>
    <w:rsid w:val="00425492"/>
    <w:rPr>
      <w:rFonts w:ascii="Calibri" w:eastAsia="Calibri" w:hAnsi="Calibri" w:cs="Calibri"/>
      <w:sz w:val="12"/>
      <w:szCs w:val="12"/>
    </w:rPr>
  </w:style>
  <w:style w:type="paragraph" w:styleId="Prrafodelista">
    <w:name w:val="List Paragraph"/>
    <w:basedOn w:val="Normal"/>
    <w:uiPriority w:val="34"/>
    <w:qFormat/>
    <w:rsid w:val="00425492"/>
    <w:pPr>
      <w:spacing w:before="13"/>
      <w:ind w:left="381" w:hanging="207"/>
    </w:pPr>
    <w:rPr>
      <w:rFonts w:eastAsia="Arial" w:cs="Arial"/>
    </w:rPr>
  </w:style>
  <w:style w:type="table" w:styleId="Tablaconcuadrcula">
    <w:name w:val="Table Grid"/>
    <w:basedOn w:val="Tablanormal"/>
    <w:uiPriority w:val="39"/>
    <w:rsid w:val="004737FE"/>
    <w:pPr>
      <w:widowControl/>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4737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351AA-C5D6-4BC6-AD74-9D47CD5BC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2500</Words>
  <Characters>13752</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Giomar Sichaca</dc:creator>
  <cp:keywords/>
  <dc:description/>
  <cp:lastModifiedBy>Giomar Sichaca</cp:lastModifiedBy>
  <cp:revision>5</cp:revision>
  <dcterms:created xsi:type="dcterms:W3CDTF">2021-02-25T21:40:00Z</dcterms:created>
  <dcterms:modified xsi:type="dcterms:W3CDTF">2021-02-25T22:17:00Z</dcterms:modified>
</cp:coreProperties>
</file>