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405033481"/>
        <w:docPartObj>
          <w:docPartGallery w:val="Cover Pages"/>
          <w:docPartUnique/>
        </w:docPartObj>
      </w:sdtPr>
      <w:sdtEndPr>
        <w:rPr>
          <w:lang w:val="es-ES"/>
        </w:rPr>
      </w:sdtEndPr>
      <w:sdtContent>
        <w:p w14:paraId="43791658" w14:textId="3CFE2E90" w:rsidR="009114B7" w:rsidRPr="00CC2A39" w:rsidRDefault="008B0104">
          <w:pPr>
            <w:rPr>
              <w:rFonts w:ascii="Arial" w:hAnsi="Arial" w:cs="Arial"/>
            </w:rPr>
          </w:pPr>
          <w:r>
            <w:rPr>
              <w:rFonts w:ascii="Arial" w:hAnsi="Arial" w:cs="Arial"/>
              <w:noProof/>
            </w:rPr>
            <w:drawing>
              <wp:anchor distT="0" distB="0" distL="114300" distR="114300" simplePos="0" relativeHeight="251670528" behindDoc="1" locked="0" layoutInCell="1" allowOverlap="1" wp14:anchorId="7E4D27AB" wp14:editId="23C9437A">
                <wp:simplePos x="0" y="0"/>
                <wp:positionH relativeFrom="column">
                  <wp:posOffset>-914400</wp:posOffset>
                </wp:positionH>
                <wp:positionV relativeFrom="paragraph">
                  <wp:posOffset>-882283</wp:posOffset>
                </wp:positionV>
                <wp:extent cx="7772400" cy="10029190"/>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29190"/>
                        </a:xfrm>
                        <a:prstGeom prst="rect">
                          <a:avLst/>
                        </a:prstGeom>
                      </pic:spPr>
                    </pic:pic>
                  </a:graphicData>
                </a:graphic>
                <wp14:sizeRelH relativeFrom="page">
                  <wp14:pctWidth>0</wp14:pctWidth>
                </wp14:sizeRelH>
                <wp14:sizeRelV relativeFrom="page">
                  <wp14:pctHeight>0</wp14:pctHeight>
                </wp14:sizeRelV>
              </wp:anchor>
            </w:drawing>
          </w:r>
          <w:r w:rsidR="00E6762C" w:rsidRPr="00CC2A39">
            <w:rPr>
              <w:rFonts w:ascii="Arial" w:hAnsi="Arial" w:cs="Arial"/>
              <w:noProof/>
              <w:lang w:eastAsia="es-CO"/>
            </w:rPr>
            <w:drawing>
              <wp:anchor distT="0" distB="0" distL="114300" distR="114300" simplePos="0" relativeHeight="251662336" behindDoc="1" locked="0" layoutInCell="1" allowOverlap="1" wp14:anchorId="6BE5A474" wp14:editId="63E2F1FF">
                <wp:simplePos x="0" y="0"/>
                <wp:positionH relativeFrom="column">
                  <wp:posOffset>-914400</wp:posOffset>
                </wp:positionH>
                <wp:positionV relativeFrom="paragraph">
                  <wp:posOffset>-877079</wp:posOffset>
                </wp:positionV>
                <wp:extent cx="7744408" cy="10022223"/>
                <wp:effectExtent l="0" t="0" r="3175"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_01_04_DG_PlantillaNueva_Mesa de trabajo 1 copia 7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1890" cy="10044847"/>
                        </a:xfrm>
                        <a:prstGeom prst="rect">
                          <a:avLst/>
                        </a:prstGeom>
                      </pic:spPr>
                    </pic:pic>
                  </a:graphicData>
                </a:graphic>
                <wp14:sizeRelH relativeFrom="page">
                  <wp14:pctWidth>0</wp14:pctWidth>
                </wp14:sizeRelH>
                <wp14:sizeRelV relativeFrom="page">
                  <wp14:pctHeight>0</wp14:pctHeight>
                </wp14:sizeRelV>
              </wp:anchor>
            </w:drawing>
          </w:r>
        </w:p>
        <w:p w14:paraId="175AF8AD" w14:textId="0DABF4C1" w:rsidR="009114B7" w:rsidRPr="00CC2A39" w:rsidRDefault="008B0104">
          <w:pPr>
            <w:rPr>
              <w:rFonts w:ascii="Arial" w:hAnsi="Arial" w:cs="Arial"/>
              <w:lang w:val="es-ES"/>
            </w:rPr>
          </w:pPr>
          <w:r w:rsidRPr="00CC2A39">
            <w:rPr>
              <w:rFonts w:ascii="Arial" w:hAnsi="Arial" w:cs="Arial"/>
              <w:noProof/>
              <w:lang w:eastAsia="es-CO"/>
            </w:rPr>
            <mc:AlternateContent>
              <mc:Choice Requires="wps">
                <w:drawing>
                  <wp:anchor distT="0" distB="0" distL="114300" distR="114300" simplePos="0" relativeHeight="251660288" behindDoc="0" locked="0" layoutInCell="1" allowOverlap="1" wp14:anchorId="73950972" wp14:editId="09CEE733">
                    <wp:simplePos x="0" y="0"/>
                    <wp:positionH relativeFrom="page">
                      <wp:posOffset>4445</wp:posOffset>
                    </wp:positionH>
                    <wp:positionV relativeFrom="page">
                      <wp:posOffset>8513445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5EA338EE" w:rsidR="009114B7" w:rsidRPr="008B0104" w:rsidRDefault="000577F3">
                                    <w:pPr>
                                      <w:pStyle w:val="Sinespaciado"/>
                                      <w:jc w:val="right"/>
                                      <w:rPr>
                                        <w:rFonts w:ascii="Arial" w:hAnsi="Arial" w:cs="Arial"/>
                                        <w:color w:val="FFFFFF" w:themeColor="background1"/>
                                        <w:sz w:val="28"/>
                                        <w:szCs w:val="28"/>
                                      </w:rPr>
                                    </w:pPr>
                                    <w:r w:rsidRPr="008B0104">
                                      <w:rPr>
                                        <w:rFonts w:ascii="Arial" w:hAnsi="Arial" w:cs="Arial"/>
                                        <w:color w:val="FFFFFF" w:themeColor="background1"/>
                                        <w:sz w:val="28"/>
                                        <w:szCs w:val="28"/>
                                      </w:rPr>
                                      <w:t>Junio 2021</w:t>
                                    </w:r>
                                  </w:p>
                                </w:sdtContent>
                              </w:sdt>
                              <w:p w14:paraId="5793F525" w14:textId="5F852F79" w:rsidR="009114B7" w:rsidRPr="008B0104" w:rsidRDefault="00291600">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577F3" w:rsidRPr="008B0104">
                                      <w:rPr>
                                        <w:rFonts w:ascii="Arial" w:hAnsi="Arial" w:cs="Arial"/>
                                        <w:color w:val="FFFFFF" w:themeColor="background1"/>
                                        <w:sz w:val="18"/>
                                        <w:szCs w:val="18"/>
                                      </w:rPr>
                                      <w:t xml:space="preserve">Versión </w:t>
                                    </w:r>
                                  </w:sdtContent>
                                </w:sdt>
                                <w:r w:rsidR="003E709C" w:rsidRPr="008B0104">
                                  <w:rPr>
                                    <w:rFonts w:ascii="Arial" w:hAnsi="Arial" w:cs="Arial"/>
                                    <w:color w:val="FFFFFF" w:themeColor="background1"/>
                                    <w:sz w:val="18"/>
                                    <w:szCs w:val="18"/>
                                  </w:rPr>
                                  <w:t>1.0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3950972" id="_x0000_t202" coordsize="21600,21600" o:spt="202" path="m,l,21600r21600,l21600,xe">
                    <v:stroke joinstyle="miter"/>
                    <v:path gradientshapeok="t" o:connecttype="rect"/>
                  </v:shapetype>
                  <v:shape id="Text Box 152" o:spid="_x0000_s1026" type="#_x0000_t202" style="position:absolute;margin-left:.35pt;margin-top:670.3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" filled="f" stroked="f" strokeweight=".5pt">
                    <v:textbox inset="126pt,0,54pt,0">
                      <w:txbxContent>
                        <w:sdt>
                          <w:sdtPr>
                            <w:rPr>
                              <w:rFonts w:ascii="Arial" w:hAnsi="Arial" w:cs="Arial"/>
                              <w:color w:val="FFFFFF" w:themeColor="background1"/>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45CCF92" w14:textId="5EA338EE" w:rsidR="009114B7" w:rsidRPr="008B0104" w:rsidRDefault="000577F3">
                              <w:pPr>
                                <w:pStyle w:val="Sinespaciado"/>
                                <w:jc w:val="right"/>
                                <w:rPr>
                                  <w:rFonts w:ascii="Arial" w:hAnsi="Arial" w:cs="Arial"/>
                                  <w:color w:val="FFFFFF" w:themeColor="background1"/>
                                  <w:sz w:val="28"/>
                                  <w:szCs w:val="28"/>
                                </w:rPr>
                              </w:pPr>
                              <w:r w:rsidRPr="008B0104">
                                <w:rPr>
                                  <w:rFonts w:ascii="Arial" w:hAnsi="Arial" w:cs="Arial"/>
                                  <w:color w:val="FFFFFF" w:themeColor="background1"/>
                                  <w:sz w:val="28"/>
                                  <w:szCs w:val="28"/>
                                </w:rPr>
                                <w:t>Junio 2021</w:t>
                              </w:r>
                            </w:p>
                          </w:sdtContent>
                        </w:sdt>
                        <w:p w14:paraId="5793F525" w14:textId="5F852F79" w:rsidR="009114B7" w:rsidRPr="008B0104" w:rsidRDefault="006A6751">
                          <w:pPr>
                            <w:pStyle w:val="Sinespaciado"/>
                            <w:jc w:val="right"/>
                            <w:rPr>
                              <w:rFonts w:ascii="Arial" w:hAnsi="Arial" w:cs="Arial"/>
                              <w:color w:val="FFFFFF" w:themeColor="background1"/>
                              <w:sz w:val="18"/>
                              <w:szCs w:val="18"/>
                            </w:rPr>
                          </w:pPr>
                          <w:sdt>
                            <w:sdtPr>
                              <w:rPr>
                                <w:rFonts w:ascii="Arial" w:hAnsi="Arial" w:cs="Arial"/>
                                <w:color w:val="FFFFFF" w:themeColor="background1"/>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0577F3" w:rsidRPr="008B0104">
                                <w:rPr>
                                  <w:rFonts w:ascii="Arial" w:hAnsi="Arial" w:cs="Arial"/>
                                  <w:color w:val="FFFFFF" w:themeColor="background1"/>
                                  <w:sz w:val="18"/>
                                  <w:szCs w:val="18"/>
                                </w:rPr>
                                <w:t xml:space="preserve">Versión </w:t>
                              </w:r>
                            </w:sdtContent>
                          </w:sdt>
                          <w:r w:rsidR="003E709C" w:rsidRPr="008B0104">
                            <w:rPr>
                              <w:rFonts w:ascii="Arial" w:hAnsi="Arial" w:cs="Arial"/>
                              <w:color w:val="FFFFFF" w:themeColor="background1"/>
                              <w:sz w:val="18"/>
                              <w:szCs w:val="18"/>
                            </w:rPr>
                            <w:t>1.0</w:t>
                          </w:r>
                        </w:p>
                      </w:txbxContent>
                    </v:textbox>
                    <w10:wrap type="square" anchorx="page" anchory="page"/>
                  </v:shape>
                </w:pict>
              </mc:Fallback>
            </mc:AlternateContent>
          </w:r>
          <w:r w:rsidRPr="00CC2A39">
            <w:rPr>
              <w:rFonts w:ascii="Arial" w:hAnsi="Arial" w:cs="Arial"/>
              <w:noProof/>
              <w:lang w:eastAsia="es-CO"/>
            </w:rPr>
            <mc:AlternateContent>
              <mc:Choice Requires="wps">
                <w:drawing>
                  <wp:anchor distT="0" distB="0" distL="114300" distR="114300" simplePos="0" relativeHeight="251661312" behindDoc="0" locked="0" layoutInCell="1" allowOverlap="1" wp14:anchorId="6AA8536B" wp14:editId="44078759">
                    <wp:simplePos x="0" y="0"/>
                    <wp:positionH relativeFrom="page">
                      <wp:posOffset>4646</wp:posOffset>
                    </wp:positionH>
                    <wp:positionV relativeFrom="page">
                      <wp:posOffset>8073791</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DA4C7" w14:textId="249AA0C7" w:rsidR="008B0104" w:rsidRPr="008B0104" w:rsidRDefault="003A4633" w:rsidP="008B0104">
                                <w:pPr>
                                  <w:spacing w:after="0"/>
                                  <w:jc w:val="right"/>
                                  <w:rPr>
                                    <w:rFonts w:ascii="Arial" w:hAnsi="Arial" w:cs="Arial"/>
                                    <w:b/>
                                    <w:bCs/>
                                    <w:color w:val="FFFFFF" w:themeColor="background1"/>
                                    <w:sz w:val="26"/>
                                    <w:szCs w:val="26"/>
                                    <w:lang w:val="es-ES"/>
                                  </w:rPr>
                                </w:pPr>
                                <w:r>
                                  <w:rPr>
                                    <w:rFonts w:ascii="Arial" w:hAnsi="Arial" w:cs="Arial"/>
                                    <w:b/>
                                    <w:bCs/>
                                    <w:color w:val="FFFFFF" w:themeColor="background1"/>
                                    <w:sz w:val="26"/>
                                    <w:szCs w:val="26"/>
                                  </w:rPr>
                                  <w:t xml:space="preserve">Unidad </w:t>
                                </w:r>
                                <w:r w:rsidR="008B0104" w:rsidRPr="008B0104">
                                  <w:rPr>
                                    <w:rFonts w:ascii="Arial" w:hAnsi="Arial" w:cs="Arial"/>
                                    <w:b/>
                                    <w:bCs/>
                                    <w:color w:val="FFFFFF" w:themeColor="background1"/>
                                    <w:sz w:val="26"/>
                                    <w:szCs w:val="26"/>
                                    <w:lang w:val="es-ES"/>
                                  </w:rPr>
                                  <w:t>4</w:t>
                                </w:r>
                              </w:p>
                              <w:p w14:paraId="7A460CA9" w14:textId="14E05305" w:rsidR="009114B7" w:rsidRPr="008B0104" w:rsidRDefault="008B0104" w:rsidP="008B0104">
                                <w:pPr>
                                  <w:spacing w:after="0"/>
                                  <w:jc w:val="right"/>
                                  <w:rPr>
                                    <w:rFonts w:ascii="Arial" w:hAnsi="Arial" w:cs="Arial"/>
                                    <w:b/>
                                    <w:bCs/>
                                    <w:color w:val="FFFFFF" w:themeColor="background1"/>
                                    <w:sz w:val="26"/>
                                    <w:szCs w:val="26"/>
                                    <w:lang w:val="es-ES"/>
                                  </w:rPr>
                                </w:pPr>
                                <w:r w:rsidRPr="008B0104">
                                  <w:rPr>
                                    <w:rFonts w:ascii="Arial" w:hAnsi="Arial" w:cs="Arial"/>
                                    <w:b/>
                                    <w:bCs/>
                                    <w:color w:val="FFFFFF" w:themeColor="background1"/>
                                    <w:sz w:val="26"/>
                                    <w:szCs w:val="26"/>
                                    <w:lang w:val="es-ES"/>
                                  </w:rPr>
                                  <w:t>Vigilancia en Salud pública de la intoxicación por mercurio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AA8536B" id="_x0000_t202" coordsize="21600,21600" o:spt="202" path="m,l,21600r21600,l21600,xe">
                    <v:stroke joinstyle="miter"/>
                    <v:path gradientshapeok="t" o:connecttype="rect"/>
                  </v:shapetype>
                  <v:shape id="Text Box 153" o:spid="_x0000_s1027" type="#_x0000_t202" style="position:absolute;margin-left:.35pt;margin-top:635.7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" filled="f" stroked="f" strokeweight=".5pt">
                    <v:textbox style="mso-fit-shape-to-text:t" inset="126pt,0,54pt,0">
                      <w:txbxContent>
                        <w:p w14:paraId="7CDDA4C7" w14:textId="249AA0C7" w:rsidR="008B0104" w:rsidRPr="008B0104" w:rsidRDefault="003A4633" w:rsidP="008B0104">
                          <w:pPr>
                            <w:spacing w:after="0"/>
                            <w:jc w:val="right"/>
                            <w:rPr>
                              <w:rFonts w:ascii="Arial" w:hAnsi="Arial" w:cs="Arial"/>
                              <w:b/>
                              <w:bCs/>
                              <w:color w:val="FFFFFF" w:themeColor="background1"/>
                              <w:sz w:val="26"/>
                              <w:szCs w:val="26"/>
                              <w:lang w:val="es-ES"/>
                            </w:rPr>
                          </w:pPr>
                          <w:r>
                            <w:rPr>
                              <w:rFonts w:ascii="Arial" w:hAnsi="Arial" w:cs="Arial"/>
                              <w:b/>
                              <w:bCs/>
                              <w:color w:val="FFFFFF" w:themeColor="background1"/>
                              <w:sz w:val="26"/>
                              <w:szCs w:val="26"/>
                            </w:rPr>
                            <w:t xml:space="preserve">Unidad </w:t>
                          </w:r>
                          <w:r w:rsidR="008B0104" w:rsidRPr="008B0104">
                            <w:rPr>
                              <w:rFonts w:ascii="Arial" w:hAnsi="Arial" w:cs="Arial"/>
                              <w:b/>
                              <w:bCs/>
                              <w:color w:val="FFFFFF" w:themeColor="background1"/>
                              <w:sz w:val="26"/>
                              <w:szCs w:val="26"/>
                              <w:lang w:val="es-ES"/>
                            </w:rPr>
                            <w:t>4</w:t>
                          </w:r>
                        </w:p>
                        <w:p w14:paraId="7A460CA9" w14:textId="14E05305" w:rsidR="009114B7" w:rsidRPr="008B0104" w:rsidRDefault="008B0104" w:rsidP="008B0104">
                          <w:pPr>
                            <w:spacing w:after="0"/>
                            <w:jc w:val="right"/>
                            <w:rPr>
                              <w:rFonts w:ascii="Arial" w:hAnsi="Arial" w:cs="Arial"/>
                              <w:b/>
                              <w:bCs/>
                              <w:color w:val="FFFFFF" w:themeColor="background1"/>
                              <w:sz w:val="26"/>
                              <w:szCs w:val="26"/>
                              <w:lang w:val="es-ES"/>
                            </w:rPr>
                          </w:pPr>
                          <w:r w:rsidRPr="008B0104">
                            <w:rPr>
                              <w:rFonts w:ascii="Arial" w:hAnsi="Arial" w:cs="Arial"/>
                              <w:b/>
                              <w:bCs/>
                              <w:color w:val="FFFFFF" w:themeColor="background1"/>
                              <w:sz w:val="26"/>
                              <w:szCs w:val="26"/>
                              <w:lang w:val="es-ES"/>
                            </w:rPr>
                            <w:t>Vigilancia en Salud pública de la intoxicación por mercurio</w:t>
                          </w:r>
                        </w:p>
                      </w:txbxContent>
                    </v:textbox>
                    <w10:wrap type="square" anchorx="page" anchory="page"/>
                  </v:shape>
                </w:pict>
              </mc:Fallback>
            </mc:AlternateContent>
          </w:r>
          <w:r w:rsidR="00300AD7">
            <w:rPr>
              <w:rFonts w:ascii="Arial" w:hAnsi="Arial" w:cs="Arial"/>
              <w:noProof/>
              <w:lang w:eastAsia="es-CO"/>
            </w:rPr>
            <w:drawing>
              <wp:anchor distT="0" distB="0" distL="114300" distR="114300" simplePos="0" relativeHeight="251663360" behindDoc="1" locked="0" layoutInCell="1" allowOverlap="1" wp14:anchorId="146AA738" wp14:editId="6EBC4D43">
                <wp:simplePos x="0" y="0"/>
                <wp:positionH relativeFrom="margin">
                  <wp:align>center</wp:align>
                </wp:positionH>
                <wp:positionV relativeFrom="paragraph">
                  <wp:posOffset>7833360</wp:posOffset>
                </wp:positionV>
                <wp:extent cx="2824480" cy="59627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480" cy="596279"/>
                        </a:xfrm>
                        <a:prstGeom prst="rect">
                          <a:avLst/>
                        </a:prstGeom>
                      </pic:spPr>
                    </pic:pic>
                  </a:graphicData>
                </a:graphic>
                <wp14:sizeRelH relativeFrom="page">
                  <wp14:pctWidth>0</wp14:pctWidth>
                </wp14:sizeRelH>
                <wp14:sizeRelV relativeFrom="page">
                  <wp14:pctHeight>0</wp14:pctHeight>
                </wp14:sizeRelV>
              </wp:anchor>
            </w:drawing>
          </w:r>
          <w:r w:rsidR="009114B7" w:rsidRPr="00CC2A39">
            <w:rPr>
              <w:rFonts w:ascii="Arial" w:hAnsi="Arial" w:cs="Arial"/>
              <w:lang w:val="es-ES"/>
            </w:rPr>
            <w:br w:type="page"/>
          </w:r>
        </w:p>
      </w:sdtContent>
    </w:sdt>
    <w:p w14:paraId="21B6E112" w14:textId="77777777" w:rsidR="000577F3" w:rsidRDefault="000577F3" w:rsidP="000577F3">
      <w:pPr>
        <w:rPr>
          <w:rFonts w:ascii="Calibri" w:eastAsia="Calibri" w:hAnsi="Calibri" w:cs="Calibri"/>
          <w:b/>
          <w:color w:val="4472C4"/>
          <w:sz w:val="28"/>
          <w:szCs w:val="28"/>
          <w:lang w:eastAsia="es-CO"/>
        </w:rPr>
      </w:pPr>
    </w:p>
    <w:p w14:paraId="53A8661F" w14:textId="3CF5186D" w:rsidR="000577F3" w:rsidRPr="000577F3" w:rsidRDefault="000577F3" w:rsidP="000577F3">
      <w:pPr>
        <w:rPr>
          <w:rFonts w:ascii="Arial" w:eastAsia="Calibri" w:hAnsi="Arial" w:cs="Arial"/>
          <w:b/>
          <w:color w:val="000000" w:themeColor="text1"/>
          <w:sz w:val="24"/>
          <w:szCs w:val="24"/>
          <w:lang w:eastAsia="es-CO"/>
        </w:rPr>
      </w:pPr>
      <w:r w:rsidRPr="000577F3">
        <w:rPr>
          <w:rFonts w:ascii="Arial" w:eastAsia="Calibri" w:hAnsi="Arial" w:cs="Arial"/>
          <w:b/>
          <w:color w:val="000000" w:themeColor="text1"/>
          <w:sz w:val="24"/>
          <w:szCs w:val="24"/>
          <w:lang w:eastAsia="es-CO"/>
        </w:rPr>
        <w:t>Tabla de Contenido</w:t>
      </w:r>
    </w:p>
    <w:p w14:paraId="7E628CF3" w14:textId="77777777" w:rsidR="000577F3" w:rsidRPr="000577F3" w:rsidRDefault="000577F3" w:rsidP="000577F3">
      <w:pPr>
        <w:jc w:val="center"/>
        <w:rPr>
          <w:rFonts w:ascii="Arial" w:eastAsia="Calibri" w:hAnsi="Arial" w:cs="Arial"/>
          <w:b/>
          <w:sz w:val="24"/>
          <w:szCs w:val="24"/>
          <w:lang w:eastAsia="es-CO"/>
        </w:rPr>
      </w:pPr>
    </w:p>
    <w:sdt>
      <w:sdtPr>
        <w:rPr>
          <w:rFonts w:ascii="Arial" w:eastAsia="Calibri" w:hAnsi="Arial" w:cs="Arial"/>
          <w:sz w:val="24"/>
          <w:szCs w:val="24"/>
          <w:lang w:eastAsia="es-CO"/>
        </w:rPr>
        <w:id w:val="-886028686"/>
        <w:docPartObj>
          <w:docPartGallery w:val="Table of Contents"/>
          <w:docPartUnique/>
        </w:docPartObj>
      </w:sdtPr>
      <w:sdtEndPr>
        <w:rPr>
          <w:b/>
          <w:bCs/>
        </w:rPr>
      </w:sdtEndPr>
      <w:sdtContent>
        <w:p w14:paraId="3050632F" w14:textId="26F92241" w:rsidR="009650CB" w:rsidRPr="009650CB" w:rsidRDefault="000577F3">
          <w:pPr>
            <w:pStyle w:val="TDC1"/>
            <w:tabs>
              <w:tab w:val="right" w:pos="9749"/>
            </w:tabs>
            <w:rPr>
              <w:rFonts w:ascii="Arial" w:eastAsiaTheme="minorEastAsia" w:hAnsi="Arial" w:cs="Arial"/>
              <w:b/>
              <w:bCs/>
              <w:noProof/>
              <w:lang w:eastAsia="es-CO"/>
            </w:rPr>
          </w:pPr>
          <w:r w:rsidRPr="007B31C9">
            <w:rPr>
              <w:rFonts w:ascii="Arial" w:eastAsia="Calibri" w:hAnsi="Arial" w:cs="Arial"/>
              <w:lang w:eastAsia="es-CO"/>
            </w:rPr>
            <w:fldChar w:fldCharType="begin"/>
          </w:r>
          <w:r w:rsidRPr="007B31C9">
            <w:rPr>
              <w:rFonts w:ascii="Arial" w:eastAsia="Calibri" w:hAnsi="Arial" w:cs="Arial"/>
              <w:lang w:eastAsia="es-CO"/>
            </w:rPr>
            <w:instrText xml:space="preserve"> TOC \h \u \z </w:instrText>
          </w:r>
          <w:r w:rsidRPr="007B31C9">
            <w:rPr>
              <w:rFonts w:ascii="Arial" w:eastAsia="Calibri" w:hAnsi="Arial" w:cs="Arial"/>
              <w:lang w:eastAsia="es-CO"/>
            </w:rPr>
            <w:fldChar w:fldCharType="separate"/>
          </w:r>
          <w:hyperlink w:anchor="_Toc75883020" w:history="1">
            <w:r w:rsidR="009650CB" w:rsidRPr="009650CB">
              <w:rPr>
                <w:rStyle w:val="Hipervnculo"/>
                <w:rFonts w:ascii="Arial" w:eastAsia="Calibri" w:hAnsi="Arial" w:cs="Arial"/>
                <w:b/>
                <w:bCs/>
                <w:noProof/>
              </w:rPr>
              <w:t>Resultado de aprendizaje</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_Toc75883020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3</w:t>
            </w:r>
            <w:r w:rsidR="009650CB" w:rsidRPr="009650CB">
              <w:rPr>
                <w:rFonts w:ascii="Arial" w:hAnsi="Arial" w:cs="Arial"/>
                <w:b/>
                <w:bCs/>
                <w:noProof/>
                <w:webHidden/>
              </w:rPr>
              <w:fldChar w:fldCharType="end"/>
            </w:r>
          </w:hyperlink>
        </w:p>
        <w:p w14:paraId="16F9D672" w14:textId="32FAE7FE" w:rsidR="009650CB" w:rsidRPr="009650CB" w:rsidRDefault="00291600">
          <w:pPr>
            <w:pStyle w:val="TDC1"/>
            <w:tabs>
              <w:tab w:val="left" w:pos="440"/>
              <w:tab w:val="right" w:pos="9749"/>
            </w:tabs>
            <w:rPr>
              <w:rFonts w:ascii="Arial" w:eastAsiaTheme="minorEastAsia" w:hAnsi="Arial" w:cs="Arial"/>
              <w:b/>
              <w:bCs/>
              <w:noProof/>
              <w:lang w:eastAsia="es-CO"/>
            </w:rPr>
          </w:pPr>
          <w:hyperlink w:anchor="_Toc75883021" w:history="1">
            <w:r w:rsidR="009650CB" w:rsidRPr="009650CB">
              <w:rPr>
                <w:rStyle w:val="Hipervnculo"/>
                <w:rFonts w:ascii="Arial" w:eastAsia="Calibri" w:hAnsi="Arial" w:cs="Arial"/>
                <w:b/>
                <w:bCs/>
                <w:noProof/>
              </w:rPr>
              <w:t>1.</w:t>
            </w:r>
            <w:r w:rsidR="009650CB" w:rsidRPr="009650CB">
              <w:rPr>
                <w:rFonts w:ascii="Arial" w:eastAsiaTheme="minorEastAsia" w:hAnsi="Arial" w:cs="Arial"/>
                <w:b/>
                <w:bCs/>
                <w:noProof/>
                <w:lang w:eastAsia="es-CO"/>
              </w:rPr>
              <w:tab/>
            </w:r>
            <w:r w:rsidR="009650CB" w:rsidRPr="009650CB">
              <w:rPr>
                <w:rStyle w:val="Hipervnculo"/>
                <w:rFonts w:ascii="Arial" w:hAnsi="Arial" w:cs="Arial"/>
                <w:b/>
                <w:bCs/>
                <w:noProof/>
              </w:rPr>
              <w:t>Vigilancia en salud pública de las intoxicaciones por mercurio</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_Toc75883021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3</w:t>
            </w:r>
            <w:r w:rsidR="009650CB" w:rsidRPr="009650CB">
              <w:rPr>
                <w:rFonts w:ascii="Arial" w:hAnsi="Arial" w:cs="Arial"/>
                <w:b/>
                <w:bCs/>
                <w:noProof/>
                <w:webHidden/>
              </w:rPr>
              <w:fldChar w:fldCharType="end"/>
            </w:r>
          </w:hyperlink>
        </w:p>
        <w:p w14:paraId="09A49B20" w14:textId="255E27A9" w:rsidR="009650CB" w:rsidRPr="009650CB" w:rsidRDefault="00291600">
          <w:pPr>
            <w:pStyle w:val="TDC2"/>
            <w:tabs>
              <w:tab w:val="left" w:pos="880"/>
              <w:tab w:val="right" w:pos="9749"/>
            </w:tabs>
            <w:rPr>
              <w:rFonts w:ascii="Arial" w:eastAsiaTheme="minorEastAsia" w:hAnsi="Arial" w:cs="Arial"/>
              <w:b/>
              <w:bCs/>
              <w:noProof/>
              <w:lang w:eastAsia="es-CO"/>
            </w:rPr>
          </w:pPr>
          <w:hyperlink w:anchor="_Toc75883022" w:history="1">
            <w:r w:rsidR="009650CB" w:rsidRPr="009650CB">
              <w:rPr>
                <w:rStyle w:val="Hipervnculo"/>
                <w:rFonts w:ascii="Arial" w:eastAsia="Calibri" w:hAnsi="Arial" w:cs="Arial"/>
                <w:b/>
                <w:bCs/>
                <w:noProof/>
              </w:rPr>
              <w:t>1.1</w:t>
            </w:r>
            <w:r w:rsidR="009650CB" w:rsidRPr="009650CB">
              <w:rPr>
                <w:rFonts w:ascii="Arial" w:eastAsiaTheme="minorEastAsia" w:hAnsi="Arial" w:cs="Arial"/>
                <w:b/>
                <w:bCs/>
                <w:noProof/>
                <w:lang w:eastAsia="es-CO"/>
              </w:rPr>
              <w:tab/>
            </w:r>
            <w:r w:rsidR="009650CB" w:rsidRPr="009650CB">
              <w:rPr>
                <w:rStyle w:val="Hipervnculo"/>
                <w:rFonts w:ascii="Arial" w:hAnsi="Arial" w:cs="Arial"/>
                <w:b/>
                <w:bCs/>
                <w:noProof/>
              </w:rPr>
              <w:t>Objetivos específicos de la Vigilancia en Salud Pública de intoxicaciones debidas al mercurio (1)</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_Toc75883022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3</w:t>
            </w:r>
            <w:r w:rsidR="009650CB" w:rsidRPr="009650CB">
              <w:rPr>
                <w:rFonts w:ascii="Arial" w:hAnsi="Arial" w:cs="Arial"/>
                <w:b/>
                <w:bCs/>
                <w:noProof/>
                <w:webHidden/>
              </w:rPr>
              <w:fldChar w:fldCharType="end"/>
            </w:r>
          </w:hyperlink>
        </w:p>
        <w:p w14:paraId="0ADFC796" w14:textId="132C2090" w:rsidR="009650CB" w:rsidRPr="009650CB" w:rsidRDefault="00291600">
          <w:pPr>
            <w:pStyle w:val="TDC2"/>
            <w:tabs>
              <w:tab w:val="left" w:pos="880"/>
              <w:tab w:val="right" w:pos="9749"/>
            </w:tabs>
            <w:rPr>
              <w:rFonts w:ascii="Arial" w:eastAsiaTheme="minorEastAsia" w:hAnsi="Arial" w:cs="Arial"/>
              <w:b/>
              <w:bCs/>
              <w:noProof/>
              <w:lang w:eastAsia="es-CO"/>
            </w:rPr>
          </w:pPr>
          <w:hyperlink w:anchor="_Toc75883023" w:history="1">
            <w:r w:rsidR="009650CB" w:rsidRPr="009650CB">
              <w:rPr>
                <w:rStyle w:val="Hipervnculo"/>
                <w:rFonts w:ascii="Arial" w:hAnsi="Arial" w:cs="Arial"/>
                <w:b/>
                <w:bCs/>
                <w:noProof/>
              </w:rPr>
              <w:t>1.2</w:t>
            </w:r>
            <w:r w:rsidR="009650CB" w:rsidRPr="009650CB">
              <w:rPr>
                <w:rFonts w:ascii="Arial" w:eastAsiaTheme="minorEastAsia" w:hAnsi="Arial" w:cs="Arial"/>
                <w:b/>
                <w:bCs/>
                <w:noProof/>
                <w:lang w:eastAsia="es-CO"/>
              </w:rPr>
              <w:tab/>
            </w:r>
            <w:r w:rsidR="009650CB" w:rsidRPr="009650CB">
              <w:rPr>
                <w:rStyle w:val="Hipervnculo"/>
                <w:rFonts w:ascii="Arial" w:hAnsi="Arial" w:cs="Arial"/>
                <w:b/>
                <w:bCs/>
                <w:noProof/>
              </w:rPr>
              <w:t>Medios de captación de los sucesos de intoxicación por mercurio (1)</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_Toc75883023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4</w:t>
            </w:r>
            <w:r w:rsidR="009650CB" w:rsidRPr="009650CB">
              <w:rPr>
                <w:rFonts w:ascii="Arial" w:hAnsi="Arial" w:cs="Arial"/>
                <w:b/>
                <w:bCs/>
                <w:noProof/>
                <w:webHidden/>
              </w:rPr>
              <w:fldChar w:fldCharType="end"/>
            </w:r>
          </w:hyperlink>
        </w:p>
        <w:p w14:paraId="45F8785E" w14:textId="0D710D70" w:rsidR="009650CB" w:rsidRPr="009650CB" w:rsidRDefault="00291600">
          <w:pPr>
            <w:pStyle w:val="TDC1"/>
            <w:tabs>
              <w:tab w:val="left" w:pos="440"/>
              <w:tab w:val="right" w:pos="9749"/>
            </w:tabs>
            <w:rPr>
              <w:rFonts w:ascii="Arial" w:eastAsiaTheme="minorEastAsia" w:hAnsi="Arial" w:cs="Arial"/>
              <w:b/>
              <w:bCs/>
              <w:noProof/>
              <w:lang w:eastAsia="es-CO"/>
            </w:rPr>
          </w:pPr>
          <w:hyperlink w:anchor="_Toc75883024" w:history="1">
            <w:r w:rsidR="009650CB" w:rsidRPr="009650CB">
              <w:rPr>
                <w:rStyle w:val="Hipervnculo"/>
                <w:rFonts w:ascii="Arial" w:eastAsia="Calibri" w:hAnsi="Arial" w:cs="Arial"/>
                <w:b/>
                <w:bCs/>
                <w:noProof/>
              </w:rPr>
              <w:t>2.</w:t>
            </w:r>
            <w:r w:rsidR="009650CB" w:rsidRPr="009650CB">
              <w:rPr>
                <w:rFonts w:ascii="Arial" w:eastAsiaTheme="minorEastAsia" w:hAnsi="Arial" w:cs="Arial"/>
                <w:b/>
                <w:bCs/>
                <w:noProof/>
                <w:lang w:eastAsia="es-CO"/>
              </w:rPr>
              <w:tab/>
            </w:r>
            <w:r w:rsidR="009650CB" w:rsidRPr="009650CB">
              <w:rPr>
                <w:rStyle w:val="Hipervnculo"/>
                <w:rFonts w:ascii="Arial" w:eastAsia="Calibri" w:hAnsi="Arial" w:cs="Arial"/>
                <w:b/>
                <w:bCs/>
                <w:noProof/>
              </w:rPr>
              <w:t>Alerta por exposición a mercurio (2)</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_Toc75883024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4</w:t>
            </w:r>
            <w:r w:rsidR="009650CB" w:rsidRPr="009650CB">
              <w:rPr>
                <w:rFonts w:ascii="Arial" w:hAnsi="Arial" w:cs="Arial"/>
                <w:b/>
                <w:bCs/>
                <w:noProof/>
                <w:webHidden/>
              </w:rPr>
              <w:fldChar w:fldCharType="end"/>
            </w:r>
          </w:hyperlink>
        </w:p>
        <w:p w14:paraId="682E94CC" w14:textId="0F1700B5" w:rsidR="009650CB" w:rsidRPr="009650CB" w:rsidRDefault="00291600">
          <w:pPr>
            <w:pStyle w:val="TDC2"/>
            <w:tabs>
              <w:tab w:val="right" w:pos="9749"/>
            </w:tabs>
            <w:rPr>
              <w:rFonts w:ascii="Arial" w:eastAsiaTheme="minorEastAsia" w:hAnsi="Arial" w:cs="Arial"/>
              <w:b/>
              <w:bCs/>
              <w:noProof/>
              <w:lang w:eastAsia="es-CO"/>
            </w:rPr>
          </w:pPr>
          <w:hyperlink w:anchor="_Toc75883025" w:history="1">
            <w:r w:rsidR="009650CB" w:rsidRPr="009650CB">
              <w:rPr>
                <w:rStyle w:val="Hipervnculo"/>
                <w:rFonts w:ascii="Arial" w:hAnsi="Arial" w:cs="Arial"/>
                <w:b/>
                <w:bCs/>
                <w:noProof/>
              </w:rPr>
              <w:t>2.1 Objetivos específicos de las alertas por exposición al mercurio (3)</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_Toc75883025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4</w:t>
            </w:r>
            <w:r w:rsidR="009650CB" w:rsidRPr="009650CB">
              <w:rPr>
                <w:rFonts w:ascii="Arial" w:hAnsi="Arial" w:cs="Arial"/>
                <w:b/>
                <w:bCs/>
                <w:noProof/>
                <w:webHidden/>
              </w:rPr>
              <w:fldChar w:fldCharType="end"/>
            </w:r>
          </w:hyperlink>
        </w:p>
        <w:p w14:paraId="5E0F5077" w14:textId="3444E33F" w:rsidR="009650CB" w:rsidRPr="009650CB" w:rsidRDefault="00291600">
          <w:pPr>
            <w:pStyle w:val="TDC2"/>
            <w:tabs>
              <w:tab w:val="right" w:pos="9749"/>
            </w:tabs>
            <w:rPr>
              <w:rFonts w:ascii="Arial" w:eastAsiaTheme="minorEastAsia" w:hAnsi="Arial" w:cs="Arial"/>
              <w:b/>
              <w:bCs/>
              <w:noProof/>
              <w:lang w:eastAsia="es-CO"/>
            </w:rPr>
          </w:pPr>
          <w:hyperlink w:anchor="_Toc75883026" w:history="1">
            <w:r w:rsidR="009650CB" w:rsidRPr="009650CB">
              <w:rPr>
                <w:rStyle w:val="Hipervnculo"/>
                <w:rFonts w:ascii="Arial" w:hAnsi="Arial" w:cs="Arial"/>
                <w:b/>
                <w:bCs/>
                <w:noProof/>
              </w:rPr>
              <w:t>2.2 Propósito de las alertas por exposición al mercurio (3)</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_Toc75883026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4</w:t>
            </w:r>
            <w:r w:rsidR="009650CB" w:rsidRPr="009650CB">
              <w:rPr>
                <w:rFonts w:ascii="Arial" w:hAnsi="Arial" w:cs="Arial"/>
                <w:b/>
                <w:bCs/>
                <w:noProof/>
                <w:webHidden/>
              </w:rPr>
              <w:fldChar w:fldCharType="end"/>
            </w:r>
          </w:hyperlink>
        </w:p>
        <w:p w14:paraId="0C8ED6D3" w14:textId="03442140" w:rsidR="009650CB" w:rsidRPr="009650CB" w:rsidRDefault="00291600">
          <w:pPr>
            <w:pStyle w:val="TDC2"/>
            <w:tabs>
              <w:tab w:val="right" w:pos="9749"/>
            </w:tabs>
            <w:rPr>
              <w:rFonts w:ascii="Arial" w:eastAsiaTheme="minorEastAsia" w:hAnsi="Arial" w:cs="Arial"/>
              <w:b/>
              <w:bCs/>
              <w:noProof/>
              <w:lang w:eastAsia="es-CO"/>
            </w:rPr>
          </w:pPr>
          <w:hyperlink w:anchor="_Toc75883027" w:history="1">
            <w:r w:rsidR="009650CB" w:rsidRPr="009650CB">
              <w:rPr>
                <w:rStyle w:val="Hipervnculo"/>
                <w:rFonts w:ascii="Arial" w:hAnsi="Arial" w:cs="Arial"/>
                <w:b/>
                <w:bCs/>
                <w:noProof/>
              </w:rPr>
              <w:t>2.3 Descripción para la identificación y diagnóstico de la intoxicación por mercurio</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_Toc75883027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5</w:t>
            </w:r>
            <w:r w:rsidR="009650CB" w:rsidRPr="009650CB">
              <w:rPr>
                <w:rFonts w:ascii="Arial" w:hAnsi="Arial" w:cs="Arial"/>
                <w:b/>
                <w:bCs/>
                <w:noProof/>
                <w:webHidden/>
              </w:rPr>
              <w:fldChar w:fldCharType="end"/>
            </w:r>
          </w:hyperlink>
        </w:p>
        <w:p w14:paraId="5ED41E37" w14:textId="3ACB36C2" w:rsidR="009650CB" w:rsidRPr="009650CB" w:rsidRDefault="00291600">
          <w:pPr>
            <w:pStyle w:val="TDC1"/>
            <w:tabs>
              <w:tab w:val="left" w:pos="440"/>
              <w:tab w:val="right" w:pos="9749"/>
            </w:tabs>
            <w:rPr>
              <w:rFonts w:ascii="Arial" w:eastAsiaTheme="minorEastAsia" w:hAnsi="Arial" w:cs="Arial"/>
              <w:b/>
              <w:bCs/>
              <w:noProof/>
              <w:lang w:eastAsia="es-CO"/>
            </w:rPr>
          </w:pPr>
          <w:hyperlink w:anchor="_Toc75883028" w:history="1">
            <w:r w:rsidR="009650CB" w:rsidRPr="009650CB">
              <w:rPr>
                <w:rStyle w:val="Hipervnculo"/>
                <w:rFonts w:ascii="Arial" w:eastAsia="Calibri" w:hAnsi="Arial" w:cs="Arial"/>
                <w:b/>
                <w:bCs/>
                <w:noProof/>
              </w:rPr>
              <w:t>3.</w:t>
            </w:r>
            <w:r w:rsidR="009650CB" w:rsidRPr="009650CB">
              <w:rPr>
                <w:rFonts w:ascii="Arial" w:eastAsiaTheme="minorEastAsia" w:hAnsi="Arial" w:cs="Arial"/>
                <w:b/>
                <w:bCs/>
                <w:noProof/>
                <w:lang w:eastAsia="es-CO"/>
              </w:rPr>
              <w:tab/>
            </w:r>
            <w:r w:rsidR="009650CB" w:rsidRPr="009650CB">
              <w:rPr>
                <w:rStyle w:val="Hipervnculo"/>
                <w:rFonts w:ascii="Arial" w:hAnsi="Arial" w:cs="Arial"/>
                <w:b/>
                <w:bCs/>
                <w:noProof/>
              </w:rPr>
              <w:t>Brotes / Investigaciones epidemiológicas en población intoxicada por mercurio</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_Toc75883028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7</w:t>
            </w:r>
            <w:r w:rsidR="009650CB" w:rsidRPr="009650CB">
              <w:rPr>
                <w:rFonts w:ascii="Arial" w:hAnsi="Arial" w:cs="Arial"/>
                <w:b/>
                <w:bCs/>
                <w:noProof/>
                <w:webHidden/>
              </w:rPr>
              <w:fldChar w:fldCharType="end"/>
            </w:r>
          </w:hyperlink>
        </w:p>
        <w:p w14:paraId="0A97FB5A" w14:textId="2A8830F7" w:rsidR="009650CB" w:rsidRPr="009650CB" w:rsidRDefault="00291600">
          <w:pPr>
            <w:pStyle w:val="TDC2"/>
            <w:tabs>
              <w:tab w:val="right" w:pos="9749"/>
            </w:tabs>
            <w:rPr>
              <w:rFonts w:ascii="Arial" w:eastAsiaTheme="minorEastAsia" w:hAnsi="Arial" w:cs="Arial"/>
              <w:b/>
              <w:bCs/>
              <w:noProof/>
              <w:lang w:eastAsia="es-CO"/>
            </w:rPr>
          </w:pPr>
          <w:hyperlink w:anchor="_Toc75883029" w:history="1">
            <w:r w:rsidR="009650CB" w:rsidRPr="009650CB">
              <w:rPr>
                <w:rStyle w:val="Hipervnculo"/>
                <w:rFonts w:ascii="Arial" w:hAnsi="Arial" w:cs="Arial"/>
                <w:b/>
                <w:bCs/>
                <w:noProof/>
              </w:rPr>
              <w:t>3.1 Objetivos para la investigación de brotes ocasionados por intoxicación aguda por mercurio</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_Toc75883029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8</w:t>
            </w:r>
            <w:r w:rsidR="009650CB" w:rsidRPr="009650CB">
              <w:rPr>
                <w:rFonts w:ascii="Arial" w:hAnsi="Arial" w:cs="Arial"/>
                <w:b/>
                <w:bCs/>
                <w:noProof/>
                <w:webHidden/>
              </w:rPr>
              <w:fldChar w:fldCharType="end"/>
            </w:r>
          </w:hyperlink>
        </w:p>
        <w:p w14:paraId="0392573C" w14:textId="20638EA2" w:rsidR="009650CB" w:rsidRPr="009650CB" w:rsidRDefault="00291600">
          <w:pPr>
            <w:pStyle w:val="TDC2"/>
            <w:tabs>
              <w:tab w:val="right" w:pos="9749"/>
            </w:tabs>
            <w:rPr>
              <w:rFonts w:ascii="Arial" w:eastAsiaTheme="minorEastAsia" w:hAnsi="Arial" w:cs="Arial"/>
              <w:b/>
              <w:bCs/>
              <w:noProof/>
              <w:lang w:eastAsia="es-CO"/>
            </w:rPr>
          </w:pPr>
          <w:hyperlink w:anchor="_Toc75883030" w:history="1">
            <w:r w:rsidR="009650CB" w:rsidRPr="009650CB">
              <w:rPr>
                <w:rStyle w:val="Hipervnculo"/>
                <w:rFonts w:ascii="Arial" w:hAnsi="Arial" w:cs="Arial"/>
                <w:b/>
                <w:bCs/>
                <w:noProof/>
              </w:rPr>
              <w:t>3.2 Verificación del diagnóstico (5)</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_Toc75883030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8</w:t>
            </w:r>
            <w:r w:rsidR="009650CB" w:rsidRPr="009650CB">
              <w:rPr>
                <w:rFonts w:ascii="Arial" w:hAnsi="Arial" w:cs="Arial"/>
                <w:b/>
                <w:bCs/>
                <w:noProof/>
                <w:webHidden/>
              </w:rPr>
              <w:fldChar w:fldCharType="end"/>
            </w:r>
          </w:hyperlink>
        </w:p>
        <w:p w14:paraId="20293A5E" w14:textId="549938B4" w:rsidR="009650CB" w:rsidRPr="009650CB" w:rsidRDefault="00291600">
          <w:pPr>
            <w:pStyle w:val="TDC2"/>
            <w:tabs>
              <w:tab w:val="right" w:pos="9749"/>
            </w:tabs>
            <w:rPr>
              <w:rFonts w:ascii="Arial" w:eastAsiaTheme="minorEastAsia" w:hAnsi="Arial" w:cs="Arial"/>
              <w:b/>
              <w:bCs/>
              <w:noProof/>
              <w:lang w:eastAsia="es-CO"/>
            </w:rPr>
          </w:pPr>
          <w:hyperlink w:anchor="_Toc75883031" w:history="1">
            <w:r w:rsidR="009650CB" w:rsidRPr="009650CB">
              <w:rPr>
                <w:rStyle w:val="Hipervnculo"/>
                <w:rFonts w:ascii="Arial" w:hAnsi="Arial" w:cs="Arial"/>
                <w:b/>
                <w:bCs/>
                <w:noProof/>
              </w:rPr>
              <w:t>3.3 Manejo de brote de intoxicación aguda por mercurio para la atención de casos (5)</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_Toc75883031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8</w:t>
            </w:r>
            <w:r w:rsidR="009650CB" w:rsidRPr="009650CB">
              <w:rPr>
                <w:rFonts w:ascii="Arial" w:hAnsi="Arial" w:cs="Arial"/>
                <w:b/>
                <w:bCs/>
                <w:noProof/>
                <w:webHidden/>
              </w:rPr>
              <w:fldChar w:fldCharType="end"/>
            </w:r>
          </w:hyperlink>
        </w:p>
        <w:p w14:paraId="68B0EA02" w14:textId="36EB6C6E" w:rsidR="009650CB" w:rsidRPr="009650CB" w:rsidRDefault="00291600">
          <w:pPr>
            <w:pStyle w:val="TDC2"/>
            <w:tabs>
              <w:tab w:val="right" w:pos="9749"/>
            </w:tabs>
            <w:rPr>
              <w:rFonts w:ascii="Arial" w:eastAsiaTheme="minorEastAsia" w:hAnsi="Arial" w:cs="Arial"/>
              <w:b/>
              <w:bCs/>
              <w:noProof/>
              <w:lang w:eastAsia="es-CO"/>
            </w:rPr>
          </w:pPr>
          <w:hyperlink w:anchor="_Toc75883032" w:history="1">
            <w:r w:rsidR="009650CB" w:rsidRPr="009650CB">
              <w:rPr>
                <w:rStyle w:val="Hipervnculo"/>
                <w:rFonts w:ascii="Arial" w:hAnsi="Arial" w:cs="Arial"/>
                <w:b/>
                <w:bCs/>
                <w:noProof/>
              </w:rPr>
              <w:t>3.4 Diez pasos para realizar la investigación de brote (6)</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_Toc75883032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9</w:t>
            </w:r>
            <w:r w:rsidR="009650CB" w:rsidRPr="009650CB">
              <w:rPr>
                <w:rFonts w:ascii="Arial" w:hAnsi="Arial" w:cs="Arial"/>
                <w:b/>
                <w:bCs/>
                <w:noProof/>
                <w:webHidden/>
              </w:rPr>
              <w:fldChar w:fldCharType="end"/>
            </w:r>
          </w:hyperlink>
        </w:p>
        <w:p w14:paraId="660E41F7" w14:textId="51053725" w:rsidR="009650CB" w:rsidRPr="009650CB" w:rsidRDefault="00291600">
          <w:pPr>
            <w:pStyle w:val="TDC1"/>
            <w:tabs>
              <w:tab w:val="left" w:pos="440"/>
              <w:tab w:val="right" w:pos="9749"/>
            </w:tabs>
            <w:rPr>
              <w:rFonts w:ascii="Arial" w:eastAsiaTheme="minorEastAsia" w:hAnsi="Arial" w:cs="Arial"/>
              <w:b/>
              <w:bCs/>
              <w:noProof/>
              <w:lang w:eastAsia="es-CO"/>
            </w:rPr>
          </w:pPr>
          <w:hyperlink w:anchor="_Toc75883033" w:history="1">
            <w:r w:rsidR="009650CB" w:rsidRPr="009650CB">
              <w:rPr>
                <w:rStyle w:val="Hipervnculo"/>
                <w:rFonts w:ascii="Arial" w:eastAsia="Calibri" w:hAnsi="Arial" w:cs="Arial"/>
                <w:b/>
                <w:bCs/>
                <w:noProof/>
              </w:rPr>
              <w:t>4.</w:t>
            </w:r>
            <w:r w:rsidR="009650CB" w:rsidRPr="009650CB">
              <w:rPr>
                <w:rFonts w:ascii="Arial" w:eastAsiaTheme="minorEastAsia" w:hAnsi="Arial" w:cs="Arial"/>
                <w:b/>
                <w:bCs/>
                <w:noProof/>
                <w:lang w:eastAsia="es-CO"/>
              </w:rPr>
              <w:tab/>
            </w:r>
            <w:r w:rsidR="009650CB" w:rsidRPr="009650CB">
              <w:rPr>
                <w:rStyle w:val="Hipervnculo"/>
                <w:rFonts w:ascii="Arial" w:hAnsi="Arial" w:cs="Arial"/>
                <w:b/>
                <w:bCs/>
                <w:noProof/>
              </w:rPr>
              <w:t>Lactancia materna y exposición a mercurio.</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_Toc75883033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9</w:t>
            </w:r>
            <w:r w:rsidR="009650CB" w:rsidRPr="009650CB">
              <w:rPr>
                <w:rFonts w:ascii="Arial" w:hAnsi="Arial" w:cs="Arial"/>
                <w:b/>
                <w:bCs/>
                <w:noProof/>
                <w:webHidden/>
              </w:rPr>
              <w:fldChar w:fldCharType="end"/>
            </w:r>
          </w:hyperlink>
        </w:p>
        <w:p w14:paraId="4C058881" w14:textId="2B664812" w:rsidR="009650CB" w:rsidRDefault="00291600">
          <w:pPr>
            <w:pStyle w:val="TDC1"/>
            <w:tabs>
              <w:tab w:val="left" w:pos="440"/>
              <w:tab w:val="right" w:pos="9749"/>
            </w:tabs>
            <w:rPr>
              <w:rFonts w:eastAsiaTheme="minorEastAsia"/>
              <w:noProof/>
              <w:lang w:eastAsia="es-CO"/>
            </w:rPr>
          </w:pPr>
          <w:hyperlink w:anchor="_Toc75883034" w:history="1">
            <w:r w:rsidR="009650CB" w:rsidRPr="009650CB">
              <w:rPr>
                <w:rStyle w:val="Hipervnculo"/>
                <w:rFonts w:ascii="Arial" w:eastAsia="Calibri" w:hAnsi="Arial" w:cs="Arial"/>
                <w:b/>
                <w:bCs/>
                <w:noProof/>
              </w:rPr>
              <w:t>5.</w:t>
            </w:r>
            <w:r w:rsidR="009650CB" w:rsidRPr="009650CB">
              <w:rPr>
                <w:rFonts w:ascii="Arial" w:eastAsiaTheme="minorEastAsia" w:hAnsi="Arial" w:cs="Arial"/>
                <w:b/>
                <w:bCs/>
                <w:noProof/>
                <w:lang w:eastAsia="es-CO"/>
              </w:rPr>
              <w:tab/>
            </w:r>
            <w:r w:rsidR="009650CB" w:rsidRPr="009650CB">
              <w:rPr>
                <w:rStyle w:val="Hipervnculo"/>
                <w:rFonts w:ascii="Arial" w:hAnsi="Arial" w:cs="Arial"/>
                <w:b/>
                <w:bCs/>
                <w:noProof/>
              </w:rPr>
              <w:t>Referencias</w:t>
            </w:r>
            <w:r w:rsidR="009650CB" w:rsidRPr="009650CB">
              <w:rPr>
                <w:rFonts w:ascii="Arial" w:hAnsi="Arial" w:cs="Arial"/>
                <w:b/>
                <w:bCs/>
                <w:noProof/>
                <w:webHidden/>
              </w:rPr>
              <w:tab/>
            </w:r>
            <w:r w:rsidR="009650CB" w:rsidRPr="009650CB">
              <w:rPr>
                <w:rFonts w:ascii="Arial" w:hAnsi="Arial" w:cs="Arial"/>
                <w:b/>
                <w:bCs/>
                <w:noProof/>
                <w:webHidden/>
              </w:rPr>
              <w:fldChar w:fldCharType="begin"/>
            </w:r>
            <w:r w:rsidR="009650CB" w:rsidRPr="009650CB">
              <w:rPr>
                <w:rFonts w:ascii="Arial" w:hAnsi="Arial" w:cs="Arial"/>
                <w:b/>
                <w:bCs/>
                <w:noProof/>
                <w:webHidden/>
              </w:rPr>
              <w:instrText xml:space="preserve"> PAGEREF _Toc75883034 \h </w:instrText>
            </w:r>
            <w:r w:rsidR="009650CB" w:rsidRPr="009650CB">
              <w:rPr>
                <w:rFonts w:ascii="Arial" w:hAnsi="Arial" w:cs="Arial"/>
                <w:b/>
                <w:bCs/>
                <w:noProof/>
                <w:webHidden/>
              </w:rPr>
            </w:r>
            <w:r w:rsidR="009650CB" w:rsidRPr="009650CB">
              <w:rPr>
                <w:rFonts w:ascii="Arial" w:hAnsi="Arial" w:cs="Arial"/>
                <w:b/>
                <w:bCs/>
                <w:noProof/>
                <w:webHidden/>
              </w:rPr>
              <w:fldChar w:fldCharType="separate"/>
            </w:r>
            <w:r w:rsidR="00197D78">
              <w:rPr>
                <w:rFonts w:ascii="Arial" w:hAnsi="Arial" w:cs="Arial"/>
                <w:b/>
                <w:bCs/>
                <w:noProof/>
                <w:webHidden/>
              </w:rPr>
              <w:t>11</w:t>
            </w:r>
            <w:r w:rsidR="009650CB" w:rsidRPr="009650CB">
              <w:rPr>
                <w:rFonts w:ascii="Arial" w:hAnsi="Arial" w:cs="Arial"/>
                <w:b/>
                <w:bCs/>
                <w:noProof/>
                <w:webHidden/>
              </w:rPr>
              <w:fldChar w:fldCharType="end"/>
            </w:r>
          </w:hyperlink>
        </w:p>
        <w:p w14:paraId="1802BBFF" w14:textId="0B52ACA9" w:rsidR="009114B7" w:rsidRPr="00B3472A" w:rsidRDefault="000577F3" w:rsidP="000577F3">
          <w:pPr>
            <w:rPr>
              <w:rFonts w:ascii="Arial" w:hAnsi="Arial" w:cs="Arial"/>
              <w:b/>
              <w:bCs/>
              <w:sz w:val="24"/>
              <w:szCs w:val="24"/>
              <w:lang w:val="es-ES"/>
            </w:rPr>
          </w:pPr>
          <w:r w:rsidRPr="007B31C9">
            <w:rPr>
              <w:rFonts w:ascii="Arial" w:eastAsia="Calibri" w:hAnsi="Arial" w:cs="Arial"/>
              <w:lang w:eastAsia="es-CO"/>
            </w:rPr>
            <w:fldChar w:fldCharType="end"/>
          </w:r>
        </w:p>
      </w:sdtContent>
    </w:sdt>
    <w:p w14:paraId="3A9484A5" w14:textId="77777777" w:rsidR="00E6762C" w:rsidRPr="00CC2A39" w:rsidRDefault="00E6762C" w:rsidP="009114B7">
      <w:pPr>
        <w:rPr>
          <w:rFonts w:ascii="Arial" w:hAnsi="Arial" w:cs="Arial"/>
          <w:lang w:val="es-ES"/>
        </w:rPr>
      </w:pPr>
    </w:p>
    <w:p w14:paraId="6EB1848E" w14:textId="77777777" w:rsidR="005A3BCD" w:rsidRDefault="005A3BCD" w:rsidP="009114B7">
      <w:pPr>
        <w:rPr>
          <w:rFonts w:ascii="Arial" w:hAnsi="Arial" w:cs="Arial"/>
          <w:lang w:val="es-ES"/>
        </w:rPr>
      </w:pPr>
    </w:p>
    <w:p w14:paraId="2B373AE4" w14:textId="77777777" w:rsidR="005A3BCD" w:rsidRDefault="005A3BCD" w:rsidP="009114B7">
      <w:pPr>
        <w:rPr>
          <w:rFonts w:ascii="Arial" w:hAnsi="Arial" w:cs="Arial"/>
          <w:lang w:val="es-ES"/>
        </w:rPr>
      </w:pPr>
    </w:p>
    <w:p w14:paraId="00DB07B0" w14:textId="77777777" w:rsidR="005A3BCD" w:rsidRDefault="005A3BCD" w:rsidP="009114B7">
      <w:pPr>
        <w:rPr>
          <w:rFonts w:ascii="Arial" w:hAnsi="Arial" w:cs="Arial"/>
          <w:lang w:val="es-ES"/>
        </w:rPr>
      </w:pPr>
    </w:p>
    <w:p w14:paraId="6DC289A8" w14:textId="6A0EFAC4" w:rsidR="005A3BCD" w:rsidRDefault="005A3BCD" w:rsidP="009114B7">
      <w:pPr>
        <w:rPr>
          <w:rFonts w:ascii="Arial" w:hAnsi="Arial" w:cs="Arial"/>
          <w:lang w:val="es-ES"/>
        </w:rPr>
      </w:pPr>
    </w:p>
    <w:p w14:paraId="5BB7250A" w14:textId="440E1CC9" w:rsidR="00645493" w:rsidRDefault="00645493" w:rsidP="009114B7">
      <w:pPr>
        <w:rPr>
          <w:rFonts w:ascii="Arial" w:hAnsi="Arial" w:cs="Arial"/>
          <w:lang w:val="es-ES"/>
        </w:rPr>
      </w:pPr>
    </w:p>
    <w:p w14:paraId="6C7313FF" w14:textId="347D3625" w:rsidR="007B31C9" w:rsidRDefault="007B31C9" w:rsidP="009114B7">
      <w:pPr>
        <w:rPr>
          <w:rFonts w:ascii="Arial" w:hAnsi="Arial" w:cs="Arial"/>
          <w:lang w:val="es-ES"/>
        </w:rPr>
      </w:pPr>
    </w:p>
    <w:p w14:paraId="42930A2D" w14:textId="1DFA26EF" w:rsidR="007B31C9" w:rsidRDefault="007B31C9" w:rsidP="009114B7">
      <w:pPr>
        <w:rPr>
          <w:rFonts w:ascii="Arial" w:hAnsi="Arial" w:cs="Arial"/>
          <w:lang w:val="es-ES"/>
        </w:rPr>
      </w:pPr>
    </w:p>
    <w:p w14:paraId="20B45659" w14:textId="77777777" w:rsidR="007B31C9" w:rsidRDefault="007B31C9" w:rsidP="009114B7">
      <w:pPr>
        <w:rPr>
          <w:rFonts w:ascii="Arial" w:hAnsi="Arial" w:cs="Arial"/>
          <w:lang w:val="es-ES"/>
        </w:rPr>
      </w:pPr>
    </w:p>
    <w:p w14:paraId="1119ACB9" w14:textId="77777777" w:rsidR="00645493" w:rsidRDefault="00645493" w:rsidP="009114B7">
      <w:pPr>
        <w:rPr>
          <w:rFonts w:ascii="Arial" w:hAnsi="Arial" w:cs="Arial"/>
          <w:lang w:val="es-ES"/>
        </w:rPr>
      </w:pPr>
    </w:p>
    <w:p w14:paraId="54055200" w14:textId="77777777" w:rsidR="000E4E94" w:rsidRPr="00714D21" w:rsidRDefault="000E4E94" w:rsidP="000E4E94">
      <w:pPr>
        <w:spacing w:after="0"/>
        <w:jc w:val="center"/>
        <w:rPr>
          <w:rFonts w:ascii="Arial" w:hAnsi="Arial" w:cs="Arial"/>
          <w:b/>
          <w:bCs/>
          <w:sz w:val="26"/>
          <w:szCs w:val="26"/>
          <w:lang w:val="es-ES"/>
        </w:rPr>
      </w:pPr>
      <w:r w:rsidRPr="00714D21">
        <w:rPr>
          <w:rFonts w:ascii="Arial" w:hAnsi="Arial" w:cs="Arial"/>
          <w:b/>
          <w:bCs/>
          <w:sz w:val="26"/>
          <w:szCs w:val="26"/>
          <w:lang w:val="es-ES"/>
        </w:rPr>
        <w:lastRenderedPageBreak/>
        <w:t>Vigilancia en Salud pública de la intoxicación por mercurio</w:t>
      </w:r>
    </w:p>
    <w:p w14:paraId="46522E8A" w14:textId="77777777" w:rsidR="000577F3" w:rsidRPr="000577F3" w:rsidRDefault="000577F3" w:rsidP="000577F3">
      <w:pPr>
        <w:pBdr>
          <w:top w:val="nil"/>
          <w:left w:val="nil"/>
          <w:bottom w:val="nil"/>
          <w:right w:val="nil"/>
          <w:between w:val="nil"/>
        </w:pBdr>
        <w:spacing w:after="0" w:line="240" w:lineRule="auto"/>
        <w:jc w:val="center"/>
        <w:rPr>
          <w:rFonts w:ascii="Arial" w:eastAsia="Arial" w:hAnsi="Arial" w:cs="Arial"/>
          <w:b/>
          <w:sz w:val="24"/>
          <w:szCs w:val="24"/>
        </w:rPr>
      </w:pPr>
    </w:p>
    <w:p w14:paraId="59D048AF" w14:textId="7DD72547" w:rsidR="000577F3" w:rsidRPr="00714D21" w:rsidRDefault="003A4633" w:rsidP="000577F3">
      <w:pPr>
        <w:pBdr>
          <w:top w:val="nil"/>
          <w:left w:val="nil"/>
          <w:bottom w:val="nil"/>
          <w:right w:val="nil"/>
          <w:between w:val="nil"/>
        </w:pBdr>
        <w:spacing w:after="0" w:line="240" w:lineRule="auto"/>
        <w:jc w:val="center"/>
        <w:rPr>
          <w:rFonts w:ascii="Arial" w:eastAsia="Arial" w:hAnsi="Arial" w:cs="Arial"/>
          <w:b/>
          <w:sz w:val="26"/>
          <w:szCs w:val="26"/>
        </w:rPr>
      </w:pPr>
      <w:r>
        <w:rPr>
          <w:rFonts w:ascii="Arial" w:eastAsia="Arial" w:hAnsi="Arial" w:cs="Arial"/>
          <w:b/>
          <w:sz w:val="26"/>
          <w:szCs w:val="26"/>
        </w:rPr>
        <w:t>Unidad</w:t>
      </w:r>
      <w:r w:rsidR="000577F3" w:rsidRPr="00714D21">
        <w:rPr>
          <w:rFonts w:ascii="Arial" w:eastAsia="Arial" w:hAnsi="Arial" w:cs="Arial"/>
          <w:b/>
          <w:sz w:val="26"/>
          <w:szCs w:val="26"/>
        </w:rPr>
        <w:t xml:space="preserve"> </w:t>
      </w:r>
      <w:r w:rsidR="000E4E94" w:rsidRPr="00714D21">
        <w:rPr>
          <w:rFonts w:ascii="Arial" w:eastAsia="Arial" w:hAnsi="Arial" w:cs="Arial"/>
          <w:b/>
          <w:sz w:val="26"/>
          <w:szCs w:val="26"/>
        </w:rPr>
        <w:t>4</w:t>
      </w:r>
    </w:p>
    <w:p w14:paraId="55A1A323" w14:textId="7E9AC732" w:rsidR="002B77A8" w:rsidRDefault="002B77A8" w:rsidP="000577F3">
      <w:pPr>
        <w:pBdr>
          <w:top w:val="nil"/>
          <w:left w:val="nil"/>
          <w:bottom w:val="nil"/>
          <w:right w:val="nil"/>
          <w:between w:val="nil"/>
        </w:pBdr>
        <w:spacing w:after="0" w:line="240" w:lineRule="auto"/>
        <w:jc w:val="center"/>
        <w:rPr>
          <w:rFonts w:ascii="Arial" w:eastAsia="Arial" w:hAnsi="Arial" w:cs="Arial"/>
          <w:b/>
          <w:sz w:val="24"/>
          <w:szCs w:val="24"/>
        </w:rPr>
      </w:pPr>
    </w:p>
    <w:p w14:paraId="268158A3" w14:textId="5272A87D" w:rsidR="000577F3" w:rsidRPr="00714D21" w:rsidRDefault="000577F3" w:rsidP="003A4633">
      <w:pPr>
        <w:pStyle w:val="Ttulo1"/>
        <w:rPr>
          <w:rFonts w:eastAsia="Calibri"/>
        </w:rPr>
      </w:pPr>
      <w:bookmarkStart w:id="0" w:name="_Toc75883020"/>
      <w:r w:rsidRPr="00714D21">
        <w:rPr>
          <w:rFonts w:eastAsia="Calibri"/>
        </w:rPr>
        <w:t>Resultado de aprendizaje</w:t>
      </w:r>
      <w:bookmarkEnd w:id="0"/>
    </w:p>
    <w:p w14:paraId="4B3230BE"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b/>
          <w:sz w:val="24"/>
          <w:szCs w:val="24"/>
        </w:rPr>
      </w:pPr>
    </w:p>
    <w:p w14:paraId="3276FAAE" w14:textId="77777777" w:rsidR="000E4E94" w:rsidRPr="00EE006D" w:rsidRDefault="000E4E94" w:rsidP="000E4E94">
      <w:pPr>
        <w:numPr>
          <w:ilvl w:val="0"/>
          <w:numId w:val="2"/>
        </w:numPr>
        <w:pBdr>
          <w:top w:val="nil"/>
          <w:left w:val="nil"/>
          <w:bottom w:val="nil"/>
          <w:right w:val="nil"/>
          <w:between w:val="nil"/>
        </w:pBdr>
        <w:spacing w:after="0" w:line="240" w:lineRule="auto"/>
        <w:jc w:val="both"/>
        <w:rPr>
          <w:rFonts w:ascii="Arial" w:hAnsi="Arial" w:cs="Arial"/>
          <w:sz w:val="24"/>
          <w:szCs w:val="24"/>
        </w:rPr>
      </w:pPr>
      <w:bookmarkStart w:id="1" w:name="_Hlk75015640"/>
      <w:r w:rsidRPr="00EE006D">
        <w:rPr>
          <w:rFonts w:ascii="Arial" w:hAnsi="Arial" w:cs="Arial"/>
          <w:color w:val="000000" w:themeColor="text1"/>
          <w:sz w:val="24"/>
          <w:szCs w:val="24"/>
        </w:rPr>
        <w:t>Reconocer las actividades de vigilancia del riesgo ambiental relacionadas con la exposición a mercurio</w:t>
      </w:r>
      <w:r>
        <w:rPr>
          <w:rFonts w:ascii="Arial" w:hAnsi="Arial" w:cs="Arial"/>
          <w:color w:val="000000" w:themeColor="text1"/>
          <w:sz w:val="24"/>
          <w:szCs w:val="24"/>
        </w:rPr>
        <w:t>.</w:t>
      </w:r>
    </w:p>
    <w:bookmarkEnd w:id="1"/>
    <w:p w14:paraId="6B23005B" w14:textId="77777777" w:rsidR="000577F3" w:rsidRPr="000577F3" w:rsidRDefault="000577F3" w:rsidP="000577F3">
      <w:pPr>
        <w:pBdr>
          <w:top w:val="nil"/>
          <w:left w:val="nil"/>
          <w:bottom w:val="nil"/>
          <w:right w:val="nil"/>
          <w:between w:val="nil"/>
        </w:pBdr>
        <w:spacing w:after="0" w:line="240" w:lineRule="auto"/>
        <w:ind w:left="720"/>
        <w:jc w:val="both"/>
        <w:rPr>
          <w:rFonts w:ascii="Arial" w:hAnsi="Arial" w:cs="Arial"/>
          <w:sz w:val="24"/>
          <w:szCs w:val="24"/>
        </w:rPr>
      </w:pPr>
    </w:p>
    <w:p w14:paraId="03BE63C1" w14:textId="64AA7C58" w:rsidR="000577F3" w:rsidRDefault="000E4E94" w:rsidP="00E7243E">
      <w:pPr>
        <w:pStyle w:val="Ttulo1"/>
      </w:pPr>
      <w:bookmarkStart w:id="2" w:name="_Toc75883021"/>
      <w:r w:rsidRPr="00EE006D">
        <w:t>V</w:t>
      </w:r>
      <w:r>
        <w:t>igilancia en salud pública de las intoxicaciones por mercurio</w:t>
      </w:r>
      <w:bookmarkEnd w:id="2"/>
    </w:p>
    <w:p w14:paraId="7B712996" w14:textId="0BBEB09E" w:rsidR="000E4E94" w:rsidRDefault="000E4E94" w:rsidP="000E4E94">
      <w:pPr>
        <w:spacing w:after="0"/>
      </w:pPr>
    </w:p>
    <w:p w14:paraId="2D8A4569" w14:textId="18DA7365" w:rsidR="000E4E94" w:rsidRDefault="00303356" w:rsidP="000E4E94">
      <w:pPr>
        <w:ind w:left="284"/>
        <w:jc w:val="both"/>
        <w:rPr>
          <w:rFonts w:ascii="Arial" w:hAnsi="Arial" w:cs="Arial"/>
          <w:bCs/>
          <w:color w:val="000000" w:themeColor="text1"/>
          <w:sz w:val="24"/>
          <w:szCs w:val="24"/>
        </w:rPr>
      </w:pPr>
      <w:r w:rsidRPr="00EE006D">
        <w:rPr>
          <w:rFonts w:ascii="Arial" w:hAnsi="Arial" w:cs="Arial"/>
          <w:bCs/>
          <w:noProof/>
          <w:color w:val="000000" w:themeColor="text1"/>
          <w:sz w:val="24"/>
          <w:szCs w:val="24"/>
          <w:lang w:eastAsia="es-CO"/>
        </w:rPr>
        <w:drawing>
          <wp:anchor distT="0" distB="0" distL="114300" distR="114300" simplePos="0" relativeHeight="251666432" behindDoc="0" locked="0" layoutInCell="1" allowOverlap="1" wp14:anchorId="2F472EE3" wp14:editId="59CE583A">
            <wp:simplePos x="0" y="0"/>
            <wp:positionH relativeFrom="margin">
              <wp:posOffset>1754038</wp:posOffset>
            </wp:positionH>
            <wp:positionV relativeFrom="paragraph">
              <wp:posOffset>1241078</wp:posOffset>
            </wp:positionV>
            <wp:extent cx="2153676" cy="2507411"/>
            <wp:effectExtent l="0" t="0" r="5715" b="0"/>
            <wp:wrapNone/>
            <wp:docPr id="80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 name="Imagen 6"/>
                    <pic:cNvPicPr>
                      <a:picLocks noChangeAspect="1"/>
                    </pic:cNvPicPr>
                  </pic:nvPicPr>
                  <pic:blipFill>
                    <a:blip r:embed="rId16">
                      <a:extLst>
                        <a:ext uri="{28A0092B-C50C-407E-A947-70E740481C1C}">
                          <a14:useLocalDpi xmlns:a14="http://schemas.microsoft.com/office/drawing/2010/main" val="0"/>
                        </a:ext>
                      </a:extLst>
                    </a:blip>
                    <a:srcRect b="4303"/>
                    <a:stretch>
                      <a:fillRect/>
                    </a:stretch>
                  </pic:blipFill>
                  <pic:spPr bwMode="auto">
                    <a:xfrm>
                      <a:off x="0" y="0"/>
                      <a:ext cx="2203346" cy="2565239"/>
                    </a:xfrm>
                    <a:prstGeom prst="rect">
                      <a:avLst/>
                    </a:prstGeom>
                    <a:noFill/>
                    <a:ln>
                      <a:noFill/>
                    </a:ln>
                  </pic:spPr>
                </pic:pic>
              </a:graphicData>
            </a:graphic>
            <wp14:sizeRelH relativeFrom="page">
              <wp14:pctWidth>0</wp14:pctWidth>
            </wp14:sizeRelH>
            <wp14:sizeRelV relativeFrom="page">
              <wp14:pctHeight>0</wp14:pctHeight>
            </wp14:sizeRelV>
          </wp:anchor>
        </w:drawing>
      </w:r>
      <w:r w:rsidR="000E4E94" w:rsidRPr="00EE006D">
        <w:rPr>
          <w:rFonts w:ascii="Arial" w:hAnsi="Arial" w:cs="Arial"/>
          <w:bCs/>
          <w:color w:val="000000" w:themeColor="text1"/>
          <w:sz w:val="24"/>
          <w:szCs w:val="24"/>
        </w:rPr>
        <w:t xml:space="preserve">La vigilancia en salud pública de las intoxicaciones por </w:t>
      </w:r>
      <w:r w:rsidR="000E4E94">
        <w:rPr>
          <w:rFonts w:ascii="Arial" w:hAnsi="Arial" w:cs="Arial"/>
          <w:bCs/>
          <w:color w:val="000000" w:themeColor="text1"/>
          <w:sz w:val="24"/>
          <w:szCs w:val="24"/>
        </w:rPr>
        <w:t>mercurio</w:t>
      </w:r>
      <w:r w:rsidR="000E4E94" w:rsidRPr="00EE006D">
        <w:rPr>
          <w:rFonts w:ascii="Arial" w:hAnsi="Arial" w:cs="Arial"/>
          <w:bCs/>
          <w:color w:val="000000" w:themeColor="text1"/>
          <w:sz w:val="24"/>
          <w:szCs w:val="24"/>
        </w:rPr>
        <w:t>, inicia con una adecuada captación de casos y de factores de riesgo que son informados o notificados oportunamente, para intervenir, contener o evitar un daño a la población. En la contaminación e intoxicación</w:t>
      </w:r>
      <w:r w:rsidR="000E4E94">
        <w:rPr>
          <w:rFonts w:ascii="Arial" w:hAnsi="Arial" w:cs="Arial"/>
          <w:bCs/>
          <w:color w:val="000000" w:themeColor="text1"/>
          <w:sz w:val="24"/>
          <w:szCs w:val="24"/>
        </w:rPr>
        <w:t>,</w:t>
      </w:r>
      <w:r w:rsidR="000E4E94" w:rsidRPr="00EE006D">
        <w:rPr>
          <w:rFonts w:ascii="Arial" w:hAnsi="Arial" w:cs="Arial"/>
          <w:bCs/>
          <w:color w:val="000000" w:themeColor="text1"/>
          <w:sz w:val="24"/>
          <w:szCs w:val="24"/>
        </w:rPr>
        <w:t xml:space="preserve"> es importante entender que este proceso se encuentra dentro del protocolo </w:t>
      </w:r>
      <w:r w:rsidR="000E4E94">
        <w:rPr>
          <w:rFonts w:ascii="Arial" w:hAnsi="Arial" w:cs="Arial"/>
          <w:bCs/>
          <w:color w:val="000000" w:themeColor="text1"/>
          <w:sz w:val="24"/>
          <w:szCs w:val="24"/>
        </w:rPr>
        <w:t xml:space="preserve">de </w:t>
      </w:r>
      <w:r w:rsidR="000E4E94" w:rsidRPr="00EE006D">
        <w:rPr>
          <w:rFonts w:ascii="Arial" w:hAnsi="Arial" w:cs="Arial"/>
          <w:bCs/>
          <w:color w:val="000000" w:themeColor="text1"/>
          <w:sz w:val="24"/>
          <w:szCs w:val="24"/>
        </w:rPr>
        <w:t xml:space="preserve">Vigilancia en Salud Pública de Intoxicaciones por Sustancias Químicas </w:t>
      </w:r>
      <w:r w:rsidR="000E4E94" w:rsidRPr="00EE006D">
        <w:rPr>
          <w:rFonts w:ascii="Arial" w:hAnsi="Arial" w:cs="Arial"/>
          <w:bCs/>
          <w:color w:val="000000" w:themeColor="text1"/>
          <w:sz w:val="24"/>
          <w:szCs w:val="24"/>
        </w:rPr>
        <w:fldChar w:fldCharType="begin"/>
      </w:r>
      <w:r w:rsidR="000E4E94" w:rsidRPr="00EE006D">
        <w:rPr>
          <w:rFonts w:ascii="Arial" w:hAnsi="Arial" w:cs="Arial"/>
          <w:bCs/>
          <w:color w:val="000000" w:themeColor="text1"/>
          <w:sz w:val="24"/>
          <w:szCs w:val="24"/>
        </w:rPr>
        <w:instrText xml:space="preserve"> ADDIN ZOTERO_ITEM CSL_CITATION {"citationID":"UrnmCuNC","properties":{"formattedCitation":"(20)","plainCitation":"(20)"},"citationItems":[{"id":399,"uris":["http://zotero.org/users/1968409/items/KKMKRCZ6"],"uri":["http://zotero.org/users/1968409/items/KKMKRCZ6"],"itemData":{"id":399,"type":"article","title":"Elementos de Protección Personal para el riesgo químico.","URL":"https://core.ac.uk/download/pdf/47284500.pdf","language":"Español","author":[{"literal":"Centro de Información de Sustancias químicas, Emergencias y Medio Ambiente - CISTEMA"}],"issued":{"date-parts":[["2014",11,28]]}}}],"schema":"https://github.com/citation-style-language/schema/raw/master/csl-citation.json"} </w:instrText>
      </w:r>
      <w:r w:rsidR="000E4E94" w:rsidRPr="00EE006D">
        <w:rPr>
          <w:rFonts w:ascii="Arial" w:hAnsi="Arial" w:cs="Arial"/>
          <w:bCs/>
          <w:color w:val="000000" w:themeColor="text1"/>
          <w:sz w:val="24"/>
          <w:szCs w:val="24"/>
        </w:rPr>
        <w:fldChar w:fldCharType="separate"/>
      </w:r>
      <w:r w:rsidR="000E4E94" w:rsidRPr="00EE006D">
        <w:rPr>
          <w:rFonts w:ascii="Arial" w:hAnsi="Arial" w:cs="Arial"/>
          <w:color w:val="000000" w:themeColor="text1"/>
          <w:sz w:val="24"/>
          <w:szCs w:val="24"/>
        </w:rPr>
        <w:t>(1)</w:t>
      </w:r>
      <w:r w:rsidR="000E4E94" w:rsidRPr="00EE006D">
        <w:rPr>
          <w:rFonts w:ascii="Arial" w:hAnsi="Arial" w:cs="Arial"/>
          <w:bCs/>
          <w:color w:val="000000" w:themeColor="text1"/>
          <w:sz w:val="24"/>
          <w:szCs w:val="24"/>
        </w:rPr>
        <w:fldChar w:fldCharType="end"/>
      </w:r>
      <w:r w:rsidR="000E4E94" w:rsidRPr="00EE006D">
        <w:rPr>
          <w:rFonts w:ascii="Arial" w:hAnsi="Arial" w:cs="Arial"/>
          <w:bCs/>
          <w:color w:val="000000" w:themeColor="text1"/>
          <w:sz w:val="24"/>
          <w:szCs w:val="24"/>
        </w:rPr>
        <w:t>.</w:t>
      </w:r>
    </w:p>
    <w:p w14:paraId="0F89B00D" w14:textId="3033ABB4" w:rsidR="003A4633" w:rsidRDefault="003A4633" w:rsidP="000E4E94">
      <w:pPr>
        <w:ind w:left="284"/>
        <w:jc w:val="both"/>
        <w:rPr>
          <w:rFonts w:ascii="Arial" w:hAnsi="Arial" w:cs="Arial"/>
          <w:bCs/>
          <w:color w:val="000000" w:themeColor="text1"/>
          <w:sz w:val="24"/>
          <w:szCs w:val="24"/>
        </w:rPr>
      </w:pPr>
    </w:p>
    <w:p w14:paraId="494EEF15" w14:textId="77777777" w:rsidR="003A4633" w:rsidRDefault="003A4633" w:rsidP="000E4E94">
      <w:pPr>
        <w:ind w:left="284"/>
        <w:jc w:val="both"/>
        <w:rPr>
          <w:rFonts w:ascii="Arial" w:hAnsi="Arial" w:cs="Arial"/>
          <w:bCs/>
          <w:color w:val="000000" w:themeColor="text1"/>
          <w:sz w:val="24"/>
          <w:szCs w:val="24"/>
        </w:rPr>
      </w:pPr>
    </w:p>
    <w:p w14:paraId="257BA162"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5B0D099F"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3EEE79A2"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38638B14"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42F813AC"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18B86EF8"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091202B2"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387A318B"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14F69085"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3B1AD2B2"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38AF7F97"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0BE027EE"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12B06CFC" w14:textId="77777777" w:rsidR="003A4633"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p>
    <w:p w14:paraId="380814AC" w14:textId="0631FF82" w:rsidR="000E4E94" w:rsidRPr="00714D21" w:rsidRDefault="003A4633" w:rsidP="003A4633">
      <w:pPr>
        <w:pStyle w:val="NormalWeb"/>
        <w:kinsoku w:val="0"/>
        <w:overflowPunct w:val="0"/>
        <w:spacing w:before="0" w:beforeAutospacing="0" w:after="0" w:afterAutospacing="0"/>
        <w:textAlignment w:val="baseline"/>
        <w:rPr>
          <w:rFonts w:ascii="Arial" w:eastAsia="MS PGothic" w:hAnsi="Arial" w:cs="Arial"/>
          <w:color w:val="000000" w:themeColor="text1"/>
          <w:kern w:val="24"/>
          <w:sz w:val="20"/>
          <w:szCs w:val="20"/>
        </w:rPr>
      </w:pPr>
      <w:r>
        <w:rPr>
          <w:rFonts w:ascii="Arial" w:eastAsia="MS PGothic" w:hAnsi="Arial" w:cs="Arial"/>
          <w:color w:val="000000" w:themeColor="text1"/>
          <w:kern w:val="24"/>
          <w:sz w:val="20"/>
          <w:szCs w:val="20"/>
        </w:rPr>
        <w:t xml:space="preserve">                                                                  </w:t>
      </w:r>
      <w:r w:rsidR="000E4E94" w:rsidRPr="00714D21">
        <w:rPr>
          <w:rFonts w:ascii="Arial" w:eastAsia="MS PGothic" w:hAnsi="Arial" w:cs="Arial"/>
          <w:color w:val="000000" w:themeColor="text1"/>
          <w:kern w:val="24"/>
          <w:sz w:val="20"/>
          <w:szCs w:val="20"/>
        </w:rPr>
        <w:t xml:space="preserve">Fuente: </w:t>
      </w:r>
      <w:proofErr w:type="spellStart"/>
      <w:r w:rsidR="000E4E94" w:rsidRPr="00714D21">
        <w:rPr>
          <w:rFonts w:ascii="Arial" w:eastAsia="MS PGothic" w:hAnsi="Arial" w:cs="Arial"/>
          <w:color w:val="000000" w:themeColor="text1"/>
          <w:kern w:val="24"/>
          <w:sz w:val="20"/>
          <w:szCs w:val="20"/>
        </w:rPr>
        <w:t>Shutterstock</w:t>
      </w:r>
      <w:proofErr w:type="spellEnd"/>
    </w:p>
    <w:p w14:paraId="61061074" w14:textId="77777777" w:rsidR="004A4F9C" w:rsidRPr="004A4F9C" w:rsidRDefault="004A4F9C" w:rsidP="004A4F9C">
      <w:pPr>
        <w:spacing w:after="0"/>
      </w:pPr>
    </w:p>
    <w:p w14:paraId="3A059025" w14:textId="677DEF93" w:rsidR="000577F3" w:rsidRPr="000577F3" w:rsidRDefault="00D92CE7" w:rsidP="004A4F9C">
      <w:pPr>
        <w:pStyle w:val="Ttulo2"/>
        <w:numPr>
          <w:ilvl w:val="1"/>
          <w:numId w:val="1"/>
        </w:numPr>
        <w:spacing w:before="0"/>
        <w:ind w:left="719"/>
        <w:jc w:val="both"/>
        <w:rPr>
          <w:rFonts w:eastAsia="Calibri" w:cs="Arial"/>
          <w:szCs w:val="24"/>
        </w:rPr>
      </w:pPr>
      <w:bookmarkStart w:id="3" w:name="_Toc75883022"/>
      <w:bookmarkStart w:id="4" w:name="_Hlk74680378"/>
      <w:r w:rsidRPr="006460DC">
        <w:rPr>
          <w:rFonts w:cs="Arial"/>
          <w:color w:val="000000" w:themeColor="text1"/>
          <w:szCs w:val="24"/>
        </w:rPr>
        <w:t>Objetivos específicos de la Vigilancia en Salud Pública de intoxicaciones debidas al mercurio (1)</w:t>
      </w:r>
      <w:bookmarkEnd w:id="3"/>
    </w:p>
    <w:bookmarkEnd w:id="4"/>
    <w:p w14:paraId="0277BBA7" w14:textId="77777777" w:rsidR="000577F3" w:rsidRPr="000577F3" w:rsidRDefault="000577F3" w:rsidP="000577F3">
      <w:pPr>
        <w:spacing w:after="0"/>
        <w:rPr>
          <w:rFonts w:ascii="Arial" w:hAnsi="Arial" w:cs="Arial"/>
          <w:sz w:val="24"/>
          <w:szCs w:val="24"/>
        </w:rPr>
      </w:pPr>
    </w:p>
    <w:p w14:paraId="421CE22B" w14:textId="36FED9E2" w:rsidR="00B57E80" w:rsidRPr="003A4633" w:rsidRDefault="00B57E80" w:rsidP="003A4633">
      <w:pPr>
        <w:pStyle w:val="Prrafodelista"/>
        <w:numPr>
          <w:ilvl w:val="0"/>
          <w:numId w:val="8"/>
        </w:numPr>
        <w:spacing w:after="0"/>
        <w:jc w:val="both"/>
        <w:rPr>
          <w:rFonts w:ascii="Arial" w:hAnsi="Arial" w:cs="Arial"/>
          <w:color w:val="auto"/>
          <w:sz w:val="24"/>
          <w:szCs w:val="24"/>
        </w:rPr>
      </w:pPr>
      <w:r w:rsidRPr="00B57E80">
        <w:rPr>
          <w:rFonts w:ascii="Arial" w:hAnsi="Arial" w:cs="Arial"/>
          <w:color w:val="auto"/>
          <w:sz w:val="24"/>
          <w:szCs w:val="24"/>
        </w:rPr>
        <w:t>Estimar las medidas de frecuencia que permitan caracterizar en epidemiología los casos de intoxicaciones agudas por Hg.</w:t>
      </w:r>
    </w:p>
    <w:p w14:paraId="3B8BB716" w14:textId="718D4694" w:rsidR="00B57E80" w:rsidRDefault="00B57E80" w:rsidP="00B57E80">
      <w:pPr>
        <w:pStyle w:val="Prrafodelista"/>
        <w:numPr>
          <w:ilvl w:val="0"/>
          <w:numId w:val="8"/>
        </w:numPr>
        <w:spacing w:after="0"/>
        <w:jc w:val="both"/>
        <w:rPr>
          <w:rFonts w:ascii="Arial" w:hAnsi="Arial" w:cs="Arial"/>
          <w:color w:val="auto"/>
          <w:sz w:val="24"/>
          <w:szCs w:val="24"/>
        </w:rPr>
      </w:pPr>
      <w:r w:rsidRPr="00B57E80">
        <w:rPr>
          <w:rFonts w:ascii="Arial" w:hAnsi="Arial" w:cs="Arial"/>
          <w:color w:val="auto"/>
          <w:sz w:val="24"/>
          <w:szCs w:val="24"/>
        </w:rPr>
        <w:t>Analizar la tendencia de las intoxicaciones agudas por Hg en el ámbito municipal, departamental y nacional</w:t>
      </w:r>
      <w:r>
        <w:rPr>
          <w:rFonts w:ascii="Arial" w:hAnsi="Arial" w:cs="Arial"/>
          <w:color w:val="auto"/>
          <w:sz w:val="24"/>
          <w:szCs w:val="24"/>
        </w:rPr>
        <w:t>.</w:t>
      </w:r>
    </w:p>
    <w:p w14:paraId="11D94125" w14:textId="69F98B5D" w:rsidR="000577F3" w:rsidRDefault="00B57E80" w:rsidP="00B57E80">
      <w:pPr>
        <w:pStyle w:val="Prrafodelista"/>
        <w:numPr>
          <w:ilvl w:val="0"/>
          <w:numId w:val="8"/>
        </w:numPr>
        <w:spacing w:after="0"/>
        <w:jc w:val="both"/>
        <w:rPr>
          <w:rFonts w:ascii="Arial" w:hAnsi="Arial" w:cs="Arial"/>
          <w:color w:val="auto"/>
          <w:sz w:val="24"/>
          <w:szCs w:val="24"/>
        </w:rPr>
      </w:pPr>
      <w:r w:rsidRPr="00B57E80">
        <w:rPr>
          <w:rFonts w:ascii="Arial" w:hAnsi="Arial" w:cs="Arial"/>
          <w:color w:val="auto"/>
          <w:sz w:val="24"/>
          <w:szCs w:val="24"/>
        </w:rPr>
        <w:t>Identificar las situaciones de alerta y brotes de intoxicaciones por Hg en el país.</w:t>
      </w:r>
    </w:p>
    <w:p w14:paraId="25646DF1" w14:textId="77777777" w:rsidR="003A4633" w:rsidRPr="00B57E80" w:rsidRDefault="003A4633" w:rsidP="003A4633">
      <w:pPr>
        <w:pStyle w:val="Prrafodelista"/>
        <w:spacing w:after="0"/>
        <w:ind w:left="1004" w:firstLine="0"/>
        <w:jc w:val="both"/>
        <w:rPr>
          <w:rFonts w:ascii="Arial" w:hAnsi="Arial" w:cs="Arial"/>
          <w:color w:val="auto"/>
          <w:sz w:val="24"/>
          <w:szCs w:val="24"/>
        </w:rPr>
      </w:pPr>
    </w:p>
    <w:p w14:paraId="56A4DC24" w14:textId="056EF93A" w:rsidR="000577F3" w:rsidRDefault="00902CF7" w:rsidP="000577F3">
      <w:pPr>
        <w:pStyle w:val="Ttulo2"/>
        <w:numPr>
          <w:ilvl w:val="1"/>
          <w:numId w:val="1"/>
        </w:numPr>
        <w:spacing w:before="0"/>
        <w:ind w:left="719"/>
        <w:jc w:val="both"/>
        <w:rPr>
          <w:rFonts w:cs="Arial"/>
          <w:color w:val="000000" w:themeColor="text1"/>
          <w:szCs w:val="24"/>
        </w:rPr>
      </w:pPr>
      <w:bookmarkStart w:id="5" w:name="_Toc75883023"/>
      <w:r w:rsidRPr="006460DC">
        <w:rPr>
          <w:rFonts w:cs="Arial"/>
          <w:color w:val="000000" w:themeColor="text1"/>
          <w:szCs w:val="24"/>
        </w:rPr>
        <w:t xml:space="preserve">Medios de captación de los sucesos de intoxicación por mercurio </w:t>
      </w:r>
      <w:r w:rsidRPr="006460DC">
        <w:rPr>
          <w:rFonts w:cs="Arial"/>
          <w:color w:val="000000" w:themeColor="text1"/>
          <w:szCs w:val="24"/>
        </w:rPr>
        <w:fldChar w:fldCharType="begin"/>
      </w:r>
      <w:r w:rsidRPr="006460DC">
        <w:rPr>
          <w:rFonts w:cs="Arial"/>
          <w:color w:val="000000" w:themeColor="text1"/>
          <w:szCs w:val="24"/>
        </w:rPr>
        <w:instrText xml:space="preserve"> ADDIN ZOTERO_ITEM CSL_CITATION {"citationID":"UrnmCuNC","properties":{"formattedCitation":"(20)","plainCitation":"(20)"},"citationItems":[{"id":399,"uris":["http://zotero.org/users/1968409/items/KKMKRCZ6"],"uri":["http://zotero.org/users/1968409/items/KKMKRCZ6"],"itemData":{"id":399,"type":"article","title":"Elementos de Protección Personal para el riesgo químico.","URL":"https://core.ac.uk/download/pdf/47284500.pdf","language":"Español","author":[{"literal":"Centro de Información de Sustancias químicas, Emergencias y Medio Ambiente - CISTEMA"}],"issued":{"date-parts":[["2014",11,28]]}}}],"schema":"https://github.com/citation-style-language/schema/raw/master/csl-citation.json"} </w:instrText>
      </w:r>
      <w:r w:rsidRPr="006460DC">
        <w:rPr>
          <w:rFonts w:cs="Arial"/>
          <w:color w:val="000000" w:themeColor="text1"/>
          <w:szCs w:val="24"/>
        </w:rPr>
        <w:fldChar w:fldCharType="separate"/>
      </w:r>
      <w:r w:rsidRPr="006460DC">
        <w:rPr>
          <w:rFonts w:cs="Arial"/>
          <w:color w:val="000000" w:themeColor="text1"/>
          <w:szCs w:val="24"/>
        </w:rPr>
        <w:t>(1)</w:t>
      </w:r>
      <w:bookmarkEnd w:id="5"/>
      <w:r w:rsidRPr="006460DC">
        <w:rPr>
          <w:rFonts w:cs="Arial"/>
          <w:color w:val="000000" w:themeColor="text1"/>
          <w:szCs w:val="24"/>
        </w:rPr>
        <w:fldChar w:fldCharType="end"/>
      </w:r>
    </w:p>
    <w:p w14:paraId="112F5F1F" w14:textId="6160D8AA" w:rsidR="00902CF7" w:rsidRDefault="00902CF7" w:rsidP="003E709C">
      <w:pPr>
        <w:spacing w:after="0"/>
      </w:pPr>
    </w:p>
    <w:p w14:paraId="315E41F6" w14:textId="61AAF188"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Fichas de notificación epidemiológicas.</w:t>
      </w:r>
    </w:p>
    <w:p w14:paraId="08153F3B" w14:textId="77777777"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RIPS.</w:t>
      </w:r>
    </w:p>
    <w:p w14:paraId="32276B23" w14:textId="77777777"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 xml:space="preserve">Historias clínicas y epicrisis. </w:t>
      </w:r>
    </w:p>
    <w:p w14:paraId="2D45FA1A" w14:textId="77777777"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Reportes de laboratorio.</w:t>
      </w:r>
    </w:p>
    <w:p w14:paraId="70988FDC" w14:textId="77777777"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Certificados de defunción.</w:t>
      </w:r>
    </w:p>
    <w:p w14:paraId="27D3D1A6" w14:textId="77777777"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 xml:space="preserve">Reportes de investigación de casos y de brotes previos. </w:t>
      </w:r>
    </w:p>
    <w:p w14:paraId="3B3E5FFD" w14:textId="77777777" w:rsidR="00902CF7" w:rsidRDefault="00902CF7" w:rsidP="00902CF7">
      <w:pPr>
        <w:pStyle w:val="Prrafodelista"/>
        <w:numPr>
          <w:ilvl w:val="0"/>
          <w:numId w:val="9"/>
        </w:numPr>
        <w:spacing w:line="168" w:lineRule="auto"/>
        <w:ind w:left="992" w:hanging="425"/>
        <w:contextualSpacing w:val="0"/>
        <w:jc w:val="both"/>
        <w:rPr>
          <w:rFonts w:ascii="Arial" w:hAnsi="Arial" w:cs="Arial"/>
          <w:bCs/>
          <w:color w:val="000000" w:themeColor="text1"/>
          <w:sz w:val="24"/>
          <w:szCs w:val="24"/>
        </w:rPr>
      </w:pPr>
      <w:r w:rsidRPr="006460DC">
        <w:rPr>
          <w:rFonts w:ascii="Arial" w:hAnsi="Arial" w:cs="Arial"/>
          <w:bCs/>
          <w:color w:val="000000" w:themeColor="text1"/>
          <w:sz w:val="24"/>
          <w:szCs w:val="24"/>
        </w:rPr>
        <w:t>Reportes de promotores de salud y líderes comunitarios.</w:t>
      </w:r>
    </w:p>
    <w:p w14:paraId="5B64D8A2" w14:textId="4F76F841" w:rsidR="00902CF7" w:rsidRDefault="00902CF7" w:rsidP="000874B2">
      <w:pPr>
        <w:pStyle w:val="Prrafodelista"/>
        <w:numPr>
          <w:ilvl w:val="0"/>
          <w:numId w:val="9"/>
        </w:numPr>
        <w:spacing w:after="0" w:line="168" w:lineRule="auto"/>
        <w:ind w:left="992" w:hanging="425"/>
        <w:contextualSpacing w:val="0"/>
        <w:jc w:val="both"/>
        <w:rPr>
          <w:rFonts w:ascii="Arial" w:hAnsi="Arial" w:cs="Arial"/>
          <w:bCs/>
          <w:color w:val="000000" w:themeColor="text1"/>
          <w:sz w:val="24"/>
          <w:szCs w:val="24"/>
        </w:rPr>
      </w:pPr>
      <w:r w:rsidRPr="00902CF7">
        <w:rPr>
          <w:rFonts w:ascii="Arial" w:hAnsi="Arial" w:cs="Arial"/>
          <w:bCs/>
          <w:color w:val="000000" w:themeColor="text1"/>
          <w:sz w:val="24"/>
          <w:szCs w:val="24"/>
        </w:rPr>
        <w:t>Información emitida por los medios de comunicación.</w:t>
      </w:r>
    </w:p>
    <w:p w14:paraId="221EAC4F" w14:textId="77777777" w:rsidR="008D12F4" w:rsidRDefault="008D12F4" w:rsidP="008D12F4">
      <w:pPr>
        <w:pStyle w:val="Prrafodelista"/>
        <w:spacing w:after="0" w:line="168" w:lineRule="auto"/>
        <w:ind w:left="992" w:firstLine="0"/>
        <w:contextualSpacing w:val="0"/>
        <w:jc w:val="both"/>
        <w:rPr>
          <w:rFonts w:ascii="Arial" w:hAnsi="Arial" w:cs="Arial"/>
          <w:bCs/>
          <w:color w:val="000000" w:themeColor="text1"/>
          <w:sz w:val="24"/>
          <w:szCs w:val="24"/>
        </w:rPr>
      </w:pPr>
    </w:p>
    <w:p w14:paraId="37DC0149" w14:textId="77C90A69" w:rsidR="000577F3" w:rsidRPr="000577F3" w:rsidRDefault="008D12F4" w:rsidP="00E7243E">
      <w:pPr>
        <w:pStyle w:val="Ttulo1"/>
        <w:rPr>
          <w:rFonts w:eastAsia="Calibri"/>
        </w:rPr>
      </w:pPr>
      <w:bookmarkStart w:id="6" w:name="_Toc75883024"/>
      <w:r>
        <w:rPr>
          <w:rFonts w:eastAsia="Calibri"/>
        </w:rPr>
        <w:t>Alerta por exposición a mercurio (2)</w:t>
      </w:r>
      <w:bookmarkEnd w:id="6"/>
    </w:p>
    <w:p w14:paraId="0E2A2C02" w14:textId="77777777" w:rsidR="000577F3" w:rsidRP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1C2460E1" w14:textId="77777777" w:rsidR="008D12F4" w:rsidRPr="00EE006D" w:rsidRDefault="008D12F4" w:rsidP="008D12F4">
      <w:pPr>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 xml:space="preserve">Estado que se declara con anterioridad a la manifestación de un evento peligroso como la intoxicación masiva de personas por exposición al </w:t>
      </w:r>
      <w:r>
        <w:rPr>
          <w:rFonts w:ascii="Arial" w:hAnsi="Arial" w:cs="Arial"/>
          <w:bCs/>
          <w:color w:val="000000" w:themeColor="text1"/>
          <w:sz w:val="24"/>
          <w:szCs w:val="24"/>
        </w:rPr>
        <w:t>mercurio</w:t>
      </w:r>
      <w:r w:rsidRPr="00EE006D">
        <w:rPr>
          <w:rFonts w:ascii="Arial" w:hAnsi="Arial" w:cs="Arial"/>
          <w:bCs/>
          <w:color w:val="000000" w:themeColor="text1"/>
          <w:sz w:val="24"/>
          <w:szCs w:val="24"/>
        </w:rPr>
        <w:t>, con base en el monitoreo del comportamiento del respectivo fenómeno en mediciones ambientales, de alimentos y de personas en forma periódica, con el fin de que las entidades y la población involucrada activen procedimientos de acción previamente establecidos.</w:t>
      </w:r>
    </w:p>
    <w:p w14:paraId="3AA56B49" w14:textId="42969E66" w:rsidR="008D12F4" w:rsidRDefault="008D12F4" w:rsidP="003406A2">
      <w:pPr>
        <w:spacing w:after="0"/>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Las intoxicaciones ocasionadas por contacto con Hg se identifican como alertas sanitarias debido al daño físico irreversible que generan y que pueden ocasionar al individuo incluyendo la muerte.</w:t>
      </w:r>
    </w:p>
    <w:p w14:paraId="27477989" w14:textId="77777777" w:rsidR="003406A2" w:rsidRDefault="003406A2" w:rsidP="003406A2">
      <w:pPr>
        <w:spacing w:after="0"/>
        <w:ind w:left="284"/>
        <w:jc w:val="both"/>
        <w:rPr>
          <w:rFonts w:ascii="Arial" w:hAnsi="Arial" w:cs="Arial"/>
          <w:bCs/>
          <w:color w:val="000000" w:themeColor="text1"/>
          <w:sz w:val="24"/>
          <w:szCs w:val="24"/>
        </w:rPr>
      </w:pPr>
    </w:p>
    <w:p w14:paraId="7B8269DC" w14:textId="3EFBFE11" w:rsidR="008D12F4" w:rsidRDefault="00611C98" w:rsidP="00611C98">
      <w:pPr>
        <w:pStyle w:val="Ttulo2"/>
        <w:spacing w:before="0"/>
        <w:ind w:left="709" w:hanging="425"/>
        <w:jc w:val="both"/>
        <w:rPr>
          <w:rFonts w:cs="Arial"/>
          <w:color w:val="000000" w:themeColor="text1"/>
          <w:szCs w:val="24"/>
        </w:rPr>
      </w:pPr>
      <w:bookmarkStart w:id="7" w:name="_Toc75883025"/>
      <w:r>
        <w:rPr>
          <w:rFonts w:cs="Arial"/>
          <w:color w:val="000000" w:themeColor="text1"/>
          <w:szCs w:val="24"/>
        </w:rPr>
        <w:t>2.1 Objetivos específicos de las alertas por exposición al mercurio (3)</w:t>
      </w:r>
      <w:bookmarkEnd w:id="7"/>
    </w:p>
    <w:p w14:paraId="644EB66E" w14:textId="3AB97526" w:rsidR="00611C98" w:rsidRDefault="00611C98" w:rsidP="003E709C">
      <w:pPr>
        <w:spacing w:after="0"/>
      </w:pPr>
    </w:p>
    <w:p w14:paraId="05F6E677" w14:textId="6BF4253D" w:rsidR="0050727F" w:rsidRDefault="00611C98" w:rsidP="0050727F">
      <w:pPr>
        <w:pStyle w:val="Prrafodelista"/>
        <w:numPr>
          <w:ilvl w:val="0"/>
          <w:numId w:val="11"/>
        </w:numPr>
        <w:spacing w:after="200" w:line="276" w:lineRule="auto"/>
        <w:ind w:left="851" w:hanging="284"/>
        <w:jc w:val="both"/>
        <w:rPr>
          <w:rFonts w:ascii="Arial" w:hAnsi="Arial" w:cs="Arial"/>
          <w:bCs/>
          <w:color w:val="000000" w:themeColor="text1"/>
          <w:sz w:val="24"/>
          <w:szCs w:val="24"/>
        </w:rPr>
      </w:pPr>
      <w:r w:rsidRPr="0050727F">
        <w:rPr>
          <w:rFonts w:ascii="Arial" w:hAnsi="Arial" w:cs="Arial"/>
          <w:bCs/>
          <w:color w:val="000000" w:themeColor="text1"/>
          <w:sz w:val="24"/>
          <w:szCs w:val="24"/>
        </w:rPr>
        <w:t>Detectar oportunamente condiciones de riesgo ambiental, ocupacional, accidental de la población por causa del Hg, que pueda generarle daño.</w:t>
      </w:r>
    </w:p>
    <w:p w14:paraId="10459657" w14:textId="77777777" w:rsidR="0050727F" w:rsidRDefault="0050727F" w:rsidP="0050727F">
      <w:pPr>
        <w:pStyle w:val="Prrafodelista"/>
        <w:spacing w:after="200" w:line="276" w:lineRule="auto"/>
        <w:ind w:firstLine="0"/>
        <w:jc w:val="both"/>
        <w:rPr>
          <w:rFonts w:ascii="Arial" w:hAnsi="Arial" w:cs="Arial"/>
          <w:bCs/>
          <w:color w:val="000000" w:themeColor="text1"/>
          <w:sz w:val="24"/>
          <w:szCs w:val="24"/>
        </w:rPr>
      </w:pPr>
    </w:p>
    <w:p w14:paraId="4CE0D749" w14:textId="68AFDD44" w:rsidR="0050727F" w:rsidRPr="0050727F" w:rsidRDefault="00611C98" w:rsidP="0050727F">
      <w:pPr>
        <w:pStyle w:val="Prrafodelista"/>
        <w:numPr>
          <w:ilvl w:val="0"/>
          <w:numId w:val="11"/>
        </w:numPr>
        <w:spacing w:after="200" w:line="276" w:lineRule="auto"/>
        <w:ind w:left="851" w:hanging="284"/>
        <w:jc w:val="both"/>
        <w:rPr>
          <w:rFonts w:ascii="Arial" w:hAnsi="Arial" w:cs="Arial"/>
          <w:bCs/>
          <w:color w:val="auto"/>
          <w:sz w:val="24"/>
          <w:szCs w:val="24"/>
        </w:rPr>
      </w:pPr>
      <w:r w:rsidRPr="0050727F">
        <w:rPr>
          <w:rFonts w:ascii="Arial" w:hAnsi="Arial" w:cs="Arial"/>
          <w:color w:val="auto"/>
          <w:sz w:val="24"/>
          <w:szCs w:val="24"/>
        </w:rPr>
        <w:t>Proporcionar elementos basados en la evidencia que permitan dar una respuesta.</w:t>
      </w:r>
    </w:p>
    <w:p w14:paraId="3DC85A10" w14:textId="77777777" w:rsidR="0050727F" w:rsidRPr="0050727F" w:rsidRDefault="0050727F" w:rsidP="0050727F">
      <w:pPr>
        <w:pStyle w:val="Prrafodelista"/>
        <w:spacing w:after="200" w:line="276" w:lineRule="auto"/>
        <w:ind w:left="851" w:hanging="284"/>
        <w:jc w:val="both"/>
        <w:rPr>
          <w:rFonts w:ascii="Arial" w:hAnsi="Arial" w:cs="Arial"/>
          <w:bCs/>
          <w:color w:val="auto"/>
          <w:sz w:val="24"/>
          <w:szCs w:val="24"/>
        </w:rPr>
      </w:pPr>
    </w:p>
    <w:p w14:paraId="618E9E50" w14:textId="375C4A17" w:rsidR="0050727F" w:rsidRPr="0050727F" w:rsidRDefault="00611C98" w:rsidP="0050727F">
      <w:pPr>
        <w:pStyle w:val="Prrafodelista"/>
        <w:numPr>
          <w:ilvl w:val="0"/>
          <w:numId w:val="11"/>
        </w:numPr>
        <w:spacing w:after="0" w:line="276" w:lineRule="auto"/>
        <w:ind w:left="851" w:hanging="284"/>
        <w:jc w:val="both"/>
        <w:rPr>
          <w:rFonts w:ascii="Arial" w:hAnsi="Arial" w:cs="Arial"/>
          <w:color w:val="auto"/>
          <w:sz w:val="24"/>
          <w:szCs w:val="24"/>
        </w:rPr>
      </w:pPr>
      <w:r w:rsidRPr="0050727F">
        <w:rPr>
          <w:rFonts w:ascii="Arial" w:hAnsi="Arial" w:cs="Arial"/>
          <w:color w:val="auto"/>
          <w:sz w:val="24"/>
          <w:szCs w:val="24"/>
        </w:rPr>
        <w:t>Fortalecer la coordinación intersectorial para el control y manejo del Hg a nivel nacional, municipal y departamental.</w:t>
      </w:r>
    </w:p>
    <w:p w14:paraId="6A9324D4" w14:textId="77777777" w:rsidR="0050727F" w:rsidRPr="0050727F" w:rsidRDefault="0050727F" w:rsidP="0050727F">
      <w:pPr>
        <w:pStyle w:val="Prrafodelista"/>
        <w:spacing w:after="0" w:line="276" w:lineRule="auto"/>
        <w:ind w:left="851" w:hanging="284"/>
        <w:jc w:val="both"/>
        <w:rPr>
          <w:rFonts w:ascii="Arial" w:hAnsi="Arial" w:cs="Arial"/>
          <w:color w:val="auto"/>
          <w:sz w:val="24"/>
          <w:szCs w:val="24"/>
        </w:rPr>
      </w:pPr>
    </w:p>
    <w:p w14:paraId="77D00ED0" w14:textId="26E4B853" w:rsidR="00611C98" w:rsidRDefault="00611C98" w:rsidP="0050727F">
      <w:pPr>
        <w:pStyle w:val="Prrafodelista"/>
        <w:numPr>
          <w:ilvl w:val="0"/>
          <w:numId w:val="11"/>
        </w:numPr>
        <w:spacing w:after="0" w:line="276" w:lineRule="auto"/>
        <w:ind w:left="851" w:hanging="284"/>
        <w:jc w:val="both"/>
        <w:rPr>
          <w:rFonts w:ascii="Arial" w:hAnsi="Arial" w:cs="Arial"/>
          <w:color w:val="auto"/>
          <w:sz w:val="24"/>
          <w:szCs w:val="24"/>
        </w:rPr>
      </w:pPr>
      <w:r w:rsidRPr="0050727F">
        <w:rPr>
          <w:rFonts w:ascii="Arial" w:hAnsi="Arial" w:cs="Arial"/>
          <w:color w:val="auto"/>
          <w:sz w:val="24"/>
          <w:szCs w:val="24"/>
        </w:rPr>
        <w:t>Identificar las situaciones de alerta por caso individual y por brotes de intoxicaciones por Hg en el país.</w:t>
      </w:r>
    </w:p>
    <w:p w14:paraId="008003EF" w14:textId="4723D7D9" w:rsidR="00303356" w:rsidRDefault="00303356" w:rsidP="003E709C">
      <w:pPr>
        <w:pStyle w:val="Prrafodelista"/>
        <w:spacing w:after="0" w:line="276" w:lineRule="auto"/>
        <w:ind w:left="851" w:firstLine="0"/>
        <w:jc w:val="both"/>
        <w:rPr>
          <w:rFonts w:ascii="Arial" w:hAnsi="Arial" w:cs="Arial"/>
          <w:color w:val="auto"/>
          <w:sz w:val="24"/>
          <w:szCs w:val="24"/>
        </w:rPr>
      </w:pPr>
    </w:p>
    <w:p w14:paraId="451C6D75" w14:textId="6EA0023C" w:rsidR="003A4633" w:rsidRDefault="003A4633" w:rsidP="003E709C">
      <w:pPr>
        <w:pStyle w:val="Prrafodelista"/>
        <w:spacing w:after="0" w:line="276" w:lineRule="auto"/>
        <w:ind w:left="851" w:firstLine="0"/>
        <w:jc w:val="both"/>
        <w:rPr>
          <w:rFonts w:ascii="Arial" w:hAnsi="Arial" w:cs="Arial"/>
          <w:color w:val="auto"/>
          <w:sz w:val="24"/>
          <w:szCs w:val="24"/>
        </w:rPr>
      </w:pPr>
    </w:p>
    <w:p w14:paraId="0B82A4BF" w14:textId="77777777" w:rsidR="003A4633" w:rsidRPr="0050727F" w:rsidRDefault="003A4633" w:rsidP="003E709C">
      <w:pPr>
        <w:pStyle w:val="Prrafodelista"/>
        <w:spacing w:after="0" w:line="276" w:lineRule="auto"/>
        <w:ind w:left="851" w:firstLine="0"/>
        <w:jc w:val="both"/>
        <w:rPr>
          <w:rFonts w:ascii="Arial" w:hAnsi="Arial" w:cs="Arial"/>
          <w:color w:val="auto"/>
          <w:sz w:val="24"/>
          <w:szCs w:val="24"/>
        </w:rPr>
      </w:pPr>
    </w:p>
    <w:p w14:paraId="5E53B191" w14:textId="5E88ADA2" w:rsidR="007D1BD5" w:rsidRDefault="007D1BD5" w:rsidP="007D1BD5">
      <w:pPr>
        <w:pStyle w:val="Ttulo2"/>
        <w:spacing w:before="0"/>
        <w:ind w:left="709" w:hanging="425"/>
        <w:jc w:val="both"/>
        <w:rPr>
          <w:rFonts w:cs="Arial"/>
          <w:color w:val="000000" w:themeColor="text1"/>
          <w:szCs w:val="24"/>
        </w:rPr>
      </w:pPr>
      <w:bookmarkStart w:id="8" w:name="_Toc75883026"/>
      <w:r>
        <w:rPr>
          <w:rFonts w:cs="Arial"/>
          <w:color w:val="000000" w:themeColor="text1"/>
          <w:szCs w:val="24"/>
        </w:rPr>
        <w:lastRenderedPageBreak/>
        <w:t>2.2 Propósito de las alertas por exposición al mercurio (3)</w:t>
      </w:r>
      <w:bookmarkEnd w:id="8"/>
    </w:p>
    <w:p w14:paraId="3C79F917" w14:textId="77777777" w:rsidR="00303356" w:rsidRPr="00303356" w:rsidRDefault="00303356" w:rsidP="00303356">
      <w:pPr>
        <w:spacing w:after="0"/>
      </w:pPr>
    </w:p>
    <w:p w14:paraId="1A6D8E15" w14:textId="3FCB69D8" w:rsidR="007D1BD5" w:rsidRDefault="007D1BD5" w:rsidP="007D1BD5">
      <w:pPr>
        <w:spacing w:after="0"/>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Disminuir o evitar la generación de daños a la salud ocasionados por la exposición al Hg e implementar acciones de prevención y control.</w:t>
      </w:r>
    </w:p>
    <w:p w14:paraId="0104D9D5" w14:textId="6AD038E0" w:rsidR="007D1BD5" w:rsidRDefault="007D1BD5" w:rsidP="007D1BD5">
      <w:pPr>
        <w:pStyle w:val="Ttulo2"/>
        <w:spacing w:before="0"/>
        <w:ind w:left="709" w:hanging="425"/>
        <w:jc w:val="both"/>
        <w:rPr>
          <w:rFonts w:cs="Arial"/>
          <w:color w:val="000000" w:themeColor="text1"/>
          <w:szCs w:val="24"/>
        </w:rPr>
      </w:pPr>
      <w:bookmarkStart w:id="9" w:name="_Toc75883027"/>
      <w:r>
        <w:rPr>
          <w:rFonts w:cs="Arial"/>
          <w:color w:val="000000" w:themeColor="text1"/>
          <w:szCs w:val="24"/>
        </w:rPr>
        <w:t xml:space="preserve">2.3 </w:t>
      </w:r>
      <w:r w:rsidRPr="00EE006D">
        <w:rPr>
          <w:rFonts w:cs="Arial"/>
          <w:color w:val="000000" w:themeColor="text1"/>
          <w:szCs w:val="24"/>
        </w:rPr>
        <w:t>Descripción para la identificación y diagnóstico de la intoxicación por mercurio</w:t>
      </w:r>
      <w:bookmarkEnd w:id="9"/>
    </w:p>
    <w:p w14:paraId="5122E11C" w14:textId="77777777" w:rsidR="007D1BD5" w:rsidRPr="007D1BD5" w:rsidRDefault="007D1BD5" w:rsidP="007D1BD5">
      <w:pPr>
        <w:spacing w:after="0"/>
      </w:pPr>
    </w:p>
    <w:p w14:paraId="0F339A25" w14:textId="4E9896A3" w:rsidR="00F87F59" w:rsidRDefault="00F87F59" w:rsidP="007D1BD5">
      <w:pPr>
        <w:spacing w:after="0"/>
        <w:ind w:left="284"/>
        <w:jc w:val="both"/>
        <w:rPr>
          <w:rFonts w:ascii="Arial" w:hAnsi="Arial" w:cs="Arial"/>
          <w:color w:val="000000"/>
          <w:sz w:val="24"/>
          <w:szCs w:val="24"/>
        </w:rPr>
      </w:pPr>
      <w:r w:rsidRPr="00F87F59">
        <w:rPr>
          <w:rFonts w:ascii="Arial" w:hAnsi="Arial" w:cs="Arial"/>
          <w:color w:val="000000"/>
          <w:sz w:val="24"/>
          <w:szCs w:val="24"/>
        </w:rPr>
        <w:t>Para la identificación de un caso de intoxicación por mercurio el país cuenta con un</w:t>
      </w:r>
      <w:r w:rsidR="005E354F">
        <w:rPr>
          <w:rFonts w:ascii="Arial" w:hAnsi="Arial" w:cs="Arial"/>
          <w:color w:val="000000"/>
          <w:sz w:val="24"/>
          <w:szCs w:val="24"/>
        </w:rPr>
        <w:t xml:space="preserve"> S</w:t>
      </w:r>
      <w:r w:rsidRPr="00F87F59">
        <w:rPr>
          <w:rFonts w:ascii="Arial" w:hAnsi="Arial" w:cs="Arial"/>
          <w:color w:val="000000"/>
          <w:sz w:val="24"/>
          <w:szCs w:val="24"/>
        </w:rPr>
        <w:t xml:space="preserve">istema de </w:t>
      </w:r>
      <w:r w:rsidR="005E354F">
        <w:rPr>
          <w:rFonts w:ascii="Arial" w:hAnsi="Arial" w:cs="Arial"/>
          <w:color w:val="000000"/>
          <w:sz w:val="24"/>
          <w:szCs w:val="24"/>
        </w:rPr>
        <w:t>V</w:t>
      </w:r>
      <w:r w:rsidRPr="00F87F59">
        <w:rPr>
          <w:rFonts w:ascii="Arial" w:hAnsi="Arial" w:cs="Arial"/>
          <w:color w:val="000000"/>
          <w:sz w:val="24"/>
          <w:szCs w:val="24"/>
        </w:rPr>
        <w:t>igilancia en Salud Pública</w:t>
      </w:r>
      <w:r w:rsidR="005E354F">
        <w:rPr>
          <w:rFonts w:ascii="Arial" w:hAnsi="Arial" w:cs="Arial"/>
          <w:color w:val="000000"/>
          <w:sz w:val="24"/>
          <w:szCs w:val="24"/>
        </w:rPr>
        <w:t>,</w:t>
      </w:r>
      <w:r w:rsidRPr="00F87F59">
        <w:rPr>
          <w:rFonts w:ascii="Arial" w:hAnsi="Arial" w:cs="Arial"/>
          <w:color w:val="000000"/>
          <w:sz w:val="24"/>
          <w:szCs w:val="24"/>
        </w:rPr>
        <w:t xml:space="preserve"> llamado SIVIGILA</w:t>
      </w:r>
      <w:r w:rsidR="005E354F">
        <w:rPr>
          <w:rFonts w:ascii="Arial" w:hAnsi="Arial" w:cs="Arial"/>
          <w:color w:val="000000"/>
          <w:sz w:val="24"/>
          <w:szCs w:val="24"/>
        </w:rPr>
        <w:t>,</w:t>
      </w:r>
      <w:r w:rsidRPr="00F87F59">
        <w:rPr>
          <w:rFonts w:ascii="Arial" w:hAnsi="Arial" w:cs="Arial"/>
          <w:color w:val="000000"/>
          <w:sz w:val="24"/>
          <w:szCs w:val="24"/>
        </w:rPr>
        <w:t xml:space="preserve"> creado por el Instituto Nacional de Salud – INS, que tiene como responsabilidad el proceso de observación y análisis objetivo, sistemático y constante de los eventos en salud, el cual sustenta la orientación, planificación, ejecución, seguimiento y evaluación de la práctica de la salud pública. Este seguimiento se hace a través de fichas de notificación que las entidades de salud o profesionales de la salud diligencian con los datos básicos del paciente y la sintomatología que presenta por la intoxicación por mercurio.</w:t>
      </w:r>
    </w:p>
    <w:p w14:paraId="14CD1273" w14:textId="77777777" w:rsidR="00F87F59" w:rsidRDefault="00F87F59" w:rsidP="007D1BD5">
      <w:pPr>
        <w:spacing w:after="0"/>
        <w:ind w:left="284"/>
        <w:jc w:val="both"/>
        <w:rPr>
          <w:rFonts w:ascii="Arial" w:hAnsi="Arial" w:cs="Arial"/>
          <w:color w:val="000000"/>
          <w:sz w:val="24"/>
          <w:szCs w:val="24"/>
        </w:rPr>
      </w:pPr>
    </w:p>
    <w:p w14:paraId="0839D030" w14:textId="6252B35F" w:rsidR="007D1BD5" w:rsidRPr="00F87F59" w:rsidRDefault="00F87F59" w:rsidP="007D1BD5">
      <w:pPr>
        <w:spacing w:after="0"/>
        <w:ind w:left="284"/>
        <w:jc w:val="both"/>
        <w:rPr>
          <w:rFonts w:ascii="Arial" w:hAnsi="Arial" w:cs="Arial"/>
          <w:bCs/>
          <w:color w:val="000000" w:themeColor="text1"/>
          <w:sz w:val="24"/>
          <w:szCs w:val="24"/>
        </w:rPr>
      </w:pPr>
      <w:r w:rsidRPr="00F87F59">
        <w:rPr>
          <w:rFonts w:ascii="Arial" w:hAnsi="Arial" w:cs="Arial"/>
          <w:color w:val="000000"/>
          <w:sz w:val="24"/>
          <w:szCs w:val="24"/>
        </w:rPr>
        <w:t xml:space="preserve">Para una adecuada notificación de los eventos de intoxicaciones por sustancias químicas, es importante identificar el grupo al que pertenece la sustancia química que origina la intoxicación (tabla </w:t>
      </w:r>
      <w:r>
        <w:rPr>
          <w:rFonts w:ascii="Arial" w:hAnsi="Arial" w:cs="Arial"/>
          <w:color w:val="000000"/>
          <w:sz w:val="24"/>
          <w:szCs w:val="24"/>
        </w:rPr>
        <w:t>1</w:t>
      </w:r>
      <w:r w:rsidRPr="00F87F59">
        <w:rPr>
          <w:rFonts w:ascii="Arial" w:hAnsi="Arial" w:cs="Arial"/>
          <w:color w:val="000000"/>
          <w:sz w:val="24"/>
          <w:szCs w:val="24"/>
        </w:rPr>
        <w:t>). Por ejemplo: Mercurio pertenece al grupo de los metales; se cuenta con una ficha única de notificación de intoxicaciones por sustancias químicas identificada con código de notificación 365 que cuenta con los siguientes grupos de sustancias para la vigilancia con sus respectivos códigos (1)</w:t>
      </w:r>
      <w:r w:rsidR="007D1BD5" w:rsidRPr="00F87F59">
        <w:rPr>
          <w:rFonts w:ascii="Arial" w:hAnsi="Arial" w:cs="Arial"/>
          <w:bCs/>
          <w:color w:val="000000" w:themeColor="text1"/>
          <w:sz w:val="24"/>
          <w:szCs w:val="24"/>
        </w:rPr>
        <w:t>.</w:t>
      </w:r>
    </w:p>
    <w:p w14:paraId="34663474" w14:textId="77777777" w:rsidR="007D1BD5" w:rsidRPr="007D1BD5" w:rsidRDefault="007D1BD5" w:rsidP="007D1BD5">
      <w:pPr>
        <w:spacing w:after="0"/>
        <w:ind w:left="284"/>
        <w:jc w:val="both"/>
        <w:rPr>
          <w:rFonts w:ascii="Arial" w:hAnsi="Arial" w:cs="Arial"/>
          <w:bCs/>
          <w:color w:val="000000" w:themeColor="text1"/>
          <w:sz w:val="24"/>
          <w:szCs w:val="24"/>
        </w:rPr>
      </w:pPr>
    </w:p>
    <w:p w14:paraId="40639B15" w14:textId="60274405" w:rsidR="007D1BD5" w:rsidRPr="00714D21" w:rsidRDefault="003E709C" w:rsidP="007D1BD5">
      <w:pPr>
        <w:ind w:left="142"/>
        <w:jc w:val="center"/>
        <w:rPr>
          <w:rFonts w:ascii="Arial" w:hAnsi="Arial" w:cs="Arial"/>
          <w:b/>
          <w:bCs/>
          <w:color w:val="000000" w:themeColor="text1"/>
          <w:sz w:val="20"/>
          <w:szCs w:val="20"/>
        </w:rPr>
      </w:pPr>
      <w:r w:rsidRPr="00714D21">
        <w:rPr>
          <w:rFonts w:ascii="Arial" w:hAnsi="Arial" w:cs="Arial"/>
          <w:noProof/>
          <w:color w:val="000000" w:themeColor="text1"/>
          <w:sz w:val="20"/>
          <w:szCs w:val="20"/>
          <w:lang w:eastAsia="es-CO"/>
        </w:rPr>
        <w:drawing>
          <wp:anchor distT="0" distB="0" distL="114300" distR="114300" simplePos="0" relativeHeight="251668480" behindDoc="1" locked="0" layoutInCell="1" allowOverlap="1" wp14:anchorId="6F29C8F0" wp14:editId="2836536E">
            <wp:simplePos x="0" y="0"/>
            <wp:positionH relativeFrom="margin">
              <wp:align>center</wp:align>
            </wp:positionH>
            <wp:positionV relativeFrom="paragraph">
              <wp:posOffset>372110</wp:posOffset>
            </wp:positionV>
            <wp:extent cx="5178785" cy="1495425"/>
            <wp:effectExtent l="0" t="0" r="3175" b="0"/>
            <wp:wrapNone/>
            <wp:docPr id="8" name="Imagen 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829" t="37154" r="31433" b="34323"/>
                    <a:stretch/>
                  </pic:blipFill>
                  <pic:spPr bwMode="auto">
                    <a:xfrm>
                      <a:off x="0" y="0"/>
                      <a:ext cx="517878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BD5" w:rsidRPr="00714D21">
        <w:rPr>
          <w:rFonts w:ascii="Arial" w:hAnsi="Arial" w:cs="Arial"/>
          <w:b/>
          <w:bCs/>
          <w:color w:val="000000" w:themeColor="text1"/>
          <w:sz w:val="20"/>
          <w:szCs w:val="20"/>
        </w:rPr>
        <w:t>Tabla 1. Descripción de grupos de sustancias y códigos de grupos de sustancias de intoxicaciones</w:t>
      </w:r>
      <w:r w:rsidR="00714D21">
        <w:rPr>
          <w:rFonts w:ascii="Arial" w:hAnsi="Arial" w:cs="Arial"/>
          <w:b/>
          <w:bCs/>
          <w:color w:val="000000" w:themeColor="text1"/>
          <w:sz w:val="20"/>
          <w:szCs w:val="20"/>
        </w:rPr>
        <w:t>,</w:t>
      </w:r>
      <w:r w:rsidR="007D1BD5" w:rsidRPr="00714D21">
        <w:rPr>
          <w:rFonts w:ascii="Arial" w:hAnsi="Arial" w:cs="Arial"/>
          <w:b/>
          <w:bCs/>
          <w:color w:val="000000" w:themeColor="text1"/>
          <w:sz w:val="20"/>
          <w:szCs w:val="20"/>
        </w:rPr>
        <w:t xml:space="preserve"> Sivigila (1).</w:t>
      </w:r>
    </w:p>
    <w:p w14:paraId="48414CD2" w14:textId="0A6590D0" w:rsidR="007D1BD5" w:rsidRDefault="007D1BD5" w:rsidP="007D1BD5">
      <w:pPr>
        <w:ind w:left="142"/>
        <w:jc w:val="center"/>
        <w:rPr>
          <w:rFonts w:ascii="Arial" w:hAnsi="Arial" w:cs="Arial"/>
          <w:noProof/>
          <w:color w:val="000000" w:themeColor="text1"/>
          <w:sz w:val="24"/>
          <w:szCs w:val="24"/>
          <w:lang w:eastAsia="es-CO"/>
        </w:rPr>
      </w:pPr>
    </w:p>
    <w:p w14:paraId="0C2CE61D" w14:textId="77777777" w:rsidR="007D1BD5" w:rsidRDefault="007D1BD5" w:rsidP="007D1BD5">
      <w:pPr>
        <w:ind w:left="142"/>
        <w:jc w:val="center"/>
        <w:rPr>
          <w:rFonts w:ascii="Arial" w:hAnsi="Arial" w:cs="Arial"/>
          <w:noProof/>
          <w:color w:val="000000" w:themeColor="text1"/>
          <w:sz w:val="24"/>
          <w:szCs w:val="24"/>
          <w:lang w:eastAsia="es-CO"/>
        </w:rPr>
      </w:pPr>
    </w:p>
    <w:p w14:paraId="3184A780" w14:textId="77777777" w:rsidR="007D1BD5" w:rsidRDefault="007D1BD5" w:rsidP="007D1BD5">
      <w:pPr>
        <w:ind w:left="142"/>
        <w:jc w:val="center"/>
        <w:rPr>
          <w:rFonts w:ascii="Arial" w:hAnsi="Arial" w:cs="Arial"/>
          <w:b/>
          <w:bCs/>
          <w:color w:val="000000" w:themeColor="text1"/>
          <w:sz w:val="24"/>
          <w:szCs w:val="24"/>
        </w:rPr>
      </w:pPr>
    </w:p>
    <w:p w14:paraId="491A9F7C" w14:textId="77777777" w:rsidR="007D1BD5" w:rsidRDefault="007D1BD5" w:rsidP="007D1BD5">
      <w:pPr>
        <w:ind w:left="142"/>
        <w:jc w:val="center"/>
        <w:rPr>
          <w:rFonts w:ascii="Arial" w:hAnsi="Arial" w:cs="Arial"/>
          <w:b/>
          <w:bCs/>
          <w:color w:val="000000" w:themeColor="text1"/>
          <w:sz w:val="24"/>
          <w:szCs w:val="24"/>
        </w:rPr>
      </w:pPr>
    </w:p>
    <w:p w14:paraId="0E7231BF" w14:textId="77777777" w:rsidR="003E709C" w:rsidRDefault="003E709C" w:rsidP="003E709C">
      <w:pPr>
        <w:spacing w:after="0"/>
        <w:jc w:val="center"/>
        <w:rPr>
          <w:rFonts w:ascii="Arial" w:hAnsi="Arial" w:cs="Arial"/>
          <w:bCs/>
          <w:color w:val="000000" w:themeColor="text1"/>
          <w:sz w:val="24"/>
          <w:szCs w:val="24"/>
          <w:lang w:eastAsia="x-none"/>
        </w:rPr>
      </w:pPr>
    </w:p>
    <w:p w14:paraId="4C37FA28" w14:textId="21C7FE8B" w:rsidR="007D1BD5" w:rsidRPr="00714D21" w:rsidRDefault="007D1BD5" w:rsidP="003E709C">
      <w:pPr>
        <w:spacing w:after="0"/>
        <w:jc w:val="center"/>
        <w:rPr>
          <w:rFonts w:ascii="Arial" w:hAnsi="Arial" w:cs="Arial"/>
          <w:bCs/>
          <w:color w:val="000000" w:themeColor="text1"/>
          <w:sz w:val="20"/>
          <w:szCs w:val="20"/>
          <w:u w:val="single"/>
          <w:lang w:eastAsia="x-none"/>
        </w:rPr>
      </w:pPr>
      <w:r w:rsidRPr="00714D21">
        <w:rPr>
          <w:rFonts w:ascii="Arial" w:hAnsi="Arial" w:cs="Arial"/>
          <w:bCs/>
          <w:color w:val="000000" w:themeColor="text1"/>
          <w:sz w:val="20"/>
          <w:szCs w:val="20"/>
          <w:lang w:eastAsia="x-none"/>
        </w:rPr>
        <w:t xml:space="preserve">Fuente: </w:t>
      </w:r>
      <w:r w:rsidRPr="00714D21">
        <w:rPr>
          <w:rFonts w:ascii="Arial" w:hAnsi="Arial" w:cs="Arial"/>
          <w:bCs/>
          <w:color w:val="000000" w:themeColor="text1"/>
          <w:sz w:val="20"/>
          <w:szCs w:val="20"/>
          <w:u w:val="single"/>
          <w:lang w:eastAsia="x-none"/>
        </w:rPr>
        <w:t>http://www.ins.gov.co/lineas-de-accion/Subdireccion-</w:t>
      </w:r>
      <w:r w:rsidRPr="00714D21">
        <w:rPr>
          <w:rFonts w:ascii="Arial" w:hAnsi="Arial" w:cs="Arial"/>
          <w:bCs/>
          <w:color w:val="000000" w:themeColor="text1"/>
          <w:sz w:val="20"/>
          <w:szCs w:val="20"/>
          <w:lang w:eastAsia="x-none"/>
        </w:rPr>
        <w:tab/>
      </w:r>
      <w:r w:rsidRPr="00714D21">
        <w:rPr>
          <w:rFonts w:ascii="Arial" w:hAnsi="Arial" w:cs="Arial"/>
          <w:bCs/>
          <w:color w:val="000000" w:themeColor="text1"/>
          <w:sz w:val="20"/>
          <w:szCs w:val="20"/>
          <w:u w:val="single"/>
          <w:lang w:eastAsia="x-none"/>
        </w:rPr>
        <w:t xml:space="preserve">Vigilancia/sivigila/Protocolos%20SIVIGILA/PRO%20Intoxicaciones.pdf </w:t>
      </w:r>
    </w:p>
    <w:p w14:paraId="107CDA1D" w14:textId="77777777" w:rsidR="003E709C" w:rsidRPr="00EE006D" w:rsidRDefault="003E709C" w:rsidP="003E709C">
      <w:pPr>
        <w:spacing w:after="0"/>
        <w:jc w:val="center"/>
        <w:rPr>
          <w:rFonts w:ascii="Arial" w:hAnsi="Arial" w:cs="Arial"/>
          <w:bCs/>
          <w:color w:val="000000" w:themeColor="text1"/>
          <w:sz w:val="24"/>
          <w:szCs w:val="24"/>
        </w:rPr>
      </w:pPr>
    </w:p>
    <w:p w14:paraId="1A84AE92" w14:textId="4D1B698D" w:rsidR="007D1BD5" w:rsidRDefault="007D1BD5" w:rsidP="007D1BD5">
      <w:pPr>
        <w:spacing w:after="0"/>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 xml:space="preserve">La adecuada notificación del caso o brote se realiza a través de las notificaciones de los eventos de intoxicaciones por sustancias químicas identificando el grupo cuatro (4) que corresponde a intoxicaciones por metales en el cual está la intoxicación por </w:t>
      </w:r>
      <w:r>
        <w:rPr>
          <w:rFonts w:ascii="Arial" w:hAnsi="Arial" w:cs="Arial"/>
          <w:bCs/>
          <w:color w:val="000000" w:themeColor="text1"/>
          <w:sz w:val="24"/>
          <w:szCs w:val="24"/>
        </w:rPr>
        <w:t>mercurio</w:t>
      </w:r>
      <w:r w:rsidRPr="00EE006D">
        <w:rPr>
          <w:rFonts w:ascii="Arial" w:hAnsi="Arial" w:cs="Arial"/>
          <w:bCs/>
          <w:color w:val="000000" w:themeColor="text1"/>
          <w:sz w:val="24"/>
          <w:szCs w:val="24"/>
        </w:rPr>
        <w:t xml:space="preserve"> (1).</w:t>
      </w:r>
    </w:p>
    <w:p w14:paraId="2FAD19EC" w14:textId="40D0773E" w:rsidR="007D1BD5" w:rsidRDefault="00F87F59" w:rsidP="007D1BD5">
      <w:pPr>
        <w:spacing w:after="0"/>
        <w:ind w:left="284"/>
        <w:jc w:val="both"/>
        <w:rPr>
          <w:rFonts w:ascii="Arial" w:hAnsi="Arial" w:cs="Arial"/>
          <w:bCs/>
          <w:color w:val="000000" w:themeColor="text1"/>
          <w:sz w:val="24"/>
          <w:szCs w:val="24"/>
        </w:rPr>
      </w:pPr>
      <w:r w:rsidRPr="00F87F59">
        <w:rPr>
          <w:rFonts w:ascii="Arial" w:hAnsi="Arial" w:cs="Arial"/>
          <w:bCs/>
          <w:color w:val="000000" w:themeColor="text1"/>
          <w:sz w:val="24"/>
          <w:szCs w:val="24"/>
        </w:rPr>
        <w:t xml:space="preserve">El diagnóstico debe procurar establecer la relación exposición efecto en particular para los casos de intoxicaciones crónicas; igual de no ser posible establecer la relación exposición efecto, se revisará al paciente desde el punto de vista semiológico teniendo en cuenta las alteraciones presentadas a nivel de sus órganos cuantificando y analizando los </w:t>
      </w:r>
      <w:r w:rsidRPr="00F87F59">
        <w:rPr>
          <w:rFonts w:ascii="Arial" w:hAnsi="Arial" w:cs="Arial"/>
          <w:bCs/>
          <w:color w:val="000000" w:themeColor="text1"/>
          <w:sz w:val="24"/>
          <w:szCs w:val="24"/>
        </w:rPr>
        <w:lastRenderedPageBreak/>
        <w:t>signos vitales, las manifestaciones clínicas que pueden revelar el tipo de sustancia cuando se trate de Hg e identificar el tipo de mercurio al que fue expuesto exposición (4).</w:t>
      </w:r>
    </w:p>
    <w:p w14:paraId="4FD07819" w14:textId="472B5A2F" w:rsidR="00F87F59" w:rsidRDefault="00F87F59" w:rsidP="007D1BD5">
      <w:pPr>
        <w:spacing w:after="0"/>
        <w:ind w:left="284"/>
        <w:jc w:val="both"/>
        <w:rPr>
          <w:rFonts w:ascii="Arial" w:hAnsi="Arial" w:cs="Arial"/>
          <w:bCs/>
          <w:color w:val="000000" w:themeColor="text1"/>
          <w:sz w:val="24"/>
          <w:szCs w:val="24"/>
        </w:rPr>
      </w:pPr>
    </w:p>
    <w:p w14:paraId="652F91E4" w14:textId="77777777" w:rsidR="00714D21" w:rsidRDefault="00714D21" w:rsidP="007D1BD5">
      <w:pPr>
        <w:spacing w:after="0"/>
        <w:ind w:left="284"/>
        <w:jc w:val="both"/>
        <w:rPr>
          <w:rFonts w:ascii="Arial" w:hAnsi="Arial" w:cs="Arial"/>
          <w:bCs/>
          <w:color w:val="000000" w:themeColor="text1"/>
          <w:sz w:val="24"/>
          <w:szCs w:val="24"/>
        </w:rPr>
      </w:pPr>
    </w:p>
    <w:p w14:paraId="0FD460BD" w14:textId="6264FDF2" w:rsidR="007D1BD5" w:rsidRPr="00714D21" w:rsidRDefault="007D1BD5" w:rsidP="00303356">
      <w:pPr>
        <w:spacing w:after="0"/>
        <w:jc w:val="center"/>
        <w:rPr>
          <w:rFonts w:ascii="Arial" w:hAnsi="Arial" w:cs="Arial"/>
          <w:b/>
          <w:bCs/>
          <w:color w:val="000000" w:themeColor="text1"/>
          <w:sz w:val="20"/>
          <w:szCs w:val="20"/>
        </w:rPr>
      </w:pPr>
      <w:r w:rsidRPr="00714D21">
        <w:rPr>
          <w:rFonts w:ascii="Arial" w:hAnsi="Arial" w:cs="Arial"/>
          <w:b/>
          <w:bCs/>
          <w:color w:val="000000" w:themeColor="text1"/>
          <w:sz w:val="20"/>
          <w:szCs w:val="20"/>
        </w:rPr>
        <w:t>Tabla 2. Definición operativa de caso de intoxicación por mercurio</w:t>
      </w:r>
      <w:r w:rsidR="00303356" w:rsidRPr="00714D21">
        <w:rPr>
          <w:rFonts w:ascii="Arial" w:hAnsi="Arial" w:cs="Arial"/>
          <w:b/>
          <w:bCs/>
          <w:color w:val="000000" w:themeColor="text1"/>
          <w:sz w:val="20"/>
          <w:szCs w:val="20"/>
        </w:rPr>
        <w:t>.</w:t>
      </w:r>
    </w:p>
    <w:tbl>
      <w:tblPr>
        <w:tblStyle w:val="Tablaconcuadrcula"/>
        <w:tblW w:w="9493" w:type="dxa"/>
        <w:tblLook w:val="04A0" w:firstRow="1" w:lastRow="0" w:firstColumn="1" w:lastColumn="0" w:noHBand="0" w:noVBand="1"/>
      </w:tblPr>
      <w:tblGrid>
        <w:gridCol w:w="1918"/>
        <w:gridCol w:w="5406"/>
        <w:gridCol w:w="2169"/>
      </w:tblGrid>
      <w:tr w:rsidR="007D1BD5" w:rsidRPr="00714D21" w14:paraId="439915AD" w14:textId="77777777" w:rsidTr="00590FCA">
        <w:trPr>
          <w:trHeight w:hRule="exact" w:val="20"/>
          <w:tblHeader/>
        </w:trPr>
        <w:tc>
          <w:tcPr>
            <w:tcW w:w="0" w:type="auto"/>
            <w:vMerge w:val="restart"/>
            <w:shd w:val="clear" w:color="auto" w:fill="F2F2F2" w:themeFill="background1" w:themeFillShade="F2"/>
            <w:noWrap/>
            <w:vAlign w:val="center"/>
            <w:hideMark/>
          </w:tcPr>
          <w:p w14:paraId="618FFF03" w14:textId="77777777" w:rsidR="007D1BD5" w:rsidRPr="00714D21" w:rsidRDefault="007D1BD5" w:rsidP="00C771E2">
            <w:pPr>
              <w:spacing w:after="0"/>
              <w:jc w:val="center"/>
              <w:rPr>
                <w:rFonts w:ascii="Arial" w:hAnsi="Arial" w:cs="Arial"/>
                <w:b/>
                <w:bCs/>
                <w:color w:val="000000" w:themeColor="text1"/>
                <w:sz w:val="20"/>
                <w:szCs w:val="20"/>
              </w:rPr>
            </w:pPr>
            <w:r w:rsidRPr="00714D21">
              <w:rPr>
                <w:rFonts w:ascii="Arial" w:hAnsi="Arial" w:cs="Arial"/>
                <w:b/>
                <w:bCs/>
                <w:color w:val="000000" w:themeColor="text1"/>
                <w:sz w:val="20"/>
                <w:szCs w:val="20"/>
              </w:rPr>
              <w:t>Categoría</w:t>
            </w:r>
          </w:p>
        </w:tc>
        <w:tc>
          <w:tcPr>
            <w:tcW w:w="0" w:type="auto"/>
            <w:vMerge w:val="restart"/>
            <w:shd w:val="clear" w:color="auto" w:fill="F2F2F2" w:themeFill="background1" w:themeFillShade="F2"/>
            <w:noWrap/>
            <w:vAlign w:val="center"/>
            <w:hideMark/>
          </w:tcPr>
          <w:p w14:paraId="6C36F373" w14:textId="77777777" w:rsidR="007D1BD5" w:rsidRPr="00714D21" w:rsidRDefault="007D1BD5" w:rsidP="00C771E2">
            <w:pPr>
              <w:spacing w:after="0"/>
              <w:jc w:val="center"/>
              <w:rPr>
                <w:rFonts w:ascii="Arial" w:hAnsi="Arial" w:cs="Arial"/>
                <w:b/>
                <w:bCs/>
                <w:color w:val="000000" w:themeColor="text1"/>
                <w:sz w:val="20"/>
                <w:szCs w:val="20"/>
              </w:rPr>
            </w:pPr>
            <w:r w:rsidRPr="00714D21">
              <w:rPr>
                <w:rFonts w:ascii="Arial" w:hAnsi="Arial" w:cs="Arial"/>
                <w:b/>
                <w:bCs/>
                <w:color w:val="000000" w:themeColor="text1"/>
                <w:sz w:val="20"/>
                <w:szCs w:val="20"/>
              </w:rPr>
              <w:t>Definición Operativa de Caso</w:t>
            </w:r>
          </w:p>
        </w:tc>
        <w:tc>
          <w:tcPr>
            <w:tcW w:w="2169" w:type="dxa"/>
            <w:vMerge w:val="restart"/>
            <w:shd w:val="clear" w:color="auto" w:fill="F2F2F2" w:themeFill="background1" w:themeFillShade="F2"/>
            <w:noWrap/>
            <w:vAlign w:val="center"/>
            <w:hideMark/>
          </w:tcPr>
          <w:p w14:paraId="1326690F" w14:textId="77777777" w:rsidR="007D1BD5" w:rsidRPr="00714D21" w:rsidRDefault="007D1BD5" w:rsidP="00C771E2">
            <w:pPr>
              <w:spacing w:after="0"/>
              <w:jc w:val="center"/>
              <w:rPr>
                <w:rFonts w:ascii="Arial" w:hAnsi="Arial" w:cs="Arial"/>
                <w:b/>
                <w:bCs/>
                <w:color w:val="000000" w:themeColor="text1"/>
                <w:sz w:val="20"/>
                <w:szCs w:val="20"/>
              </w:rPr>
            </w:pPr>
            <w:r w:rsidRPr="00714D21">
              <w:rPr>
                <w:rFonts w:ascii="Arial" w:hAnsi="Arial" w:cs="Arial"/>
                <w:b/>
                <w:bCs/>
                <w:color w:val="000000" w:themeColor="text1"/>
                <w:sz w:val="20"/>
                <w:szCs w:val="20"/>
              </w:rPr>
              <w:t>Causalidad</w:t>
            </w:r>
          </w:p>
        </w:tc>
      </w:tr>
      <w:tr w:rsidR="007D1BD5" w:rsidRPr="00714D21" w14:paraId="4E37F544" w14:textId="77777777" w:rsidTr="00590FCA">
        <w:trPr>
          <w:trHeight w:val="509"/>
        </w:trPr>
        <w:tc>
          <w:tcPr>
            <w:tcW w:w="0" w:type="auto"/>
            <w:vMerge/>
            <w:shd w:val="clear" w:color="auto" w:fill="F2F2F2" w:themeFill="background1" w:themeFillShade="F2"/>
            <w:hideMark/>
          </w:tcPr>
          <w:p w14:paraId="62E174A6" w14:textId="77777777" w:rsidR="007D1BD5" w:rsidRPr="00714D21" w:rsidRDefault="007D1BD5" w:rsidP="00E353F7">
            <w:pPr>
              <w:rPr>
                <w:rFonts w:ascii="Arial" w:hAnsi="Arial" w:cs="Arial"/>
                <w:b/>
                <w:bCs/>
                <w:color w:val="000000" w:themeColor="text1"/>
                <w:sz w:val="20"/>
                <w:szCs w:val="20"/>
              </w:rPr>
            </w:pPr>
          </w:p>
        </w:tc>
        <w:tc>
          <w:tcPr>
            <w:tcW w:w="0" w:type="auto"/>
            <w:vMerge/>
            <w:shd w:val="clear" w:color="auto" w:fill="F2F2F2" w:themeFill="background1" w:themeFillShade="F2"/>
            <w:hideMark/>
          </w:tcPr>
          <w:p w14:paraId="7E44E63C" w14:textId="77777777" w:rsidR="007D1BD5" w:rsidRPr="00714D21" w:rsidRDefault="007D1BD5" w:rsidP="00E353F7">
            <w:pPr>
              <w:rPr>
                <w:rFonts w:ascii="Arial" w:hAnsi="Arial" w:cs="Arial"/>
                <w:b/>
                <w:bCs/>
                <w:color w:val="000000" w:themeColor="text1"/>
                <w:sz w:val="20"/>
                <w:szCs w:val="20"/>
              </w:rPr>
            </w:pPr>
          </w:p>
        </w:tc>
        <w:tc>
          <w:tcPr>
            <w:tcW w:w="2169" w:type="dxa"/>
            <w:vMerge/>
            <w:shd w:val="clear" w:color="auto" w:fill="F2F2F2" w:themeFill="background1" w:themeFillShade="F2"/>
            <w:hideMark/>
          </w:tcPr>
          <w:p w14:paraId="34417526" w14:textId="77777777" w:rsidR="007D1BD5" w:rsidRPr="00714D21" w:rsidRDefault="007D1BD5" w:rsidP="00E353F7">
            <w:pPr>
              <w:rPr>
                <w:rFonts w:ascii="Arial" w:hAnsi="Arial" w:cs="Arial"/>
                <w:b/>
                <w:bCs/>
                <w:color w:val="000000" w:themeColor="text1"/>
                <w:sz w:val="20"/>
                <w:szCs w:val="20"/>
              </w:rPr>
            </w:pPr>
          </w:p>
        </w:tc>
      </w:tr>
      <w:tr w:rsidR="007D1BD5" w:rsidRPr="00714D21" w14:paraId="54468947" w14:textId="77777777" w:rsidTr="00E7243E">
        <w:trPr>
          <w:trHeight w:hRule="exact" w:val="1184"/>
        </w:trPr>
        <w:tc>
          <w:tcPr>
            <w:tcW w:w="0" w:type="auto"/>
            <w:hideMark/>
          </w:tcPr>
          <w:p w14:paraId="53C90FF6" w14:textId="77777777" w:rsidR="007D1BD5" w:rsidRPr="00714D21" w:rsidRDefault="007D1BD5" w:rsidP="00E353F7">
            <w:pPr>
              <w:jc w:val="both"/>
              <w:rPr>
                <w:rFonts w:ascii="Arial" w:hAnsi="Arial" w:cs="Arial"/>
                <w:b/>
                <w:bCs/>
                <w:color w:val="000000" w:themeColor="text1"/>
                <w:sz w:val="20"/>
                <w:szCs w:val="20"/>
              </w:rPr>
            </w:pPr>
            <w:r w:rsidRPr="00714D21">
              <w:rPr>
                <w:rFonts w:ascii="Arial" w:hAnsi="Arial" w:cs="Arial"/>
                <w:b/>
                <w:bCs/>
                <w:color w:val="000000" w:themeColor="text1"/>
                <w:sz w:val="20"/>
                <w:szCs w:val="20"/>
              </w:rPr>
              <w:t>Caso confirmado por Clínica</w:t>
            </w:r>
          </w:p>
        </w:tc>
        <w:tc>
          <w:tcPr>
            <w:tcW w:w="0" w:type="auto"/>
            <w:hideMark/>
          </w:tcPr>
          <w:p w14:paraId="63763D89" w14:textId="77777777"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Paciente que posterior al contacto con Hg en cualquiera de sus tipos y por vía dérmica, respiratoria o digestiva presenta manifestaciones de cuadro clínico de intoxicación compatible por exposición al Hg.</w:t>
            </w:r>
          </w:p>
        </w:tc>
        <w:tc>
          <w:tcPr>
            <w:tcW w:w="2169" w:type="dxa"/>
            <w:hideMark/>
          </w:tcPr>
          <w:p w14:paraId="4A23A38F" w14:textId="77777777"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Existe una relación entre la exposición y la aparición del cuadro clínico.</w:t>
            </w:r>
          </w:p>
        </w:tc>
      </w:tr>
      <w:tr w:rsidR="007D1BD5" w:rsidRPr="00714D21" w14:paraId="191ADF46" w14:textId="77777777" w:rsidTr="00E7243E">
        <w:trPr>
          <w:trHeight w:hRule="exact" w:val="1979"/>
        </w:trPr>
        <w:tc>
          <w:tcPr>
            <w:tcW w:w="0" w:type="auto"/>
            <w:hideMark/>
          </w:tcPr>
          <w:p w14:paraId="310D4AF3" w14:textId="77777777" w:rsidR="007D1BD5" w:rsidRPr="00714D21" w:rsidRDefault="007D1BD5" w:rsidP="00E353F7">
            <w:pPr>
              <w:jc w:val="both"/>
              <w:rPr>
                <w:rFonts w:ascii="Arial" w:hAnsi="Arial" w:cs="Arial"/>
                <w:b/>
                <w:bCs/>
                <w:color w:val="000000" w:themeColor="text1"/>
                <w:sz w:val="20"/>
                <w:szCs w:val="20"/>
              </w:rPr>
            </w:pPr>
            <w:r w:rsidRPr="00714D21">
              <w:rPr>
                <w:rFonts w:ascii="Arial" w:hAnsi="Arial" w:cs="Arial"/>
                <w:b/>
                <w:bCs/>
                <w:color w:val="000000" w:themeColor="text1"/>
                <w:sz w:val="20"/>
                <w:szCs w:val="20"/>
              </w:rPr>
              <w:t>Caso confirmado por laboratorio</w:t>
            </w:r>
          </w:p>
        </w:tc>
        <w:tc>
          <w:tcPr>
            <w:tcW w:w="0" w:type="auto"/>
            <w:hideMark/>
          </w:tcPr>
          <w:p w14:paraId="6601242B" w14:textId="77777777"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Todo caso confirmado por clínica, que por análisis de laboratorio comprueba la presencia de Hg en algunas de las muestras biológicas del paciente (sangre, orina, cabello) y en otras muestras como alimentos, agua y sedimentos y en los cuales se sospeche la contaminación de los mismos con Hg y que sean causantes de la intoxicación aguda.</w:t>
            </w:r>
          </w:p>
        </w:tc>
        <w:tc>
          <w:tcPr>
            <w:tcW w:w="2169" w:type="dxa"/>
            <w:hideMark/>
          </w:tcPr>
          <w:p w14:paraId="54D561EF" w14:textId="6A16CF1A"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Donde el cuadro clínico se confirme por estos laboratorios</w:t>
            </w:r>
            <w:r w:rsidR="001C5CDF" w:rsidRPr="00714D21">
              <w:rPr>
                <w:rFonts w:ascii="Arial" w:hAnsi="Arial" w:cs="Arial"/>
                <w:color w:val="000000" w:themeColor="text1"/>
                <w:sz w:val="20"/>
                <w:szCs w:val="20"/>
              </w:rPr>
              <w:t>.</w:t>
            </w:r>
          </w:p>
        </w:tc>
      </w:tr>
      <w:tr w:rsidR="007D1BD5" w:rsidRPr="00714D21" w14:paraId="75EBB68C" w14:textId="77777777" w:rsidTr="00714D21">
        <w:trPr>
          <w:trHeight w:hRule="exact" w:val="2986"/>
        </w:trPr>
        <w:tc>
          <w:tcPr>
            <w:tcW w:w="0" w:type="auto"/>
            <w:hideMark/>
          </w:tcPr>
          <w:p w14:paraId="36F444EA" w14:textId="097A8331" w:rsidR="007D1BD5" w:rsidRPr="00714D21" w:rsidRDefault="007D1BD5" w:rsidP="00590FCA">
            <w:pPr>
              <w:jc w:val="both"/>
              <w:rPr>
                <w:rFonts w:ascii="Arial" w:hAnsi="Arial" w:cs="Arial"/>
                <w:b/>
                <w:bCs/>
                <w:color w:val="000000" w:themeColor="text1"/>
                <w:sz w:val="20"/>
                <w:szCs w:val="20"/>
              </w:rPr>
            </w:pPr>
            <w:r w:rsidRPr="00714D21">
              <w:rPr>
                <w:rFonts w:ascii="Arial" w:hAnsi="Arial" w:cs="Arial"/>
                <w:b/>
                <w:bCs/>
                <w:color w:val="000000" w:themeColor="text1"/>
                <w:sz w:val="20"/>
                <w:szCs w:val="20"/>
              </w:rPr>
              <w:t>Caso confirmado por</w:t>
            </w:r>
            <w:r w:rsidR="00590FCA" w:rsidRPr="00714D21">
              <w:rPr>
                <w:rFonts w:ascii="Arial" w:hAnsi="Arial" w:cs="Arial"/>
                <w:b/>
                <w:bCs/>
                <w:color w:val="000000" w:themeColor="text1"/>
                <w:sz w:val="20"/>
                <w:szCs w:val="20"/>
              </w:rPr>
              <w:t xml:space="preserve"> </w:t>
            </w:r>
            <w:r w:rsidRPr="00714D21">
              <w:rPr>
                <w:rFonts w:ascii="Arial" w:hAnsi="Arial" w:cs="Arial"/>
                <w:b/>
                <w:bCs/>
                <w:color w:val="000000" w:themeColor="text1"/>
                <w:sz w:val="20"/>
                <w:szCs w:val="20"/>
              </w:rPr>
              <w:t>nexo epidemiológico</w:t>
            </w:r>
          </w:p>
        </w:tc>
        <w:tc>
          <w:tcPr>
            <w:tcW w:w="0" w:type="auto"/>
            <w:hideMark/>
          </w:tcPr>
          <w:p w14:paraId="1DB5C28B" w14:textId="5583983F" w:rsidR="001C5CDF" w:rsidRPr="00714D21" w:rsidRDefault="007D1BD5" w:rsidP="001C5CDF">
            <w:pPr>
              <w:spacing w:after="0"/>
              <w:ind w:hanging="11"/>
              <w:jc w:val="both"/>
              <w:rPr>
                <w:rFonts w:ascii="Arial" w:hAnsi="Arial" w:cs="Arial"/>
                <w:color w:val="000000" w:themeColor="text1"/>
                <w:sz w:val="20"/>
                <w:szCs w:val="20"/>
              </w:rPr>
            </w:pPr>
            <w:r w:rsidRPr="00714D21">
              <w:rPr>
                <w:rFonts w:ascii="Arial" w:hAnsi="Arial" w:cs="Arial"/>
                <w:color w:val="000000" w:themeColor="text1"/>
                <w:sz w:val="20"/>
                <w:szCs w:val="20"/>
              </w:rPr>
              <w:t xml:space="preserve">Todo caso confirmado por clínica que cumple con uno o </w:t>
            </w:r>
            <w:r w:rsidR="001C5CDF" w:rsidRPr="00714D21">
              <w:rPr>
                <w:rFonts w:ascii="Arial" w:hAnsi="Arial" w:cs="Arial"/>
                <w:color w:val="000000" w:themeColor="text1"/>
                <w:sz w:val="20"/>
                <w:szCs w:val="20"/>
              </w:rPr>
              <w:t>más</w:t>
            </w:r>
            <w:r w:rsidRPr="00714D21">
              <w:rPr>
                <w:rFonts w:ascii="Arial" w:hAnsi="Arial" w:cs="Arial"/>
                <w:color w:val="000000" w:themeColor="text1"/>
                <w:sz w:val="20"/>
                <w:szCs w:val="20"/>
              </w:rPr>
              <w:t xml:space="preserve"> de los siguientes criterios:</w:t>
            </w:r>
          </w:p>
          <w:p w14:paraId="14AB8CCC" w14:textId="59356F76" w:rsidR="007D1BD5" w:rsidRPr="00714D21" w:rsidRDefault="001C5CDF" w:rsidP="001C5CDF">
            <w:pPr>
              <w:ind w:left="131"/>
              <w:jc w:val="both"/>
              <w:rPr>
                <w:rFonts w:ascii="Arial" w:hAnsi="Arial" w:cs="Arial"/>
                <w:color w:val="000000" w:themeColor="text1"/>
                <w:sz w:val="20"/>
                <w:szCs w:val="20"/>
              </w:rPr>
            </w:pPr>
            <w:r w:rsidRPr="00714D21">
              <w:rPr>
                <w:rFonts w:ascii="Arial" w:hAnsi="Arial" w:cs="Arial"/>
                <w:b/>
                <w:bCs/>
                <w:color w:val="000000" w:themeColor="text1"/>
                <w:sz w:val="20"/>
                <w:szCs w:val="20"/>
              </w:rPr>
              <w:t>1.</w:t>
            </w:r>
            <w:r w:rsidR="00E7243E">
              <w:rPr>
                <w:rFonts w:ascii="Arial" w:hAnsi="Arial" w:cs="Arial"/>
                <w:b/>
                <w:bCs/>
                <w:color w:val="000000" w:themeColor="text1"/>
                <w:sz w:val="20"/>
                <w:szCs w:val="20"/>
              </w:rPr>
              <w:t xml:space="preserve"> </w:t>
            </w:r>
            <w:r w:rsidR="007D1BD5" w:rsidRPr="00714D21">
              <w:rPr>
                <w:rFonts w:ascii="Arial" w:hAnsi="Arial" w:cs="Arial"/>
                <w:color w:val="000000" w:themeColor="text1"/>
                <w:sz w:val="20"/>
                <w:szCs w:val="20"/>
              </w:rPr>
              <w:t>El paciente o un familiar confirma su exposición al Hg.</w:t>
            </w:r>
            <w:r w:rsidR="007D1BD5" w:rsidRPr="00714D21">
              <w:rPr>
                <w:rFonts w:ascii="Arial" w:hAnsi="Arial" w:cs="Arial"/>
                <w:color w:val="000000" w:themeColor="text1"/>
                <w:sz w:val="20"/>
                <w:szCs w:val="20"/>
              </w:rPr>
              <w:br/>
            </w:r>
            <w:r w:rsidR="007D1BD5" w:rsidRPr="00714D21">
              <w:rPr>
                <w:rFonts w:ascii="Arial" w:hAnsi="Arial" w:cs="Arial"/>
                <w:b/>
                <w:bCs/>
                <w:color w:val="000000" w:themeColor="text1"/>
                <w:sz w:val="20"/>
                <w:szCs w:val="20"/>
              </w:rPr>
              <w:t>2.</w:t>
            </w:r>
            <w:r w:rsidR="00E7243E">
              <w:rPr>
                <w:rFonts w:ascii="Arial" w:hAnsi="Arial" w:cs="Arial"/>
                <w:b/>
                <w:bCs/>
                <w:color w:val="000000" w:themeColor="text1"/>
                <w:sz w:val="20"/>
                <w:szCs w:val="20"/>
              </w:rPr>
              <w:t xml:space="preserve"> </w:t>
            </w:r>
            <w:r w:rsidR="007D1BD5" w:rsidRPr="00714D21">
              <w:rPr>
                <w:rFonts w:ascii="Arial" w:hAnsi="Arial" w:cs="Arial"/>
                <w:color w:val="000000" w:themeColor="text1"/>
                <w:sz w:val="20"/>
                <w:szCs w:val="20"/>
              </w:rPr>
              <w:t>Hay respuesta clínica a la administración de un antídoto.</w:t>
            </w:r>
            <w:r w:rsidR="007D1BD5" w:rsidRPr="00714D21">
              <w:rPr>
                <w:rFonts w:ascii="Arial" w:hAnsi="Arial" w:cs="Arial"/>
                <w:color w:val="000000" w:themeColor="text1"/>
                <w:sz w:val="20"/>
                <w:szCs w:val="20"/>
              </w:rPr>
              <w:br/>
            </w:r>
            <w:r w:rsidR="007D1BD5" w:rsidRPr="00714D21">
              <w:rPr>
                <w:rFonts w:ascii="Arial" w:hAnsi="Arial" w:cs="Arial"/>
                <w:b/>
                <w:bCs/>
                <w:color w:val="000000" w:themeColor="text1"/>
                <w:sz w:val="20"/>
                <w:szCs w:val="20"/>
              </w:rPr>
              <w:t>3.</w:t>
            </w:r>
            <w:r w:rsidR="00E7243E">
              <w:rPr>
                <w:rFonts w:ascii="Arial" w:hAnsi="Arial" w:cs="Arial"/>
                <w:b/>
                <w:bCs/>
                <w:color w:val="000000" w:themeColor="text1"/>
                <w:sz w:val="20"/>
                <w:szCs w:val="20"/>
              </w:rPr>
              <w:t xml:space="preserve"> </w:t>
            </w:r>
            <w:r w:rsidR="007D1BD5" w:rsidRPr="00714D21">
              <w:rPr>
                <w:rFonts w:ascii="Arial" w:hAnsi="Arial" w:cs="Arial"/>
                <w:color w:val="000000" w:themeColor="text1"/>
                <w:sz w:val="20"/>
                <w:szCs w:val="20"/>
              </w:rPr>
              <w:t>Se encuentran materiales, frascos, empaques objetos utilizados en minería artesanal u otra actividad relacionada con exposición a Hg.</w:t>
            </w:r>
            <w:r w:rsidR="007D1BD5" w:rsidRPr="00714D21">
              <w:rPr>
                <w:rFonts w:ascii="Arial" w:hAnsi="Arial" w:cs="Arial"/>
                <w:color w:val="000000" w:themeColor="text1"/>
                <w:sz w:val="20"/>
                <w:szCs w:val="20"/>
              </w:rPr>
              <w:br/>
            </w:r>
            <w:r w:rsidR="007D1BD5" w:rsidRPr="00714D21">
              <w:rPr>
                <w:rFonts w:ascii="Arial" w:hAnsi="Arial" w:cs="Arial"/>
                <w:b/>
                <w:bCs/>
                <w:color w:val="000000" w:themeColor="text1"/>
                <w:sz w:val="20"/>
                <w:szCs w:val="20"/>
              </w:rPr>
              <w:t>4.</w:t>
            </w:r>
            <w:r w:rsidR="007D1BD5" w:rsidRPr="00714D21">
              <w:rPr>
                <w:rFonts w:ascii="Arial" w:hAnsi="Arial" w:cs="Arial"/>
                <w:color w:val="000000" w:themeColor="text1"/>
                <w:sz w:val="20"/>
                <w:szCs w:val="20"/>
              </w:rPr>
              <w:t xml:space="preserve"> Caso confirmado por clínica y que a su vez se encuentra relacionado con un caso confirmado por laboratorio.</w:t>
            </w:r>
          </w:p>
          <w:p w14:paraId="59324228" w14:textId="7820CFE5" w:rsidR="00303356" w:rsidRPr="00714D21" w:rsidRDefault="00303356" w:rsidP="00303356">
            <w:pPr>
              <w:ind w:left="-11"/>
              <w:jc w:val="both"/>
              <w:rPr>
                <w:rFonts w:ascii="Arial" w:hAnsi="Arial" w:cs="Arial"/>
                <w:color w:val="000000" w:themeColor="text1"/>
                <w:sz w:val="20"/>
                <w:szCs w:val="20"/>
              </w:rPr>
            </w:pPr>
          </w:p>
          <w:p w14:paraId="1DD47C74" w14:textId="7BB73625" w:rsidR="00303356" w:rsidRPr="00714D21" w:rsidRDefault="00303356" w:rsidP="00303356">
            <w:pPr>
              <w:ind w:left="-11"/>
              <w:jc w:val="both"/>
              <w:rPr>
                <w:rFonts w:ascii="Arial" w:hAnsi="Arial" w:cs="Arial"/>
                <w:color w:val="000000" w:themeColor="text1"/>
                <w:sz w:val="20"/>
                <w:szCs w:val="20"/>
              </w:rPr>
            </w:pPr>
          </w:p>
          <w:p w14:paraId="3EA518A3" w14:textId="5EAEEDF8" w:rsidR="00303356" w:rsidRPr="00714D21" w:rsidRDefault="00303356" w:rsidP="00303356">
            <w:pPr>
              <w:ind w:left="-11"/>
              <w:jc w:val="both"/>
              <w:rPr>
                <w:rFonts w:ascii="Arial" w:hAnsi="Arial" w:cs="Arial"/>
                <w:color w:val="000000" w:themeColor="text1"/>
                <w:sz w:val="20"/>
                <w:szCs w:val="20"/>
              </w:rPr>
            </w:pPr>
          </w:p>
          <w:p w14:paraId="77EC2B3E" w14:textId="3A43D5CC" w:rsidR="00303356" w:rsidRPr="00714D21" w:rsidRDefault="00303356" w:rsidP="00303356">
            <w:pPr>
              <w:ind w:left="-11"/>
              <w:jc w:val="both"/>
              <w:rPr>
                <w:rFonts w:ascii="Arial" w:hAnsi="Arial" w:cs="Arial"/>
                <w:color w:val="000000" w:themeColor="text1"/>
                <w:sz w:val="20"/>
                <w:szCs w:val="20"/>
              </w:rPr>
            </w:pPr>
          </w:p>
          <w:p w14:paraId="576DB8B7" w14:textId="27543ADE" w:rsidR="00303356" w:rsidRPr="00714D21" w:rsidRDefault="00303356" w:rsidP="00303356">
            <w:pPr>
              <w:ind w:left="-11"/>
              <w:jc w:val="both"/>
              <w:rPr>
                <w:rFonts w:ascii="Arial" w:hAnsi="Arial" w:cs="Arial"/>
                <w:color w:val="000000" w:themeColor="text1"/>
                <w:sz w:val="20"/>
                <w:szCs w:val="20"/>
              </w:rPr>
            </w:pPr>
          </w:p>
          <w:p w14:paraId="65633030" w14:textId="77777777" w:rsidR="00303356" w:rsidRPr="00714D21" w:rsidRDefault="00303356" w:rsidP="00303356">
            <w:pPr>
              <w:ind w:left="-11"/>
              <w:jc w:val="both"/>
              <w:rPr>
                <w:rFonts w:ascii="Arial" w:hAnsi="Arial" w:cs="Arial"/>
                <w:color w:val="000000" w:themeColor="text1"/>
                <w:sz w:val="20"/>
                <w:szCs w:val="20"/>
              </w:rPr>
            </w:pPr>
          </w:p>
          <w:p w14:paraId="54049F98" w14:textId="32DAF310" w:rsidR="00590FCA" w:rsidRPr="00714D21" w:rsidRDefault="00590FCA" w:rsidP="00E353F7">
            <w:pPr>
              <w:jc w:val="both"/>
              <w:rPr>
                <w:rFonts w:ascii="Arial" w:hAnsi="Arial" w:cs="Arial"/>
                <w:color w:val="000000" w:themeColor="text1"/>
                <w:sz w:val="20"/>
                <w:szCs w:val="20"/>
              </w:rPr>
            </w:pPr>
          </w:p>
        </w:tc>
        <w:tc>
          <w:tcPr>
            <w:tcW w:w="2169" w:type="dxa"/>
            <w:hideMark/>
          </w:tcPr>
          <w:p w14:paraId="506B7B36" w14:textId="66D8A54C"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Verificar por parte del médico tratante si el caso presentado es accidental u ocupacional.</w:t>
            </w:r>
          </w:p>
          <w:p w14:paraId="204A4561" w14:textId="5C545BE0" w:rsidR="001C5CDF" w:rsidRPr="00714D21" w:rsidRDefault="001C5CDF" w:rsidP="00E353F7">
            <w:pPr>
              <w:jc w:val="both"/>
              <w:rPr>
                <w:rFonts w:ascii="Arial" w:hAnsi="Arial" w:cs="Arial"/>
                <w:color w:val="000000" w:themeColor="text1"/>
                <w:sz w:val="20"/>
                <w:szCs w:val="20"/>
              </w:rPr>
            </w:pPr>
          </w:p>
          <w:p w14:paraId="2B557EB6" w14:textId="09EAD9E5" w:rsidR="001C5CDF" w:rsidRPr="00714D21" w:rsidRDefault="001C5CDF" w:rsidP="00E353F7">
            <w:pPr>
              <w:jc w:val="both"/>
              <w:rPr>
                <w:rFonts w:ascii="Arial" w:hAnsi="Arial" w:cs="Arial"/>
                <w:color w:val="000000" w:themeColor="text1"/>
                <w:sz w:val="20"/>
                <w:szCs w:val="20"/>
              </w:rPr>
            </w:pPr>
          </w:p>
          <w:p w14:paraId="11B5EE80" w14:textId="0B8B62D8" w:rsidR="001C5CDF" w:rsidRPr="00714D21" w:rsidRDefault="001C5CDF" w:rsidP="00E353F7">
            <w:pPr>
              <w:jc w:val="both"/>
              <w:rPr>
                <w:rFonts w:ascii="Arial" w:hAnsi="Arial" w:cs="Arial"/>
                <w:color w:val="000000" w:themeColor="text1"/>
                <w:sz w:val="20"/>
                <w:szCs w:val="20"/>
              </w:rPr>
            </w:pPr>
          </w:p>
          <w:p w14:paraId="7D5BB0BD" w14:textId="41982C4F" w:rsidR="001C5CDF" w:rsidRPr="00714D21" w:rsidRDefault="001C5CDF" w:rsidP="00E353F7">
            <w:pPr>
              <w:jc w:val="both"/>
              <w:rPr>
                <w:rFonts w:ascii="Arial" w:hAnsi="Arial" w:cs="Arial"/>
                <w:color w:val="000000" w:themeColor="text1"/>
                <w:sz w:val="20"/>
                <w:szCs w:val="20"/>
              </w:rPr>
            </w:pPr>
          </w:p>
          <w:p w14:paraId="05E8B10A" w14:textId="4ADC740B" w:rsidR="001C5CDF" w:rsidRPr="00714D21" w:rsidRDefault="001C5CDF" w:rsidP="00E353F7">
            <w:pPr>
              <w:jc w:val="both"/>
              <w:rPr>
                <w:rFonts w:ascii="Arial" w:hAnsi="Arial" w:cs="Arial"/>
                <w:color w:val="000000" w:themeColor="text1"/>
                <w:sz w:val="20"/>
                <w:szCs w:val="20"/>
              </w:rPr>
            </w:pPr>
          </w:p>
          <w:p w14:paraId="065CB8AB" w14:textId="2E253676" w:rsidR="001C5CDF" w:rsidRPr="00714D21" w:rsidRDefault="001C5CDF" w:rsidP="00E353F7">
            <w:pPr>
              <w:jc w:val="both"/>
              <w:rPr>
                <w:rFonts w:ascii="Arial" w:hAnsi="Arial" w:cs="Arial"/>
                <w:color w:val="000000" w:themeColor="text1"/>
                <w:sz w:val="20"/>
                <w:szCs w:val="20"/>
              </w:rPr>
            </w:pPr>
          </w:p>
          <w:p w14:paraId="64A72B80" w14:textId="7C3CB725" w:rsidR="001C5CDF" w:rsidRPr="00714D21" w:rsidRDefault="001C5CDF" w:rsidP="00E353F7">
            <w:pPr>
              <w:jc w:val="both"/>
              <w:rPr>
                <w:rFonts w:ascii="Arial" w:hAnsi="Arial" w:cs="Arial"/>
                <w:color w:val="000000" w:themeColor="text1"/>
                <w:sz w:val="20"/>
                <w:szCs w:val="20"/>
              </w:rPr>
            </w:pPr>
          </w:p>
          <w:p w14:paraId="404B0AFD" w14:textId="19F17231" w:rsidR="001C5CDF" w:rsidRPr="00714D21" w:rsidRDefault="001C5CDF" w:rsidP="00E353F7">
            <w:pPr>
              <w:jc w:val="both"/>
              <w:rPr>
                <w:rFonts w:ascii="Arial" w:hAnsi="Arial" w:cs="Arial"/>
                <w:color w:val="000000" w:themeColor="text1"/>
                <w:sz w:val="20"/>
                <w:szCs w:val="20"/>
              </w:rPr>
            </w:pPr>
          </w:p>
          <w:p w14:paraId="5EB672F4" w14:textId="77777777" w:rsidR="001C5CDF" w:rsidRPr="00714D21" w:rsidRDefault="001C5CDF" w:rsidP="00E353F7">
            <w:pPr>
              <w:jc w:val="both"/>
              <w:rPr>
                <w:rFonts w:ascii="Arial" w:hAnsi="Arial" w:cs="Arial"/>
                <w:color w:val="000000" w:themeColor="text1"/>
                <w:sz w:val="20"/>
                <w:szCs w:val="20"/>
              </w:rPr>
            </w:pPr>
          </w:p>
          <w:p w14:paraId="5033FFDE" w14:textId="77777777" w:rsidR="007D1BD5" w:rsidRPr="00714D21" w:rsidRDefault="007D1BD5" w:rsidP="00E353F7">
            <w:pPr>
              <w:jc w:val="both"/>
              <w:rPr>
                <w:rFonts w:ascii="Arial" w:hAnsi="Arial" w:cs="Arial"/>
                <w:color w:val="000000" w:themeColor="text1"/>
                <w:sz w:val="20"/>
                <w:szCs w:val="20"/>
              </w:rPr>
            </w:pPr>
          </w:p>
        </w:tc>
      </w:tr>
      <w:tr w:rsidR="007D1BD5" w:rsidRPr="00714D21" w14:paraId="1F0E9CC0" w14:textId="77777777" w:rsidTr="00303356">
        <w:trPr>
          <w:trHeight w:hRule="exact" w:val="2279"/>
        </w:trPr>
        <w:tc>
          <w:tcPr>
            <w:tcW w:w="0" w:type="auto"/>
            <w:noWrap/>
            <w:hideMark/>
          </w:tcPr>
          <w:p w14:paraId="6EC6FCF6" w14:textId="77777777" w:rsidR="007D1BD5" w:rsidRPr="00714D21" w:rsidRDefault="007D1BD5" w:rsidP="00E353F7">
            <w:pPr>
              <w:jc w:val="both"/>
              <w:rPr>
                <w:rFonts w:ascii="Arial" w:hAnsi="Arial" w:cs="Arial"/>
                <w:b/>
                <w:bCs/>
                <w:color w:val="000000" w:themeColor="text1"/>
                <w:sz w:val="20"/>
                <w:szCs w:val="20"/>
              </w:rPr>
            </w:pPr>
            <w:r w:rsidRPr="00714D21">
              <w:rPr>
                <w:rFonts w:ascii="Arial" w:hAnsi="Arial" w:cs="Arial"/>
                <w:b/>
                <w:bCs/>
                <w:color w:val="000000" w:themeColor="text1"/>
                <w:sz w:val="20"/>
                <w:szCs w:val="20"/>
              </w:rPr>
              <w:t>Brote</w:t>
            </w:r>
          </w:p>
        </w:tc>
        <w:tc>
          <w:tcPr>
            <w:tcW w:w="0" w:type="auto"/>
            <w:hideMark/>
          </w:tcPr>
          <w:p w14:paraId="62E35CFB" w14:textId="1864DA7A"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Episodio en el cual se presenta dos o más personas con un mismo cuadro clínico compatible con intoxicación aguda por Hg dentro de un solo lugar o zona geográfica con una misma relación temporal y cuya investigación epidemiológica o resultados de laboratorio involucran al Hg</w:t>
            </w:r>
            <w:r w:rsidR="001C5CDF" w:rsidRPr="00714D21">
              <w:rPr>
                <w:rFonts w:ascii="Arial" w:hAnsi="Arial" w:cs="Arial"/>
                <w:color w:val="000000" w:themeColor="text1"/>
                <w:sz w:val="20"/>
                <w:szCs w:val="20"/>
              </w:rPr>
              <w:t>.</w:t>
            </w:r>
          </w:p>
        </w:tc>
        <w:tc>
          <w:tcPr>
            <w:tcW w:w="2169" w:type="dxa"/>
            <w:hideMark/>
          </w:tcPr>
          <w:p w14:paraId="4772ED83" w14:textId="77777777" w:rsidR="007D1BD5" w:rsidRPr="00714D21" w:rsidRDefault="007D1BD5" w:rsidP="00E353F7">
            <w:pPr>
              <w:jc w:val="both"/>
              <w:rPr>
                <w:rFonts w:ascii="Arial" w:hAnsi="Arial" w:cs="Arial"/>
                <w:color w:val="000000" w:themeColor="text1"/>
                <w:sz w:val="20"/>
                <w:szCs w:val="20"/>
              </w:rPr>
            </w:pPr>
          </w:p>
        </w:tc>
      </w:tr>
      <w:tr w:rsidR="007D1BD5" w:rsidRPr="00714D21" w14:paraId="2FFE3822" w14:textId="77777777" w:rsidTr="00E7243E">
        <w:trPr>
          <w:trHeight w:hRule="exact" w:val="4569"/>
        </w:trPr>
        <w:tc>
          <w:tcPr>
            <w:tcW w:w="0" w:type="auto"/>
            <w:hideMark/>
          </w:tcPr>
          <w:p w14:paraId="0EA02348" w14:textId="77777777" w:rsidR="007D1BD5" w:rsidRPr="00714D21" w:rsidRDefault="007D1BD5" w:rsidP="00E353F7">
            <w:pPr>
              <w:jc w:val="both"/>
              <w:rPr>
                <w:rFonts w:ascii="Arial" w:hAnsi="Arial" w:cs="Arial"/>
                <w:b/>
                <w:bCs/>
                <w:color w:val="000000" w:themeColor="text1"/>
                <w:sz w:val="20"/>
                <w:szCs w:val="20"/>
              </w:rPr>
            </w:pPr>
            <w:r w:rsidRPr="00714D21">
              <w:rPr>
                <w:rFonts w:ascii="Arial" w:hAnsi="Arial" w:cs="Arial"/>
                <w:b/>
                <w:bCs/>
                <w:color w:val="000000" w:themeColor="text1"/>
                <w:sz w:val="20"/>
                <w:szCs w:val="20"/>
              </w:rPr>
              <w:lastRenderedPageBreak/>
              <w:t>Alerta Epidemiológica</w:t>
            </w:r>
          </w:p>
        </w:tc>
        <w:tc>
          <w:tcPr>
            <w:tcW w:w="0" w:type="auto"/>
            <w:hideMark/>
          </w:tcPr>
          <w:p w14:paraId="09C48917" w14:textId="3EE61723" w:rsidR="001C5CDF" w:rsidRPr="00714D21" w:rsidRDefault="007D1BD5" w:rsidP="00303356">
            <w:pPr>
              <w:spacing w:after="0"/>
              <w:rPr>
                <w:rFonts w:ascii="Arial" w:hAnsi="Arial" w:cs="Arial"/>
                <w:color w:val="000000" w:themeColor="text1"/>
                <w:sz w:val="20"/>
                <w:szCs w:val="20"/>
              </w:rPr>
            </w:pPr>
            <w:r w:rsidRPr="00714D21">
              <w:rPr>
                <w:rFonts w:ascii="Arial" w:hAnsi="Arial" w:cs="Arial"/>
                <w:color w:val="000000" w:themeColor="text1"/>
                <w:sz w:val="20"/>
                <w:szCs w:val="20"/>
              </w:rPr>
              <w:t>Conjunto de eventos relacionados con intoxicación por Hg, que por criterios epidemiológicos se demanda una intervención inmediata siendo:</w:t>
            </w:r>
          </w:p>
          <w:p w14:paraId="7F5723D8" w14:textId="548BB71D" w:rsidR="00303356" w:rsidRPr="00714D21" w:rsidRDefault="007D1BD5" w:rsidP="001C5CDF">
            <w:pPr>
              <w:spacing w:after="0"/>
              <w:ind w:left="131"/>
              <w:jc w:val="both"/>
              <w:rPr>
                <w:rFonts w:ascii="Arial" w:hAnsi="Arial" w:cs="Arial"/>
                <w:color w:val="000000" w:themeColor="text1"/>
                <w:sz w:val="20"/>
                <w:szCs w:val="20"/>
              </w:rPr>
            </w:pPr>
            <w:r w:rsidRPr="00714D21">
              <w:rPr>
                <w:rFonts w:ascii="Arial" w:hAnsi="Arial" w:cs="Arial"/>
                <w:b/>
                <w:bCs/>
                <w:color w:val="000000" w:themeColor="text1"/>
                <w:sz w:val="20"/>
                <w:szCs w:val="20"/>
              </w:rPr>
              <w:t>1.</w:t>
            </w:r>
            <w:r w:rsidR="00303356" w:rsidRPr="00714D21">
              <w:rPr>
                <w:rFonts w:ascii="Arial" w:hAnsi="Arial" w:cs="Arial"/>
                <w:b/>
                <w:bCs/>
                <w:color w:val="000000" w:themeColor="text1"/>
                <w:sz w:val="20"/>
                <w:szCs w:val="20"/>
              </w:rPr>
              <w:t xml:space="preserve"> </w:t>
            </w:r>
            <w:r w:rsidRPr="00714D21">
              <w:rPr>
                <w:rFonts w:ascii="Arial" w:hAnsi="Arial" w:cs="Arial"/>
                <w:color w:val="000000" w:themeColor="text1"/>
                <w:sz w:val="20"/>
                <w:szCs w:val="20"/>
              </w:rPr>
              <w:t>Intoxicación en gestantes</w:t>
            </w:r>
            <w:r w:rsidR="001C5CDF" w:rsidRPr="00714D21">
              <w:rPr>
                <w:rFonts w:ascii="Arial" w:hAnsi="Arial" w:cs="Arial"/>
                <w:color w:val="000000" w:themeColor="text1"/>
                <w:sz w:val="20"/>
                <w:szCs w:val="20"/>
              </w:rPr>
              <w:t>.</w:t>
            </w:r>
            <w:r w:rsidRPr="00714D21">
              <w:rPr>
                <w:rFonts w:ascii="Arial" w:hAnsi="Arial" w:cs="Arial"/>
                <w:color w:val="000000" w:themeColor="text1"/>
                <w:sz w:val="20"/>
                <w:szCs w:val="20"/>
              </w:rPr>
              <w:br/>
            </w:r>
            <w:r w:rsidRPr="00714D21">
              <w:rPr>
                <w:rFonts w:ascii="Arial" w:hAnsi="Arial" w:cs="Arial"/>
                <w:b/>
                <w:bCs/>
                <w:color w:val="000000" w:themeColor="text1"/>
                <w:sz w:val="20"/>
                <w:szCs w:val="20"/>
              </w:rPr>
              <w:t>2.</w:t>
            </w:r>
            <w:r w:rsidRPr="00714D21">
              <w:rPr>
                <w:rFonts w:ascii="Arial" w:hAnsi="Arial" w:cs="Arial"/>
                <w:color w:val="000000" w:themeColor="text1"/>
                <w:sz w:val="20"/>
                <w:szCs w:val="20"/>
              </w:rPr>
              <w:t xml:space="preserve"> Intoxicación en menores de 5 años</w:t>
            </w:r>
            <w:r w:rsidR="001C5CDF" w:rsidRPr="00714D21">
              <w:rPr>
                <w:rFonts w:ascii="Arial" w:hAnsi="Arial" w:cs="Arial"/>
                <w:color w:val="000000" w:themeColor="text1"/>
                <w:sz w:val="20"/>
                <w:szCs w:val="20"/>
              </w:rPr>
              <w:t>.</w:t>
            </w:r>
            <w:r w:rsidRPr="00714D21">
              <w:rPr>
                <w:rFonts w:ascii="Arial" w:hAnsi="Arial" w:cs="Arial"/>
                <w:color w:val="000000" w:themeColor="text1"/>
                <w:sz w:val="20"/>
                <w:szCs w:val="20"/>
              </w:rPr>
              <w:br/>
            </w:r>
            <w:r w:rsidRPr="00714D21">
              <w:rPr>
                <w:rFonts w:ascii="Arial" w:hAnsi="Arial" w:cs="Arial"/>
                <w:b/>
                <w:bCs/>
                <w:color w:val="000000" w:themeColor="text1"/>
                <w:sz w:val="20"/>
                <w:szCs w:val="20"/>
              </w:rPr>
              <w:t>3.</w:t>
            </w:r>
            <w:r w:rsidRPr="00714D21">
              <w:rPr>
                <w:rFonts w:ascii="Arial" w:hAnsi="Arial" w:cs="Arial"/>
                <w:color w:val="000000" w:themeColor="text1"/>
                <w:sz w:val="20"/>
                <w:szCs w:val="20"/>
              </w:rPr>
              <w:t xml:space="preserve"> Aquellas alertas que la comisión, comités o concejos de vigilancia consideren que deben ser investigadas.</w:t>
            </w:r>
            <w:r w:rsidRPr="00714D21">
              <w:rPr>
                <w:rFonts w:ascii="Arial" w:hAnsi="Arial" w:cs="Arial"/>
                <w:color w:val="000000" w:themeColor="text1"/>
                <w:sz w:val="20"/>
                <w:szCs w:val="20"/>
              </w:rPr>
              <w:br/>
            </w:r>
            <w:r w:rsidRPr="00714D21">
              <w:rPr>
                <w:rFonts w:ascii="Arial" w:hAnsi="Arial" w:cs="Arial"/>
                <w:b/>
                <w:bCs/>
                <w:color w:val="000000" w:themeColor="text1"/>
                <w:sz w:val="20"/>
                <w:szCs w:val="20"/>
              </w:rPr>
              <w:t>4.</w:t>
            </w:r>
            <w:r w:rsidRPr="00714D21">
              <w:rPr>
                <w:rFonts w:ascii="Arial" w:hAnsi="Arial" w:cs="Arial"/>
                <w:color w:val="000000" w:themeColor="text1"/>
                <w:sz w:val="20"/>
                <w:szCs w:val="20"/>
              </w:rPr>
              <w:t xml:space="preserve"> Intoxicación grave o muerte de persona que haya estado expuesta al Hg</w:t>
            </w:r>
            <w:r w:rsidR="00303356" w:rsidRPr="00714D21">
              <w:rPr>
                <w:rFonts w:ascii="Arial" w:hAnsi="Arial" w:cs="Arial"/>
                <w:color w:val="000000" w:themeColor="text1"/>
                <w:sz w:val="20"/>
                <w:szCs w:val="20"/>
              </w:rPr>
              <w:t>.</w:t>
            </w:r>
          </w:p>
          <w:p w14:paraId="422CD841" w14:textId="5E4B06F7" w:rsidR="007D1BD5" w:rsidRPr="00714D21" w:rsidRDefault="007D1BD5" w:rsidP="001C5CDF">
            <w:pPr>
              <w:spacing w:after="0"/>
              <w:ind w:left="131"/>
              <w:jc w:val="both"/>
              <w:rPr>
                <w:rFonts w:ascii="Arial" w:hAnsi="Arial" w:cs="Arial"/>
                <w:color w:val="000000" w:themeColor="text1"/>
                <w:sz w:val="20"/>
                <w:szCs w:val="20"/>
              </w:rPr>
            </w:pPr>
            <w:r w:rsidRPr="00714D21">
              <w:rPr>
                <w:rFonts w:ascii="Arial" w:hAnsi="Arial" w:cs="Arial"/>
                <w:b/>
                <w:bCs/>
                <w:color w:val="000000" w:themeColor="text1"/>
                <w:sz w:val="20"/>
                <w:szCs w:val="20"/>
              </w:rPr>
              <w:t>5.</w:t>
            </w:r>
            <w:r w:rsidRPr="00714D21">
              <w:rPr>
                <w:rFonts w:ascii="Arial" w:hAnsi="Arial" w:cs="Arial"/>
                <w:color w:val="000000" w:themeColor="text1"/>
                <w:sz w:val="20"/>
                <w:szCs w:val="20"/>
              </w:rPr>
              <w:t xml:space="preserve"> Intoxicación con valores mayores a los valores permisibles tanto para personal expuesto ocupacional como para personal expuesto ambiental en una zona o área determinada.</w:t>
            </w:r>
          </w:p>
          <w:p w14:paraId="4D712076" w14:textId="77777777" w:rsidR="007D1BD5" w:rsidRPr="00714D21" w:rsidRDefault="007D1BD5" w:rsidP="001C5CDF">
            <w:pPr>
              <w:ind w:left="131"/>
              <w:jc w:val="both"/>
              <w:rPr>
                <w:rFonts w:ascii="Arial" w:hAnsi="Arial" w:cs="Arial"/>
                <w:color w:val="000000" w:themeColor="text1"/>
                <w:sz w:val="20"/>
                <w:szCs w:val="20"/>
              </w:rPr>
            </w:pPr>
            <w:r w:rsidRPr="00714D21">
              <w:rPr>
                <w:rFonts w:ascii="Arial" w:hAnsi="Arial" w:cs="Arial"/>
                <w:b/>
                <w:bCs/>
                <w:color w:val="000000" w:themeColor="text1"/>
                <w:sz w:val="20"/>
                <w:szCs w:val="20"/>
              </w:rPr>
              <w:t>6.</w:t>
            </w:r>
            <w:r w:rsidRPr="00714D21">
              <w:rPr>
                <w:rFonts w:ascii="Arial" w:hAnsi="Arial" w:cs="Arial"/>
                <w:color w:val="000000" w:themeColor="text1"/>
                <w:sz w:val="20"/>
                <w:szCs w:val="20"/>
              </w:rPr>
              <w:t xml:space="preserve"> Alerta cuando los valores permisibles en agua, suelos marinos y de agua dulce y peces o alimentos agrícolas se encuentren por encima de los niveles permisibles estipulados.</w:t>
            </w:r>
          </w:p>
        </w:tc>
        <w:tc>
          <w:tcPr>
            <w:tcW w:w="2169" w:type="dxa"/>
            <w:hideMark/>
          </w:tcPr>
          <w:p w14:paraId="07F72976" w14:textId="77777777" w:rsidR="007D1BD5" w:rsidRPr="00714D21" w:rsidRDefault="007D1BD5" w:rsidP="00E353F7">
            <w:pPr>
              <w:jc w:val="both"/>
              <w:rPr>
                <w:rFonts w:ascii="Arial" w:hAnsi="Arial" w:cs="Arial"/>
                <w:color w:val="000000" w:themeColor="text1"/>
                <w:sz w:val="20"/>
                <w:szCs w:val="20"/>
              </w:rPr>
            </w:pPr>
          </w:p>
        </w:tc>
      </w:tr>
      <w:tr w:rsidR="007D1BD5" w:rsidRPr="00714D21" w14:paraId="33162DA3" w14:textId="77777777" w:rsidTr="00714D21">
        <w:trPr>
          <w:trHeight w:hRule="exact" w:val="1700"/>
        </w:trPr>
        <w:tc>
          <w:tcPr>
            <w:tcW w:w="0" w:type="auto"/>
            <w:hideMark/>
          </w:tcPr>
          <w:p w14:paraId="46BC46E5" w14:textId="77777777" w:rsidR="007D1BD5" w:rsidRPr="00714D21" w:rsidRDefault="007D1BD5" w:rsidP="00E353F7">
            <w:pPr>
              <w:jc w:val="both"/>
              <w:rPr>
                <w:rFonts w:ascii="Arial" w:hAnsi="Arial" w:cs="Arial"/>
                <w:b/>
                <w:bCs/>
                <w:color w:val="000000" w:themeColor="text1"/>
                <w:sz w:val="20"/>
                <w:szCs w:val="20"/>
              </w:rPr>
            </w:pPr>
            <w:r w:rsidRPr="00714D21">
              <w:rPr>
                <w:rFonts w:ascii="Arial" w:hAnsi="Arial" w:cs="Arial"/>
                <w:b/>
                <w:bCs/>
                <w:color w:val="000000" w:themeColor="text1"/>
                <w:sz w:val="20"/>
                <w:szCs w:val="20"/>
              </w:rPr>
              <w:t>Mortalidad por intoxicación con mercurio</w:t>
            </w:r>
          </w:p>
        </w:tc>
        <w:tc>
          <w:tcPr>
            <w:tcW w:w="0" w:type="auto"/>
            <w:hideMark/>
          </w:tcPr>
          <w:p w14:paraId="3FF8912A" w14:textId="77777777" w:rsidR="007D1BD5" w:rsidRPr="00714D21" w:rsidRDefault="007D1BD5" w:rsidP="00E353F7">
            <w:pPr>
              <w:jc w:val="both"/>
              <w:rPr>
                <w:rFonts w:ascii="Arial" w:hAnsi="Arial" w:cs="Arial"/>
                <w:color w:val="000000" w:themeColor="text1"/>
                <w:sz w:val="20"/>
                <w:szCs w:val="20"/>
              </w:rPr>
            </w:pPr>
            <w:r w:rsidRPr="00714D21">
              <w:rPr>
                <w:rFonts w:ascii="Arial" w:hAnsi="Arial" w:cs="Arial"/>
                <w:color w:val="000000" w:themeColor="text1"/>
                <w:sz w:val="20"/>
                <w:szCs w:val="20"/>
              </w:rPr>
              <w:t>Defunción de un caso confirmado por clínica debido a intoxicación por Hg confirmado por muestra biológica y/o en elemento implicado, determinando a este agente como causa directa de muerte, defunción que se someterá a necropsia médico - legal, dado que toda mortalidad por esta causa, requiere unidad de análisis.</w:t>
            </w:r>
          </w:p>
        </w:tc>
        <w:tc>
          <w:tcPr>
            <w:tcW w:w="2169" w:type="dxa"/>
            <w:noWrap/>
            <w:hideMark/>
          </w:tcPr>
          <w:p w14:paraId="3DE5C728" w14:textId="77777777" w:rsidR="007D1BD5" w:rsidRPr="00714D21" w:rsidRDefault="007D1BD5" w:rsidP="00E353F7">
            <w:pPr>
              <w:jc w:val="both"/>
              <w:rPr>
                <w:rFonts w:ascii="Arial" w:hAnsi="Arial" w:cs="Arial"/>
                <w:color w:val="000000" w:themeColor="text1"/>
                <w:sz w:val="20"/>
                <w:szCs w:val="20"/>
              </w:rPr>
            </w:pPr>
          </w:p>
        </w:tc>
      </w:tr>
    </w:tbl>
    <w:p w14:paraId="74E19377" w14:textId="6753F102" w:rsidR="007D1BD5" w:rsidRPr="00714D21" w:rsidRDefault="007D1BD5" w:rsidP="007D1BD5">
      <w:pPr>
        <w:spacing w:after="0"/>
        <w:ind w:left="426"/>
        <w:jc w:val="center"/>
        <w:rPr>
          <w:rFonts w:ascii="Arial" w:hAnsi="Arial" w:cs="Arial"/>
          <w:bCs/>
          <w:color w:val="000000" w:themeColor="text1"/>
          <w:sz w:val="20"/>
          <w:szCs w:val="20"/>
          <w:u w:val="single"/>
          <w:lang w:eastAsia="x-none"/>
        </w:rPr>
      </w:pPr>
      <w:r w:rsidRPr="00714D21">
        <w:rPr>
          <w:rFonts w:ascii="Arial" w:hAnsi="Arial" w:cs="Arial"/>
          <w:bCs/>
          <w:color w:val="000000" w:themeColor="text1"/>
          <w:sz w:val="20"/>
          <w:szCs w:val="20"/>
          <w:lang w:eastAsia="x-none"/>
        </w:rPr>
        <w:t>Fuente:</w:t>
      </w:r>
      <w:r w:rsidR="00714D21">
        <w:rPr>
          <w:rFonts w:ascii="Arial" w:hAnsi="Arial" w:cs="Arial"/>
          <w:bCs/>
          <w:color w:val="000000" w:themeColor="text1"/>
          <w:sz w:val="20"/>
          <w:szCs w:val="20"/>
          <w:lang w:eastAsia="x-none"/>
        </w:rPr>
        <w:t xml:space="preserve"> </w:t>
      </w:r>
      <w:r w:rsidRPr="00714D21">
        <w:rPr>
          <w:rFonts w:ascii="Arial" w:hAnsi="Arial" w:cs="Arial"/>
          <w:bCs/>
          <w:color w:val="000000" w:themeColor="text1"/>
          <w:sz w:val="20"/>
          <w:szCs w:val="20"/>
          <w:u w:val="single"/>
          <w:lang w:eastAsia="x-none"/>
        </w:rPr>
        <w:t>http://www.ins.gov.co/lineas-de-accion/Subdireccion-</w:t>
      </w:r>
      <w:r w:rsidRPr="00714D21">
        <w:rPr>
          <w:rFonts w:ascii="Arial" w:hAnsi="Arial" w:cs="Arial"/>
          <w:bCs/>
          <w:color w:val="000000" w:themeColor="text1"/>
          <w:sz w:val="20"/>
          <w:szCs w:val="20"/>
          <w:lang w:eastAsia="x-none"/>
        </w:rPr>
        <w:tab/>
      </w:r>
      <w:r w:rsidRPr="00714D21">
        <w:rPr>
          <w:rFonts w:ascii="Arial" w:hAnsi="Arial" w:cs="Arial"/>
          <w:bCs/>
          <w:color w:val="000000" w:themeColor="text1"/>
          <w:sz w:val="20"/>
          <w:szCs w:val="20"/>
          <w:u w:val="single"/>
          <w:lang w:eastAsia="x-none"/>
        </w:rPr>
        <w:t>Vigilancia/sivigila/Protocolos%20SIVIGILA/PRO%20Intoxicaciones.pdf</w:t>
      </w:r>
    </w:p>
    <w:p w14:paraId="31524575" w14:textId="77777777" w:rsidR="004E79EA" w:rsidRDefault="004E79EA" w:rsidP="007D1BD5">
      <w:pPr>
        <w:spacing w:after="0"/>
        <w:ind w:left="426"/>
        <w:jc w:val="center"/>
        <w:rPr>
          <w:rFonts w:ascii="Arial" w:hAnsi="Arial" w:cs="Arial"/>
          <w:bCs/>
          <w:color w:val="000000" w:themeColor="text1"/>
          <w:sz w:val="24"/>
          <w:szCs w:val="24"/>
          <w:u w:val="single"/>
          <w:lang w:eastAsia="x-none"/>
        </w:rPr>
      </w:pPr>
    </w:p>
    <w:p w14:paraId="4E2CE0CD" w14:textId="04A2F996" w:rsidR="007D1BD5" w:rsidRDefault="007D1BD5" w:rsidP="007D1BD5">
      <w:pPr>
        <w:spacing w:after="0"/>
        <w:ind w:left="284"/>
        <w:jc w:val="both"/>
        <w:rPr>
          <w:rFonts w:ascii="Arial" w:hAnsi="Arial" w:cs="Arial"/>
          <w:color w:val="000000" w:themeColor="text1"/>
          <w:sz w:val="24"/>
          <w:szCs w:val="24"/>
        </w:rPr>
      </w:pPr>
      <w:r w:rsidRPr="00EE006D">
        <w:rPr>
          <w:rFonts w:ascii="Arial" w:hAnsi="Arial" w:cs="Arial"/>
          <w:color w:val="000000" w:themeColor="text1"/>
          <w:sz w:val="24"/>
          <w:szCs w:val="24"/>
        </w:rPr>
        <w:t xml:space="preserve">La notificación y las responsabilidades por nivel se realizan dentro del sistema de notificación por intoxicación por químicos y dentro de ella la notificación por intoxicación debida al Hg </w:t>
      </w:r>
      <w:r w:rsidRPr="00EE006D">
        <w:rPr>
          <w:rFonts w:ascii="Arial" w:hAnsi="Arial" w:cs="Arial"/>
          <w:bCs/>
          <w:color w:val="000000" w:themeColor="text1"/>
          <w:sz w:val="24"/>
          <w:szCs w:val="24"/>
        </w:rPr>
        <w:t>(1)</w:t>
      </w:r>
      <w:r w:rsidRPr="00EE006D">
        <w:rPr>
          <w:rFonts w:ascii="Arial" w:hAnsi="Arial" w:cs="Arial"/>
          <w:color w:val="000000" w:themeColor="text1"/>
          <w:sz w:val="24"/>
          <w:szCs w:val="24"/>
        </w:rPr>
        <w:t>.</w:t>
      </w:r>
    </w:p>
    <w:p w14:paraId="7B4D9C39" w14:textId="77777777" w:rsidR="00E7243E" w:rsidRPr="00EE006D" w:rsidRDefault="00E7243E" w:rsidP="007D1BD5">
      <w:pPr>
        <w:spacing w:after="0"/>
        <w:ind w:left="284"/>
        <w:jc w:val="both"/>
        <w:rPr>
          <w:rFonts w:ascii="Arial" w:hAnsi="Arial" w:cs="Arial"/>
          <w:color w:val="000000" w:themeColor="text1"/>
          <w:sz w:val="24"/>
          <w:szCs w:val="24"/>
        </w:rPr>
      </w:pPr>
    </w:p>
    <w:p w14:paraId="0A4A4D17" w14:textId="070CC2B1" w:rsidR="000577F3" w:rsidRPr="000577F3" w:rsidRDefault="007D1BD5" w:rsidP="00E7243E">
      <w:pPr>
        <w:pStyle w:val="Ttulo1"/>
        <w:rPr>
          <w:rFonts w:eastAsia="Calibri"/>
        </w:rPr>
      </w:pPr>
      <w:bookmarkStart w:id="10" w:name="_Toc75883028"/>
      <w:r w:rsidRPr="00EE006D">
        <w:t>B</w:t>
      </w:r>
      <w:r>
        <w:t>rotes / Investigaciones epidemiológicas en población intoxicada por mercurio</w:t>
      </w:r>
      <w:bookmarkEnd w:id="10"/>
    </w:p>
    <w:p w14:paraId="5F7C1AEF"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4A3F7908" w14:textId="562E170A" w:rsidR="007D1BD5" w:rsidRPr="00EE006D" w:rsidRDefault="007D1BD5" w:rsidP="007D1BD5">
      <w:pPr>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Es la ocurrencia de un número de casos de intoxicación generada por el</w:t>
      </w:r>
      <w:r w:rsidR="00E8215A">
        <w:rPr>
          <w:rFonts w:ascii="Arial" w:hAnsi="Arial" w:cs="Arial"/>
          <w:bCs/>
          <w:color w:val="000000" w:themeColor="text1"/>
          <w:sz w:val="24"/>
          <w:szCs w:val="24"/>
        </w:rPr>
        <w:t xml:space="preserve"> mercurio,</w:t>
      </w:r>
      <w:r w:rsidRPr="00EE006D">
        <w:rPr>
          <w:rFonts w:ascii="Arial" w:hAnsi="Arial" w:cs="Arial"/>
          <w:bCs/>
          <w:color w:val="000000" w:themeColor="text1"/>
          <w:sz w:val="24"/>
          <w:szCs w:val="24"/>
        </w:rPr>
        <w:t xml:space="preserve"> sea aguda o crónica en un área y en un tiempo dados </w:t>
      </w:r>
      <w:r w:rsidRPr="00EE006D">
        <w:rPr>
          <w:rFonts w:ascii="Arial" w:hAnsi="Arial" w:cs="Arial"/>
          <w:bCs/>
          <w:color w:val="000000" w:themeColor="text1"/>
          <w:sz w:val="24"/>
          <w:szCs w:val="24"/>
        </w:rPr>
        <w:fldChar w:fldCharType="begin"/>
      </w:r>
      <w:r w:rsidRPr="00EE006D">
        <w:rPr>
          <w:rFonts w:ascii="Arial" w:hAnsi="Arial" w:cs="Arial"/>
          <w:bCs/>
          <w:color w:val="000000" w:themeColor="text1"/>
          <w:sz w:val="24"/>
          <w:szCs w:val="24"/>
        </w:rPr>
        <w:instrText xml:space="preserve"> ADDIN ZOTERO_ITEM CSL_CITATION {"citationID":"PEmXm6bj","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EE006D">
        <w:rPr>
          <w:rFonts w:ascii="Arial" w:hAnsi="Arial" w:cs="Arial"/>
          <w:bCs/>
          <w:color w:val="000000" w:themeColor="text1"/>
          <w:sz w:val="24"/>
          <w:szCs w:val="24"/>
        </w:rPr>
        <w:fldChar w:fldCharType="separate"/>
      </w:r>
      <w:r w:rsidRPr="00EE006D">
        <w:rPr>
          <w:rFonts w:ascii="Arial" w:hAnsi="Arial" w:cs="Arial"/>
          <w:color w:val="000000" w:themeColor="text1"/>
          <w:sz w:val="24"/>
          <w:szCs w:val="24"/>
        </w:rPr>
        <w:t>(2)</w:t>
      </w:r>
      <w:r w:rsidRPr="00EE006D">
        <w:rPr>
          <w:rFonts w:ascii="Arial" w:hAnsi="Arial" w:cs="Arial"/>
          <w:bCs/>
          <w:color w:val="000000" w:themeColor="text1"/>
          <w:sz w:val="24"/>
          <w:szCs w:val="24"/>
        </w:rPr>
        <w:fldChar w:fldCharType="end"/>
      </w:r>
      <w:r w:rsidRPr="00EE006D">
        <w:rPr>
          <w:rFonts w:ascii="Arial" w:hAnsi="Arial" w:cs="Arial"/>
          <w:bCs/>
          <w:color w:val="000000" w:themeColor="text1"/>
          <w:sz w:val="24"/>
          <w:szCs w:val="24"/>
        </w:rPr>
        <w:t>.</w:t>
      </w:r>
    </w:p>
    <w:p w14:paraId="1C378152" w14:textId="35FA3609" w:rsidR="007D1BD5" w:rsidRDefault="007D1BD5" w:rsidP="007D1BD5">
      <w:pPr>
        <w:spacing w:after="0"/>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 xml:space="preserve">Los brotes por intoxicación por causa del </w:t>
      </w:r>
      <w:r>
        <w:rPr>
          <w:rFonts w:ascii="Arial" w:hAnsi="Arial" w:cs="Arial"/>
          <w:bCs/>
          <w:color w:val="000000" w:themeColor="text1"/>
          <w:sz w:val="24"/>
          <w:szCs w:val="24"/>
        </w:rPr>
        <w:t xml:space="preserve">mercurio </w:t>
      </w:r>
      <w:r w:rsidRPr="00EE006D">
        <w:rPr>
          <w:rFonts w:ascii="Arial" w:hAnsi="Arial" w:cs="Arial"/>
          <w:bCs/>
          <w:color w:val="000000" w:themeColor="text1"/>
          <w:sz w:val="24"/>
          <w:szCs w:val="24"/>
        </w:rPr>
        <w:t xml:space="preserve">pueden ser observados en dos vías, la primera por intoxicaciones ocasionados en personas por causa del Hg de forma aguda y la segunda por la contaminación en poblaciones en áreas determinadas que presenten sintomatología ocasionada por la exposición al mismo de forma prolongada y cuya evaluación de sus biomarcadores sobrepasen los valores permisibles admitidos por la OMS y adaptados al país por el INS </w:t>
      </w:r>
      <w:r w:rsidRPr="00EE006D">
        <w:rPr>
          <w:rFonts w:ascii="Arial" w:hAnsi="Arial" w:cs="Arial"/>
          <w:bCs/>
          <w:color w:val="000000" w:themeColor="text1"/>
          <w:sz w:val="24"/>
          <w:szCs w:val="24"/>
        </w:rPr>
        <w:fldChar w:fldCharType="begin"/>
      </w:r>
      <w:r w:rsidRPr="00EE006D">
        <w:rPr>
          <w:rFonts w:ascii="Arial" w:hAnsi="Arial" w:cs="Arial"/>
          <w:bCs/>
          <w:color w:val="000000" w:themeColor="text1"/>
          <w:sz w:val="24"/>
          <w:szCs w:val="24"/>
        </w:rPr>
        <w:instrText xml:space="preserve"> ADDIN ZOTERO_ITEM CSL_CITATION {"citationID":"PEmXm6bj","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EE006D">
        <w:rPr>
          <w:rFonts w:ascii="Arial" w:hAnsi="Arial" w:cs="Arial"/>
          <w:bCs/>
          <w:color w:val="000000" w:themeColor="text1"/>
          <w:sz w:val="24"/>
          <w:szCs w:val="24"/>
        </w:rPr>
        <w:fldChar w:fldCharType="separate"/>
      </w:r>
      <w:r w:rsidRPr="00EE006D">
        <w:rPr>
          <w:rFonts w:ascii="Arial" w:hAnsi="Arial" w:cs="Arial"/>
          <w:color w:val="000000" w:themeColor="text1"/>
          <w:sz w:val="24"/>
          <w:szCs w:val="24"/>
        </w:rPr>
        <w:t>(5)</w:t>
      </w:r>
      <w:r w:rsidRPr="00EE006D">
        <w:rPr>
          <w:rFonts w:ascii="Arial" w:hAnsi="Arial" w:cs="Arial"/>
          <w:bCs/>
          <w:color w:val="000000" w:themeColor="text1"/>
          <w:sz w:val="24"/>
          <w:szCs w:val="24"/>
        </w:rPr>
        <w:fldChar w:fldCharType="end"/>
      </w:r>
      <w:r w:rsidRPr="00EE006D">
        <w:rPr>
          <w:rFonts w:ascii="Arial" w:hAnsi="Arial" w:cs="Arial"/>
          <w:bCs/>
          <w:color w:val="000000" w:themeColor="text1"/>
          <w:sz w:val="24"/>
          <w:szCs w:val="24"/>
        </w:rPr>
        <w:t>.</w:t>
      </w:r>
    </w:p>
    <w:p w14:paraId="5AF7B802" w14:textId="77777777" w:rsidR="007D1BD5" w:rsidRDefault="007D1BD5" w:rsidP="007D1BD5">
      <w:pPr>
        <w:spacing w:after="0"/>
        <w:ind w:left="284"/>
        <w:jc w:val="both"/>
        <w:rPr>
          <w:rFonts w:ascii="Arial" w:hAnsi="Arial" w:cs="Arial"/>
          <w:sz w:val="24"/>
          <w:szCs w:val="24"/>
        </w:rPr>
      </w:pPr>
    </w:p>
    <w:p w14:paraId="3853B946" w14:textId="70C36015" w:rsidR="007D1BD5" w:rsidRDefault="007D1BD5" w:rsidP="007D1BD5">
      <w:pPr>
        <w:pStyle w:val="Ttulo2"/>
        <w:spacing w:before="0"/>
        <w:ind w:left="709" w:hanging="425"/>
        <w:jc w:val="both"/>
        <w:rPr>
          <w:rFonts w:cs="Arial"/>
          <w:color w:val="000000" w:themeColor="text1"/>
          <w:szCs w:val="24"/>
        </w:rPr>
      </w:pPr>
      <w:bookmarkStart w:id="11" w:name="_Toc75883029"/>
      <w:r>
        <w:rPr>
          <w:rFonts w:cs="Arial"/>
          <w:color w:val="000000" w:themeColor="text1"/>
          <w:szCs w:val="24"/>
        </w:rPr>
        <w:lastRenderedPageBreak/>
        <w:t xml:space="preserve">3.1 </w:t>
      </w:r>
      <w:r w:rsidR="00E8215A">
        <w:rPr>
          <w:rFonts w:cs="Arial"/>
          <w:color w:val="000000" w:themeColor="text1"/>
          <w:szCs w:val="24"/>
        </w:rPr>
        <w:t xml:space="preserve">Objetivos para la investigación de brotes ocasionados por intoxicación aguda </w:t>
      </w:r>
      <w:r w:rsidRPr="00EE006D">
        <w:rPr>
          <w:rFonts w:cs="Arial"/>
          <w:color w:val="000000" w:themeColor="text1"/>
          <w:szCs w:val="24"/>
        </w:rPr>
        <w:t>por mercurio</w:t>
      </w:r>
      <w:bookmarkEnd w:id="11"/>
    </w:p>
    <w:p w14:paraId="0BE0197B" w14:textId="77777777" w:rsidR="007D1BD5" w:rsidRDefault="007D1BD5" w:rsidP="000577F3">
      <w:pPr>
        <w:pBdr>
          <w:top w:val="nil"/>
          <w:left w:val="nil"/>
          <w:bottom w:val="nil"/>
          <w:right w:val="nil"/>
          <w:between w:val="nil"/>
        </w:pBdr>
        <w:spacing w:after="0" w:line="240" w:lineRule="auto"/>
        <w:ind w:left="284"/>
        <w:jc w:val="both"/>
        <w:rPr>
          <w:rFonts w:ascii="Arial" w:hAnsi="Arial" w:cs="Arial"/>
          <w:sz w:val="24"/>
          <w:szCs w:val="24"/>
        </w:rPr>
      </w:pPr>
    </w:p>
    <w:p w14:paraId="68065292" w14:textId="6D16A7BE" w:rsidR="007D1BD5" w:rsidRDefault="007D1BD5" w:rsidP="000577F3">
      <w:pPr>
        <w:pBdr>
          <w:top w:val="nil"/>
          <w:left w:val="nil"/>
          <w:bottom w:val="nil"/>
          <w:right w:val="nil"/>
          <w:between w:val="nil"/>
        </w:pBdr>
        <w:spacing w:after="0" w:line="240" w:lineRule="auto"/>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Los objetivos de la notificación por contaminación e intoxicación aguda en humanos ocasionada por la exposición a</w:t>
      </w:r>
      <w:r w:rsidR="00E8215A">
        <w:rPr>
          <w:rFonts w:ascii="Arial" w:hAnsi="Arial" w:cs="Arial"/>
          <w:bCs/>
          <w:color w:val="000000" w:themeColor="text1"/>
          <w:sz w:val="24"/>
          <w:szCs w:val="24"/>
        </w:rPr>
        <w:t>l mercurio, son</w:t>
      </w:r>
      <w:r w:rsidRPr="00EE006D">
        <w:rPr>
          <w:rFonts w:ascii="Arial" w:hAnsi="Arial" w:cs="Arial"/>
          <w:bCs/>
          <w:color w:val="000000" w:themeColor="text1"/>
          <w:sz w:val="24"/>
          <w:szCs w:val="24"/>
        </w:rPr>
        <w:t>:</w:t>
      </w:r>
    </w:p>
    <w:p w14:paraId="0BB280B8" w14:textId="5A00C425" w:rsidR="007D1BD5" w:rsidRDefault="007D1BD5" w:rsidP="000577F3">
      <w:pPr>
        <w:pBdr>
          <w:top w:val="nil"/>
          <w:left w:val="nil"/>
          <w:bottom w:val="nil"/>
          <w:right w:val="nil"/>
          <w:between w:val="nil"/>
        </w:pBdr>
        <w:spacing w:after="0" w:line="240" w:lineRule="auto"/>
        <w:ind w:left="284"/>
        <w:jc w:val="both"/>
        <w:rPr>
          <w:rFonts w:ascii="Arial" w:hAnsi="Arial" w:cs="Arial"/>
          <w:bCs/>
          <w:color w:val="000000" w:themeColor="text1"/>
          <w:sz w:val="24"/>
          <w:szCs w:val="24"/>
        </w:rPr>
      </w:pPr>
    </w:p>
    <w:p w14:paraId="260ECE6E" w14:textId="77777777" w:rsidR="007D1BD5" w:rsidRDefault="007D1BD5" w:rsidP="007D1BD5">
      <w:pPr>
        <w:pStyle w:val="Prrafodelista"/>
        <w:numPr>
          <w:ilvl w:val="0"/>
          <w:numId w:val="12"/>
        </w:numPr>
        <w:jc w:val="both"/>
        <w:rPr>
          <w:rFonts w:ascii="Arial" w:hAnsi="Arial" w:cs="Arial"/>
          <w:bCs/>
          <w:color w:val="000000" w:themeColor="text1"/>
          <w:sz w:val="24"/>
          <w:szCs w:val="24"/>
        </w:rPr>
      </w:pPr>
      <w:r w:rsidRPr="00AD7B8E">
        <w:rPr>
          <w:rFonts w:ascii="Arial" w:hAnsi="Arial" w:cs="Arial"/>
          <w:bCs/>
          <w:color w:val="000000" w:themeColor="text1"/>
          <w:sz w:val="24"/>
          <w:szCs w:val="24"/>
        </w:rPr>
        <w:t>Conocer la fuente de contaminación del Hg, el modo de propagación, la población afectada y la población en riesgo.</w:t>
      </w:r>
    </w:p>
    <w:p w14:paraId="21121553" w14:textId="77777777" w:rsidR="007D1BD5" w:rsidRDefault="007D1BD5" w:rsidP="007D1BD5">
      <w:pPr>
        <w:pStyle w:val="Prrafodelista"/>
        <w:ind w:left="1004" w:firstLine="0"/>
        <w:jc w:val="both"/>
        <w:rPr>
          <w:rFonts w:ascii="Arial" w:hAnsi="Arial" w:cs="Arial"/>
          <w:bCs/>
          <w:color w:val="000000" w:themeColor="text1"/>
          <w:sz w:val="24"/>
          <w:szCs w:val="24"/>
        </w:rPr>
      </w:pPr>
    </w:p>
    <w:p w14:paraId="4DC8CFF1" w14:textId="77777777" w:rsidR="007D1BD5" w:rsidRDefault="007D1BD5" w:rsidP="007D1BD5">
      <w:pPr>
        <w:pStyle w:val="Prrafodelista"/>
        <w:numPr>
          <w:ilvl w:val="0"/>
          <w:numId w:val="12"/>
        </w:numPr>
        <w:spacing w:after="0"/>
        <w:jc w:val="both"/>
        <w:rPr>
          <w:rFonts w:ascii="Arial" w:hAnsi="Arial" w:cs="Arial"/>
          <w:bCs/>
          <w:color w:val="000000" w:themeColor="text1"/>
          <w:sz w:val="24"/>
          <w:szCs w:val="24"/>
        </w:rPr>
      </w:pPr>
      <w:r w:rsidRPr="00AD7B8E">
        <w:rPr>
          <w:rFonts w:ascii="Arial" w:hAnsi="Arial" w:cs="Arial"/>
          <w:bCs/>
          <w:color w:val="000000" w:themeColor="text1"/>
          <w:sz w:val="24"/>
          <w:szCs w:val="24"/>
        </w:rPr>
        <w:t>Identificar los factores de riesgo de exposición al Hg del área identificada.</w:t>
      </w:r>
    </w:p>
    <w:p w14:paraId="2BDE32A2" w14:textId="77777777" w:rsidR="007D1BD5" w:rsidRPr="00F249C8" w:rsidRDefault="007D1BD5" w:rsidP="007D1BD5">
      <w:pPr>
        <w:spacing w:after="0"/>
        <w:jc w:val="both"/>
        <w:rPr>
          <w:rFonts w:ascii="Arial" w:hAnsi="Arial" w:cs="Arial"/>
          <w:bCs/>
          <w:color w:val="000000" w:themeColor="text1"/>
          <w:sz w:val="24"/>
          <w:szCs w:val="24"/>
        </w:rPr>
      </w:pPr>
    </w:p>
    <w:p w14:paraId="064941C7" w14:textId="77777777" w:rsidR="007D1BD5" w:rsidRDefault="007D1BD5" w:rsidP="007D1BD5">
      <w:pPr>
        <w:pStyle w:val="Prrafodelista"/>
        <w:numPr>
          <w:ilvl w:val="0"/>
          <w:numId w:val="12"/>
        </w:numPr>
        <w:spacing w:after="0"/>
        <w:jc w:val="both"/>
        <w:rPr>
          <w:rFonts w:ascii="Arial" w:hAnsi="Arial" w:cs="Arial"/>
          <w:bCs/>
          <w:color w:val="000000" w:themeColor="text1"/>
          <w:sz w:val="24"/>
          <w:szCs w:val="24"/>
        </w:rPr>
      </w:pPr>
      <w:r w:rsidRPr="00AD7B8E">
        <w:rPr>
          <w:rFonts w:ascii="Arial" w:hAnsi="Arial" w:cs="Arial"/>
          <w:bCs/>
          <w:color w:val="000000" w:themeColor="text1"/>
          <w:sz w:val="24"/>
          <w:szCs w:val="24"/>
        </w:rPr>
        <w:t>Recomendar medidas para el control del brote, establecer las medidas para evitar las posibles complicaciones y la propagación del brote.</w:t>
      </w:r>
    </w:p>
    <w:p w14:paraId="436D295D" w14:textId="77777777" w:rsidR="007D1BD5" w:rsidRDefault="007D1BD5" w:rsidP="007D1BD5">
      <w:pPr>
        <w:pStyle w:val="Prrafodelista"/>
        <w:ind w:left="1004" w:firstLine="0"/>
        <w:jc w:val="both"/>
        <w:rPr>
          <w:rFonts w:ascii="Arial" w:hAnsi="Arial" w:cs="Arial"/>
          <w:bCs/>
          <w:color w:val="000000" w:themeColor="text1"/>
          <w:sz w:val="24"/>
          <w:szCs w:val="24"/>
        </w:rPr>
      </w:pPr>
    </w:p>
    <w:p w14:paraId="4DD8A5DB" w14:textId="77777777" w:rsidR="007D1BD5" w:rsidRDefault="007D1BD5" w:rsidP="007D1BD5">
      <w:pPr>
        <w:pStyle w:val="Prrafodelista"/>
        <w:numPr>
          <w:ilvl w:val="0"/>
          <w:numId w:val="12"/>
        </w:numPr>
        <w:jc w:val="both"/>
        <w:rPr>
          <w:rFonts w:ascii="Arial" w:hAnsi="Arial" w:cs="Arial"/>
          <w:bCs/>
          <w:color w:val="000000" w:themeColor="text1"/>
          <w:sz w:val="24"/>
          <w:szCs w:val="24"/>
        </w:rPr>
      </w:pPr>
      <w:r w:rsidRPr="00F249C8">
        <w:rPr>
          <w:rFonts w:ascii="Arial" w:hAnsi="Arial" w:cs="Arial"/>
          <w:bCs/>
          <w:color w:val="000000" w:themeColor="text1"/>
          <w:sz w:val="24"/>
          <w:szCs w:val="24"/>
        </w:rPr>
        <w:t>Hacer sugerencias para prevenir la aparición de la intoxicación por Hg.</w:t>
      </w:r>
    </w:p>
    <w:p w14:paraId="0B5FB0EE" w14:textId="77777777" w:rsidR="007D1BD5" w:rsidRPr="00F249C8" w:rsidRDefault="007D1BD5" w:rsidP="007D1BD5">
      <w:pPr>
        <w:pStyle w:val="Prrafodelista"/>
        <w:rPr>
          <w:rFonts w:ascii="Arial" w:hAnsi="Arial" w:cs="Arial"/>
          <w:bCs/>
          <w:color w:val="000000" w:themeColor="text1"/>
          <w:sz w:val="24"/>
          <w:szCs w:val="24"/>
        </w:rPr>
      </w:pPr>
    </w:p>
    <w:p w14:paraId="7113634A" w14:textId="77777777" w:rsidR="007D1BD5" w:rsidRPr="00F249C8" w:rsidRDefault="007D1BD5" w:rsidP="00226DA8">
      <w:pPr>
        <w:pStyle w:val="Prrafodelista"/>
        <w:numPr>
          <w:ilvl w:val="0"/>
          <w:numId w:val="12"/>
        </w:numPr>
        <w:spacing w:after="0"/>
        <w:jc w:val="both"/>
        <w:rPr>
          <w:rFonts w:ascii="Arial" w:hAnsi="Arial" w:cs="Arial"/>
          <w:bCs/>
          <w:color w:val="000000" w:themeColor="text1"/>
          <w:sz w:val="24"/>
          <w:szCs w:val="24"/>
        </w:rPr>
      </w:pPr>
      <w:r w:rsidRPr="00F249C8">
        <w:rPr>
          <w:rFonts w:ascii="Arial" w:hAnsi="Arial" w:cs="Arial"/>
          <w:bCs/>
          <w:color w:val="000000" w:themeColor="text1"/>
          <w:sz w:val="24"/>
          <w:szCs w:val="24"/>
        </w:rPr>
        <w:t>Inicio de investigaciones epidemiológicas y de tipo ambiental.</w:t>
      </w:r>
    </w:p>
    <w:p w14:paraId="6A71AD36" w14:textId="77777777" w:rsidR="007D1BD5" w:rsidRDefault="007D1BD5" w:rsidP="000577F3">
      <w:pPr>
        <w:pBdr>
          <w:top w:val="nil"/>
          <w:left w:val="nil"/>
          <w:bottom w:val="nil"/>
          <w:right w:val="nil"/>
          <w:between w:val="nil"/>
        </w:pBdr>
        <w:spacing w:after="0" w:line="240" w:lineRule="auto"/>
        <w:ind w:left="284"/>
        <w:jc w:val="both"/>
        <w:rPr>
          <w:rFonts w:ascii="Arial" w:hAnsi="Arial" w:cs="Arial"/>
          <w:sz w:val="24"/>
          <w:szCs w:val="24"/>
        </w:rPr>
      </w:pPr>
    </w:p>
    <w:p w14:paraId="26EADAC1" w14:textId="7A09243C" w:rsidR="007D1BD5" w:rsidRDefault="00226DA8" w:rsidP="00226DA8">
      <w:pPr>
        <w:pStyle w:val="Ttulo2"/>
        <w:spacing w:before="0"/>
        <w:ind w:left="709" w:hanging="425"/>
        <w:jc w:val="both"/>
        <w:rPr>
          <w:rFonts w:cs="Arial"/>
          <w:szCs w:val="24"/>
        </w:rPr>
      </w:pPr>
      <w:bookmarkStart w:id="12" w:name="_Toc75883030"/>
      <w:r>
        <w:rPr>
          <w:rFonts w:cs="Arial"/>
          <w:color w:val="000000" w:themeColor="text1"/>
          <w:szCs w:val="24"/>
        </w:rPr>
        <w:t xml:space="preserve">3.2 </w:t>
      </w:r>
      <w:r w:rsidRPr="00EE006D">
        <w:rPr>
          <w:rFonts w:cs="Arial"/>
          <w:color w:val="000000" w:themeColor="text1"/>
          <w:szCs w:val="24"/>
        </w:rPr>
        <w:t xml:space="preserve">Verificación del diagnóstico </w:t>
      </w:r>
      <w:r w:rsidRPr="00EE006D">
        <w:rPr>
          <w:rFonts w:cs="Arial"/>
          <w:b w:val="0"/>
          <w:bCs w:val="0"/>
          <w:color w:val="000000" w:themeColor="text1"/>
          <w:szCs w:val="24"/>
        </w:rPr>
        <w:fldChar w:fldCharType="begin"/>
      </w:r>
      <w:r w:rsidRPr="00EE006D">
        <w:rPr>
          <w:rFonts w:cs="Arial"/>
          <w:color w:val="000000" w:themeColor="text1"/>
          <w:szCs w:val="24"/>
        </w:rPr>
        <w:instrText xml:space="preserve"> ADDIN ZOTERO_ITEM CSL_CITATION {"citationID":"Ku6j2nms","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EE006D">
        <w:rPr>
          <w:rFonts w:cs="Arial"/>
          <w:b w:val="0"/>
          <w:bCs w:val="0"/>
          <w:color w:val="000000" w:themeColor="text1"/>
          <w:szCs w:val="24"/>
        </w:rPr>
        <w:fldChar w:fldCharType="separate"/>
      </w:r>
      <w:r w:rsidRPr="00EE006D">
        <w:rPr>
          <w:rFonts w:cs="Arial"/>
          <w:color w:val="000000" w:themeColor="text1"/>
          <w:szCs w:val="24"/>
        </w:rPr>
        <w:t>(5)</w:t>
      </w:r>
      <w:bookmarkEnd w:id="12"/>
      <w:r w:rsidRPr="00EE006D">
        <w:rPr>
          <w:rFonts w:cs="Arial"/>
          <w:b w:val="0"/>
          <w:bCs w:val="0"/>
          <w:color w:val="000000" w:themeColor="text1"/>
          <w:szCs w:val="24"/>
        </w:rPr>
        <w:fldChar w:fldCharType="end"/>
      </w:r>
    </w:p>
    <w:p w14:paraId="43F2C848" w14:textId="2AF8E8E8" w:rsidR="007D1BD5" w:rsidRDefault="007D1BD5" w:rsidP="000577F3">
      <w:pPr>
        <w:pBdr>
          <w:top w:val="nil"/>
          <w:left w:val="nil"/>
          <w:bottom w:val="nil"/>
          <w:right w:val="nil"/>
          <w:between w:val="nil"/>
        </w:pBdr>
        <w:spacing w:after="0" w:line="240" w:lineRule="auto"/>
        <w:ind w:left="284"/>
        <w:jc w:val="both"/>
        <w:rPr>
          <w:rFonts w:ascii="Arial" w:hAnsi="Arial" w:cs="Arial"/>
          <w:sz w:val="24"/>
          <w:szCs w:val="24"/>
        </w:rPr>
      </w:pPr>
    </w:p>
    <w:p w14:paraId="2A0BCB99" w14:textId="0843903B" w:rsidR="00226DA8" w:rsidRDefault="00226DA8" w:rsidP="000577F3">
      <w:pPr>
        <w:pBdr>
          <w:top w:val="nil"/>
          <w:left w:val="nil"/>
          <w:bottom w:val="nil"/>
          <w:right w:val="nil"/>
          <w:between w:val="nil"/>
        </w:pBdr>
        <w:spacing w:after="0" w:line="240" w:lineRule="auto"/>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Una vez recibida la notificación se debe proceder a realizar verificación del diagnóstico.</w:t>
      </w:r>
    </w:p>
    <w:p w14:paraId="2300DF55" w14:textId="738486AF" w:rsidR="00226DA8" w:rsidRDefault="00226DA8" w:rsidP="000577F3">
      <w:pPr>
        <w:pBdr>
          <w:top w:val="nil"/>
          <w:left w:val="nil"/>
          <w:bottom w:val="nil"/>
          <w:right w:val="nil"/>
          <w:between w:val="nil"/>
        </w:pBdr>
        <w:spacing w:after="0" w:line="240" w:lineRule="auto"/>
        <w:ind w:left="284"/>
        <w:jc w:val="both"/>
        <w:rPr>
          <w:rFonts w:ascii="Arial" w:hAnsi="Arial" w:cs="Arial"/>
          <w:bCs/>
          <w:color w:val="000000" w:themeColor="text1"/>
          <w:sz w:val="24"/>
          <w:szCs w:val="24"/>
        </w:rPr>
      </w:pPr>
    </w:p>
    <w:p w14:paraId="4CD9061D" w14:textId="77777777" w:rsidR="00226DA8" w:rsidRDefault="00226DA8" w:rsidP="00226DA8">
      <w:pPr>
        <w:pStyle w:val="Prrafodelista"/>
        <w:numPr>
          <w:ilvl w:val="0"/>
          <w:numId w:val="13"/>
        </w:numPr>
        <w:jc w:val="both"/>
        <w:rPr>
          <w:rFonts w:ascii="Arial" w:hAnsi="Arial" w:cs="Arial"/>
          <w:bCs/>
          <w:color w:val="000000" w:themeColor="text1"/>
          <w:sz w:val="24"/>
          <w:szCs w:val="24"/>
        </w:rPr>
      </w:pPr>
      <w:r w:rsidRPr="009F5E6F">
        <w:rPr>
          <w:rFonts w:ascii="Arial" w:hAnsi="Arial" w:cs="Arial"/>
          <w:bCs/>
          <w:color w:val="000000" w:themeColor="text1"/>
          <w:sz w:val="24"/>
          <w:szCs w:val="24"/>
        </w:rPr>
        <w:t>Asegurar que los casos hayan sido correctamente diagnosticados teniendo en cuenta las diferentes definiciones de caso.</w:t>
      </w:r>
    </w:p>
    <w:p w14:paraId="3CCC68B1" w14:textId="77777777" w:rsidR="00226DA8" w:rsidRDefault="00226DA8" w:rsidP="00226DA8">
      <w:pPr>
        <w:pStyle w:val="Prrafodelista"/>
        <w:ind w:left="1004" w:firstLine="0"/>
        <w:jc w:val="both"/>
        <w:rPr>
          <w:rFonts w:ascii="Arial" w:hAnsi="Arial" w:cs="Arial"/>
          <w:bCs/>
          <w:color w:val="000000" w:themeColor="text1"/>
          <w:sz w:val="24"/>
          <w:szCs w:val="24"/>
        </w:rPr>
      </w:pPr>
    </w:p>
    <w:p w14:paraId="08D92632" w14:textId="5DF8D5B4" w:rsidR="00226DA8" w:rsidRDefault="00226DA8" w:rsidP="007F08C0">
      <w:pPr>
        <w:pStyle w:val="Prrafodelista"/>
        <w:numPr>
          <w:ilvl w:val="0"/>
          <w:numId w:val="13"/>
        </w:numPr>
        <w:spacing w:after="0"/>
        <w:jc w:val="both"/>
        <w:rPr>
          <w:rFonts w:ascii="Arial" w:hAnsi="Arial" w:cs="Arial"/>
          <w:bCs/>
          <w:color w:val="000000" w:themeColor="text1"/>
          <w:sz w:val="24"/>
          <w:szCs w:val="24"/>
        </w:rPr>
      </w:pPr>
      <w:r w:rsidRPr="009F5E6F">
        <w:rPr>
          <w:rFonts w:ascii="Arial" w:hAnsi="Arial" w:cs="Arial"/>
          <w:bCs/>
          <w:color w:val="000000" w:themeColor="text1"/>
          <w:sz w:val="24"/>
          <w:szCs w:val="24"/>
        </w:rPr>
        <w:t>Es necesario contar con muestras teniendo en cuenta el tipo de muestra, el estudio realizado a la muestra, los antecedentes del tipo de contaminación según muestra analizada y resultados obtenidos, de no contar con muestras proceder con la toma de las mismas en la zona del brote.</w:t>
      </w:r>
    </w:p>
    <w:p w14:paraId="2E2B33B5" w14:textId="77777777" w:rsidR="007F08C0" w:rsidRPr="009F5E6F" w:rsidRDefault="007F08C0" w:rsidP="007F08C0">
      <w:pPr>
        <w:pStyle w:val="Prrafodelista"/>
        <w:spacing w:after="0"/>
        <w:ind w:left="1004" w:firstLine="0"/>
        <w:jc w:val="both"/>
        <w:rPr>
          <w:rFonts w:ascii="Arial" w:hAnsi="Arial" w:cs="Arial"/>
          <w:bCs/>
          <w:color w:val="000000" w:themeColor="text1"/>
          <w:sz w:val="24"/>
          <w:szCs w:val="24"/>
        </w:rPr>
      </w:pPr>
    </w:p>
    <w:p w14:paraId="14E83235" w14:textId="4F8ED8E7" w:rsidR="00F90E7B" w:rsidRDefault="00F90E7B" w:rsidP="00F90E7B">
      <w:pPr>
        <w:pStyle w:val="Ttulo2"/>
        <w:spacing w:before="0"/>
        <w:ind w:left="709" w:hanging="425"/>
        <w:jc w:val="both"/>
        <w:rPr>
          <w:rFonts w:cs="Arial"/>
          <w:b w:val="0"/>
          <w:bCs w:val="0"/>
          <w:color w:val="000000" w:themeColor="text1"/>
          <w:szCs w:val="24"/>
        </w:rPr>
      </w:pPr>
      <w:bookmarkStart w:id="13" w:name="_Toc75883031"/>
      <w:r>
        <w:rPr>
          <w:rFonts w:cs="Arial"/>
          <w:color w:val="000000" w:themeColor="text1"/>
          <w:szCs w:val="24"/>
        </w:rPr>
        <w:t xml:space="preserve">3.3 </w:t>
      </w:r>
      <w:r w:rsidRPr="00EE006D">
        <w:rPr>
          <w:rFonts w:cs="Arial"/>
          <w:color w:val="000000" w:themeColor="text1"/>
          <w:szCs w:val="24"/>
        </w:rPr>
        <w:t xml:space="preserve">Manejo de brote de intoxicación </w:t>
      </w:r>
      <w:r w:rsidR="007358A0">
        <w:rPr>
          <w:rFonts w:cs="Arial"/>
          <w:color w:val="000000" w:themeColor="text1"/>
          <w:szCs w:val="24"/>
        </w:rPr>
        <w:t>a</w:t>
      </w:r>
      <w:r w:rsidRPr="00EE006D">
        <w:rPr>
          <w:rFonts w:cs="Arial"/>
          <w:color w:val="000000" w:themeColor="text1"/>
          <w:szCs w:val="24"/>
        </w:rPr>
        <w:t xml:space="preserve">guda por mercurio para la atención de casos </w:t>
      </w:r>
      <w:r w:rsidRPr="00EE006D">
        <w:rPr>
          <w:rFonts w:cs="Arial"/>
          <w:b w:val="0"/>
          <w:bCs w:val="0"/>
          <w:color w:val="000000" w:themeColor="text1"/>
          <w:szCs w:val="24"/>
        </w:rPr>
        <w:fldChar w:fldCharType="begin"/>
      </w:r>
      <w:r w:rsidRPr="00EE006D">
        <w:rPr>
          <w:rFonts w:cs="Arial"/>
          <w:color w:val="000000" w:themeColor="text1"/>
          <w:szCs w:val="24"/>
        </w:rPr>
        <w:instrText xml:space="preserve"> ADDIN ZOTERO_ITEM CSL_CITATION {"citationID":"M0qtmDD8","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EE006D">
        <w:rPr>
          <w:rFonts w:cs="Arial"/>
          <w:b w:val="0"/>
          <w:bCs w:val="0"/>
          <w:color w:val="000000" w:themeColor="text1"/>
          <w:szCs w:val="24"/>
        </w:rPr>
        <w:fldChar w:fldCharType="separate"/>
      </w:r>
      <w:r w:rsidRPr="00EE006D">
        <w:rPr>
          <w:rFonts w:cs="Arial"/>
          <w:color w:val="000000" w:themeColor="text1"/>
          <w:szCs w:val="24"/>
        </w:rPr>
        <w:t>(5)</w:t>
      </w:r>
      <w:bookmarkEnd w:id="13"/>
      <w:r w:rsidRPr="00EE006D">
        <w:rPr>
          <w:rFonts w:cs="Arial"/>
          <w:b w:val="0"/>
          <w:bCs w:val="0"/>
          <w:color w:val="000000" w:themeColor="text1"/>
          <w:szCs w:val="24"/>
        </w:rPr>
        <w:fldChar w:fldCharType="end"/>
      </w:r>
    </w:p>
    <w:p w14:paraId="59909A66" w14:textId="77777777" w:rsidR="00F90E7B" w:rsidRPr="00F90E7B" w:rsidRDefault="00F90E7B" w:rsidP="00F90E7B">
      <w:pPr>
        <w:spacing w:after="0"/>
      </w:pPr>
    </w:p>
    <w:p w14:paraId="5AF03E9B" w14:textId="77777777" w:rsidR="00F90E7B" w:rsidRDefault="00F90E7B" w:rsidP="00F90E7B">
      <w:pPr>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 xml:space="preserve">Una vez recibida la notificación o información del brote o del riesgo detectado, la autoridad en salud procederá a estudiar y planificar el manejo del brote, la identificación del riesgo, la ubicación geográfica, magnitud de población afectada, comunicación con EPS e IPS que realizan o que deben prepararse para la atención de los casos, estudio y revisión de acceso a la zona, logística requerida para la atención adecuada y la comunicación con los organismos y entidades responsables de otros sectores para su posible intervención. </w:t>
      </w:r>
    </w:p>
    <w:p w14:paraId="30C94ADA" w14:textId="457510A3" w:rsidR="00F90E7B" w:rsidRDefault="00F90E7B" w:rsidP="00B37173">
      <w:pPr>
        <w:spacing w:after="0"/>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La intoxicación crónica será manejada con estudios poblacionales y otro tipo de estudios de seguimiento para su evaluación y control.</w:t>
      </w:r>
    </w:p>
    <w:p w14:paraId="370C1D80" w14:textId="6B6F2167" w:rsidR="00B37173" w:rsidRDefault="00B37173" w:rsidP="00B37173">
      <w:pPr>
        <w:spacing w:after="0"/>
        <w:ind w:left="284"/>
        <w:jc w:val="both"/>
        <w:rPr>
          <w:rFonts w:ascii="Arial" w:hAnsi="Arial" w:cs="Arial"/>
          <w:bCs/>
          <w:color w:val="000000" w:themeColor="text1"/>
          <w:sz w:val="24"/>
          <w:szCs w:val="24"/>
        </w:rPr>
      </w:pPr>
    </w:p>
    <w:p w14:paraId="21615F6F" w14:textId="77777777" w:rsidR="00E7243E" w:rsidRPr="00F90E7B" w:rsidRDefault="00E7243E" w:rsidP="00B37173">
      <w:pPr>
        <w:spacing w:after="0"/>
        <w:ind w:left="284"/>
        <w:jc w:val="both"/>
        <w:rPr>
          <w:rFonts w:ascii="Arial" w:hAnsi="Arial" w:cs="Arial"/>
          <w:bCs/>
          <w:color w:val="000000" w:themeColor="text1"/>
          <w:sz w:val="24"/>
          <w:szCs w:val="24"/>
        </w:rPr>
      </w:pPr>
    </w:p>
    <w:p w14:paraId="7FBF2182" w14:textId="1753C11D" w:rsidR="00F90E7B" w:rsidRDefault="00F90E7B" w:rsidP="00F90E7B">
      <w:pPr>
        <w:pStyle w:val="Ttulo2"/>
        <w:spacing w:before="0"/>
        <w:ind w:left="709" w:hanging="425"/>
        <w:jc w:val="both"/>
        <w:rPr>
          <w:rFonts w:cs="Arial"/>
          <w:b w:val="0"/>
          <w:bCs w:val="0"/>
          <w:color w:val="000000" w:themeColor="text1"/>
          <w:szCs w:val="24"/>
        </w:rPr>
      </w:pPr>
      <w:bookmarkStart w:id="14" w:name="_Toc75883032"/>
      <w:r>
        <w:rPr>
          <w:rFonts w:cs="Arial"/>
          <w:color w:val="000000" w:themeColor="text1"/>
          <w:szCs w:val="24"/>
        </w:rPr>
        <w:lastRenderedPageBreak/>
        <w:t xml:space="preserve">3.4 </w:t>
      </w:r>
      <w:r w:rsidRPr="00EE006D">
        <w:rPr>
          <w:rFonts w:cs="Arial"/>
          <w:color w:val="000000" w:themeColor="text1"/>
          <w:szCs w:val="24"/>
        </w:rPr>
        <w:t>Diez pasos para realizar la investigación de brote (6)</w:t>
      </w:r>
      <w:bookmarkEnd w:id="14"/>
    </w:p>
    <w:p w14:paraId="3E2FDA5D" w14:textId="77777777" w:rsidR="00226DA8" w:rsidRDefault="00226DA8" w:rsidP="000577F3">
      <w:pPr>
        <w:pBdr>
          <w:top w:val="nil"/>
          <w:left w:val="nil"/>
          <w:bottom w:val="nil"/>
          <w:right w:val="nil"/>
          <w:between w:val="nil"/>
        </w:pBdr>
        <w:spacing w:after="0" w:line="240" w:lineRule="auto"/>
        <w:ind w:left="284"/>
        <w:jc w:val="both"/>
        <w:rPr>
          <w:rFonts w:ascii="Arial" w:hAnsi="Arial" w:cs="Arial"/>
          <w:sz w:val="24"/>
          <w:szCs w:val="24"/>
        </w:rPr>
      </w:pPr>
    </w:p>
    <w:p w14:paraId="39E89E5F" w14:textId="171D87A5" w:rsidR="00B37173" w:rsidRDefault="00B37173" w:rsidP="00B37173">
      <w:pPr>
        <w:ind w:left="284"/>
        <w:jc w:val="both"/>
        <w:rPr>
          <w:rFonts w:ascii="Arial" w:hAnsi="Arial" w:cs="Arial"/>
          <w:bCs/>
          <w:color w:val="000000" w:themeColor="text1"/>
          <w:sz w:val="24"/>
          <w:szCs w:val="24"/>
        </w:rPr>
      </w:pPr>
      <w:r w:rsidRPr="00EE006D">
        <w:rPr>
          <w:rFonts w:ascii="Arial" w:hAnsi="Arial" w:cs="Arial"/>
          <w:bCs/>
          <w:color w:val="000000" w:themeColor="text1"/>
          <w:sz w:val="24"/>
          <w:szCs w:val="24"/>
        </w:rPr>
        <w:t>Los pasos a seguir para la investigación de brotes de acuerdo a los principios de epidemiología basados en el curso 3030G - CDC, se anotan a continuación:</w:t>
      </w:r>
    </w:p>
    <w:p w14:paraId="20DCDA6D" w14:textId="77777777" w:rsidR="00B37173"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 xml:space="preserve">1. </w:t>
      </w:r>
      <w:r w:rsidRPr="00EE006D">
        <w:rPr>
          <w:rFonts w:ascii="Arial" w:hAnsi="Arial" w:cs="Arial"/>
          <w:bCs/>
          <w:color w:val="000000" w:themeColor="text1"/>
          <w:sz w:val="24"/>
          <w:szCs w:val="24"/>
        </w:rPr>
        <w:t>Preparar el trabajo de campo.</w:t>
      </w:r>
    </w:p>
    <w:p w14:paraId="53B44F9A" w14:textId="77777777" w:rsidR="00B37173"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 xml:space="preserve">2. </w:t>
      </w:r>
      <w:r w:rsidRPr="00EE006D">
        <w:rPr>
          <w:rFonts w:ascii="Arial" w:hAnsi="Arial" w:cs="Arial"/>
          <w:bCs/>
          <w:color w:val="000000" w:themeColor="text1"/>
          <w:sz w:val="24"/>
          <w:szCs w:val="24"/>
        </w:rPr>
        <w:t>Establecer la existencia del brote.</w:t>
      </w:r>
    </w:p>
    <w:p w14:paraId="475EB624" w14:textId="77777777" w:rsidR="00B37173"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3.</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 xml:space="preserve">Verificar el diagnóstico. </w:t>
      </w:r>
    </w:p>
    <w:p w14:paraId="177E4BD6" w14:textId="77777777" w:rsidR="00B37173" w:rsidRPr="00EE006D"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4.</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 xml:space="preserve">Definir e identificar los casos: </w:t>
      </w:r>
    </w:p>
    <w:p w14:paraId="63301287" w14:textId="77777777" w:rsidR="00B37173" w:rsidRPr="00EE006D" w:rsidRDefault="00B37173" w:rsidP="00B37173">
      <w:pPr>
        <w:numPr>
          <w:ilvl w:val="0"/>
          <w:numId w:val="14"/>
        </w:numPr>
        <w:spacing w:after="0" w:line="276" w:lineRule="auto"/>
        <w:rPr>
          <w:rFonts w:ascii="Arial" w:hAnsi="Arial" w:cs="Arial"/>
          <w:bCs/>
          <w:color w:val="000000" w:themeColor="text1"/>
          <w:sz w:val="24"/>
          <w:szCs w:val="24"/>
        </w:rPr>
      </w:pPr>
      <w:r w:rsidRPr="00EE006D">
        <w:rPr>
          <w:rFonts w:ascii="Arial" w:hAnsi="Arial" w:cs="Arial"/>
          <w:bCs/>
          <w:color w:val="000000" w:themeColor="text1"/>
          <w:sz w:val="24"/>
          <w:szCs w:val="24"/>
        </w:rPr>
        <w:t>Establecer la definición de casos.</w:t>
      </w:r>
    </w:p>
    <w:p w14:paraId="4643B150" w14:textId="77777777" w:rsidR="00B37173" w:rsidRPr="00EE006D" w:rsidRDefault="00B37173" w:rsidP="00B37173">
      <w:pPr>
        <w:numPr>
          <w:ilvl w:val="0"/>
          <w:numId w:val="14"/>
        </w:numPr>
        <w:spacing w:after="200" w:line="276" w:lineRule="auto"/>
        <w:rPr>
          <w:rFonts w:ascii="Arial" w:hAnsi="Arial" w:cs="Arial"/>
          <w:bCs/>
          <w:color w:val="000000" w:themeColor="text1"/>
          <w:sz w:val="24"/>
          <w:szCs w:val="24"/>
        </w:rPr>
      </w:pPr>
      <w:r w:rsidRPr="00EE006D">
        <w:rPr>
          <w:rFonts w:ascii="Arial" w:hAnsi="Arial" w:cs="Arial"/>
          <w:bCs/>
          <w:color w:val="000000" w:themeColor="text1"/>
          <w:sz w:val="24"/>
          <w:szCs w:val="24"/>
        </w:rPr>
        <w:t>Identificar y contar el número de casos.</w:t>
      </w:r>
    </w:p>
    <w:p w14:paraId="2DF635F6" w14:textId="77777777" w:rsidR="00B37173" w:rsidRDefault="00B37173" w:rsidP="00B37173">
      <w:pPr>
        <w:spacing w:after="200" w:line="276" w:lineRule="auto"/>
        <w:ind w:left="720"/>
        <w:rPr>
          <w:rFonts w:ascii="Arial" w:hAnsi="Arial" w:cs="Arial"/>
          <w:bCs/>
          <w:color w:val="000000" w:themeColor="text1"/>
          <w:sz w:val="24"/>
          <w:szCs w:val="24"/>
        </w:rPr>
      </w:pPr>
      <w:r w:rsidRPr="009F5E6F">
        <w:rPr>
          <w:rFonts w:ascii="Arial" w:hAnsi="Arial" w:cs="Arial"/>
          <w:b/>
          <w:color w:val="000000" w:themeColor="text1"/>
          <w:sz w:val="24"/>
          <w:szCs w:val="24"/>
        </w:rPr>
        <w:t>5.</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Descripción epidemiológica del brote.</w:t>
      </w:r>
    </w:p>
    <w:p w14:paraId="5980E76C" w14:textId="77777777" w:rsidR="00B37173" w:rsidRDefault="00B37173" w:rsidP="00B37173">
      <w:pPr>
        <w:spacing w:after="200" w:line="276" w:lineRule="auto"/>
        <w:ind w:left="720"/>
        <w:rPr>
          <w:rFonts w:ascii="Arial" w:hAnsi="Arial" w:cs="Arial"/>
          <w:bCs/>
          <w:color w:val="000000" w:themeColor="text1"/>
          <w:sz w:val="24"/>
          <w:szCs w:val="24"/>
        </w:rPr>
      </w:pPr>
      <w:r w:rsidRPr="009F5E6F">
        <w:rPr>
          <w:rFonts w:ascii="Arial" w:hAnsi="Arial" w:cs="Arial"/>
          <w:b/>
          <w:color w:val="000000" w:themeColor="text1"/>
          <w:sz w:val="24"/>
          <w:szCs w:val="24"/>
        </w:rPr>
        <w:t>6.</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Plantear hipótesis.</w:t>
      </w:r>
    </w:p>
    <w:p w14:paraId="413AF7E5" w14:textId="77777777" w:rsidR="00B37173"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7.</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Confirmar las hipótesis planteadas.</w:t>
      </w:r>
    </w:p>
    <w:p w14:paraId="0E44E7FB" w14:textId="77777777" w:rsidR="00B37173"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8.</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Si es necesario, reconsiderar y mejorar las hipótesis.</w:t>
      </w:r>
    </w:p>
    <w:p w14:paraId="04844F38" w14:textId="77777777" w:rsidR="00B37173" w:rsidRDefault="00B37173" w:rsidP="00B37173">
      <w:pPr>
        <w:spacing w:after="200" w:line="276" w:lineRule="auto"/>
        <w:ind w:left="720"/>
        <w:rPr>
          <w:rFonts w:ascii="Arial" w:hAnsi="Arial" w:cs="Arial"/>
          <w:bCs/>
          <w:color w:val="000000" w:themeColor="text1"/>
          <w:sz w:val="24"/>
          <w:szCs w:val="24"/>
        </w:rPr>
      </w:pPr>
      <w:r>
        <w:rPr>
          <w:rFonts w:ascii="Arial" w:hAnsi="Arial" w:cs="Arial"/>
          <w:b/>
          <w:color w:val="000000" w:themeColor="text1"/>
          <w:sz w:val="24"/>
          <w:szCs w:val="24"/>
        </w:rPr>
        <w:t>9.</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Desarrollar las medidas de prevención y control del caso.</w:t>
      </w:r>
    </w:p>
    <w:p w14:paraId="62E9878D" w14:textId="62DFD24F" w:rsidR="00B37173" w:rsidRPr="00EE006D" w:rsidRDefault="00B37173" w:rsidP="00B37173">
      <w:pPr>
        <w:ind w:left="709"/>
        <w:jc w:val="both"/>
        <w:rPr>
          <w:rFonts w:ascii="Arial" w:hAnsi="Arial" w:cs="Arial"/>
          <w:bCs/>
          <w:color w:val="000000" w:themeColor="text1"/>
          <w:sz w:val="24"/>
          <w:szCs w:val="24"/>
        </w:rPr>
      </w:pPr>
      <w:r>
        <w:rPr>
          <w:rFonts w:ascii="Arial" w:hAnsi="Arial" w:cs="Arial"/>
          <w:b/>
          <w:color w:val="000000" w:themeColor="text1"/>
          <w:sz w:val="24"/>
          <w:szCs w:val="24"/>
        </w:rPr>
        <w:t>10.</w:t>
      </w:r>
      <w:r>
        <w:rPr>
          <w:rFonts w:ascii="Arial" w:hAnsi="Arial" w:cs="Arial"/>
          <w:bCs/>
          <w:color w:val="000000" w:themeColor="text1"/>
          <w:sz w:val="24"/>
          <w:szCs w:val="24"/>
        </w:rPr>
        <w:t xml:space="preserve"> </w:t>
      </w:r>
      <w:r w:rsidRPr="00EE006D">
        <w:rPr>
          <w:rFonts w:ascii="Arial" w:hAnsi="Arial" w:cs="Arial"/>
          <w:bCs/>
          <w:color w:val="000000" w:themeColor="text1"/>
          <w:sz w:val="24"/>
          <w:szCs w:val="24"/>
        </w:rPr>
        <w:t>Comunicación de los hallazgos</w:t>
      </w:r>
      <w:r w:rsidRPr="00EE006D">
        <w:rPr>
          <w:rFonts w:ascii="Arial" w:hAnsi="Arial" w:cs="Arial"/>
          <w:bCs/>
          <w:color w:val="000000" w:themeColor="text1"/>
          <w:sz w:val="24"/>
          <w:szCs w:val="24"/>
        </w:rPr>
        <w:fldChar w:fldCharType="begin"/>
      </w:r>
      <w:r w:rsidRPr="00EE006D">
        <w:rPr>
          <w:rFonts w:ascii="Arial" w:hAnsi="Arial" w:cs="Arial"/>
          <w:bCs/>
          <w:color w:val="000000" w:themeColor="text1"/>
          <w:sz w:val="24"/>
          <w:szCs w:val="24"/>
        </w:rPr>
        <w:instrText xml:space="preserve"> ADDIN ZOTERO_ITEM CSL_CITATION {"citationID":"Vx35xNcU","properties":{"formattedCitation":"(25)","plainCitation":"(25)","dontUpdate":true},"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EE006D">
        <w:rPr>
          <w:rFonts w:ascii="Arial" w:hAnsi="Arial" w:cs="Arial"/>
          <w:bCs/>
          <w:color w:val="000000" w:themeColor="text1"/>
          <w:sz w:val="24"/>
          <w:szCs w:val="24"/>
        </w:rPr>
        <w:fldChar w:fldCharType="end"/>
      </w:r>
      <w:r w:rsidRPr="00EE006D">
        <w:rPr>
          <w:rFonts w:ascii="Arial" w:hAnsi="Arial" w:cs="Arial"/>
          <w:bCs/>
          <w:color w:val="000000" w:themeColor="text1"/>
          <w:sz w:val="24"/>
          <w:szCs w:val="24"/>
        </w:rPr>
        <w:t>.</w:t>
      </w:r>
    </w:p>
    <w:p w14:paraId="6301D361" w14:textId="6C1D7B87" w:rsidR="00B37173" w:rsidRDefault="00B37173" w:rsidP="00D103C6">
      <w:pPr>
        <w:spacing w:after="0" w:line="276" w:lineRule="auto"/>
        <w:ind w:left="720"/>
        <w:rPr>
          <w:rFonts w:ascii="Arial" w:hAnsi="Arial" w:cs="Arial"/>
          <w:color w:val="000000" w:themeColor="text1"/>
          <w:sz w:val="24"/>
          <w:szCs w:val="24"/>
        </w:rPr>
      </w:pPr>
      <w:r w:rsidRPr="00EE006D">
        <w:rPr>
          <w:rFonts w:ascii="Arial" w:hAnsi="Arial" w:cs="Arial"/>
          <w:color w:val="000000" w:themeColor="text1"/>
          <w:sz w:val="24"/>
          <w:szCs w:val="24"/>
        </w:rPr>
        <w:t xml:space="preserve">Para ampliar el tema de alertas por exposición a Hg y brotes, consulte por favor la </w:t>
      </w:r>
      <w:r w:rsidRPr="00EE006D">
        <w:rPr>
          <w:rFonts w:ascii="Arial" w:hAnsi="Arial" w:cs="Arial"/>
          <w:color w:val="FF0000"/>
          <w:sz w:val="24"/>
          <w:szCs w:val="24"/>
        </w:rPr>
        <w:t xml:space="preserve">lectura 5 </w:t>
      </w:r>
      <w:r w:rsidRPr="00EE006D">
        <w:rPr>
          <w:rFonts w:ascii="Arial" w:hAnsi="Arial" w:cs="Arial"/>
          <w:color w:val="000000" w:themeColor="text1"/>
          <w:sz w:val="24"/>
          <w:szCs w:val="24"/>
        </w:rPr>
        <w:t>suministrada en el material complementario.</w:t>
      </w:r>
    </w:p>
    <w:p w14:paraId="77C78321" w14:textId="7857754F" w:rsidR="000577F3" w:rsidRPr="000577F3" w:rsidRDefault="00D103C6" w:rsidP="00E7243E">
      <w:pPr>
        <w:pStyle w:val="Ttulo1"/>
        <w:rPr>
          <w:rFonts w:eastAsia="Calibri"/>
        </w:rPr>
      </w:pPr>
      <w:bookmarkStart w:id="15" w:name="_Toc75883033"/>
      <w:r w:rsidRPr="00EE006D">
        <w:t>L</w:t>
      </w:r>
      <w:r>
        <w:t>actancia materna y exposición a mercurio.</w:t>
      </w:r>
      <w:bookmarkEnd w:id="15"/>
    </w:p>
    <w:p w14:paraId="3BFE8D3D" w14:textId="77777777" w:rsidR="000577F3" w:rsidRPr="000577F3" w:rsidRDefault="000577F3" w:rsidP="000577F3">
      <w:pPr>
        <w:pBdr>
          <w:top w:val="nil"/>
          <w:left w:val="nil"/>
          <w:bottom w:val="nil"/>
          <w:right w:val="nil"/>
          <w:between w:val="nil"/>
        </w:pBdr>
        <w:spacing w:after="0" w:line="240" w:lineRule="auto"/>
        <w:ind w:left="284"/>
        <w:jc w:val="both"/>
        <w:rPr>
          <w:rFonts w:ascii="Arial" w:hAnsi="Arial" w:cs="Arial"/>
          <w:sz w:val="24"/>
          <w:szCs w:val="24"/>
        </w:rPr>
      </w:pPr>
    </w:p>
    <w:p w14:paraId="642F5D8A" w14:textId="1C388ECA" w:rsidR="00E8215A" w:rsidRPr="00E8215A" w:rsidRDefault="00E8215A" w:rsidP="00D103C6">
      <w:pPr>
        <w:widowControl w:val="0"/>
        <w:autoSpaceDE w:val="0"/>
        <w:autoSpaceDN w:val="0"/>
        <w:adjustRightInd w:val="0"/>
        <w:ind w:left="284" w:right="80"/>
        <w:jc w:val="both"/>
        <w:rPr>
          <w:rFonts w:ascii="Arial" w:hAnsi="Arial" w:cs="Arial"/>
          <w:color w:val="000000"/>
          <w:sz w:val="24"/>
          <w:szCs w:val="24"/>
        </w:rPr>
      </w:pPr>
      <w:r w:rsidRPr="00E8215A">
        <w:rPr>
          <w:rFonts w:ascii="Arial" w:hAnsi="Arial" w:cs="Arial"/>
          <w:color w:val="000000"/>
          <w:sz w:val="24"/>
          <w:szCs w:val="24"/>
        </w:rPr>
        <w:t xml:space="preserve">La leche materna contiene factores de protección que contrarrestan los efectos causados por la exposición a contaminantes ambientales en la etapa prenatal; pero cuando las madres se encuentran sometidas por su vivienda a alta contaminación ambiental por Hg, se corrobora la transferencia del mismo a la leche </w:t>
      </w:r>
      <w:r w:rsidR="009650CB" w:rsidRPr="00E8215A">
        <w:rPr>
          <w:rFonts w:ascii="Arial" w:hAnsi="Arial" w:cs="Arial"/>
          <w:color w:val="000000"/>
          <w:sz w:val="24"/>
          <w:szCs w:val="24"/>
        </w:rPr>
        <w:t>materna,</w:t>
      </w:r>
      <w:r w:rsidRPr="00E8215A">
        <w:rPr>
          <w:rFonts w:ascii="Arial" w:hAnsi="Arial" w:cs="Arial"/>
          <w:color w:val="000000"/>
          <w:sz w:val="24"/>
          <w:szCs w:val="24"/>
        </w:rPr>
        <w:t xml:space="preserve"> aunque no trabajen con el mismo directamente (7).</w:t>
      </w:r>
    </w:p>
    <w:p w14:paraId="7D29C0A9" w14:textId="6A7A3C6F" w:rsidR="00E8215A" w:rsidRPr="00E8215A" w:rsidRDefault="00E8215A" w:rsidP="00E7481C">
      <w:pPr>
        <w:spacing w:after="0"/>
        <w:ind w:left="284"/>
        <w:jc w:val="both"/>
        <w:rPr>
          <w:rFonts w:ascii="Arial" w:eastAsia="Times New Roman" w:hAnsi="Arial" w:cs="Arial"/>
          <w:color w:val="000000"/>
          <w:sz w:val="24"/>
          <w:szCs w:val="24"/>
          <w:lang w:eastAsia="es-CO"/>
        </w:rPr>
      </w:pPr>
      <w:r w:rsidRPr="00E8215A">
        <w:rPr>
          <w:rFonts w:ascii="Arial" w:eastAsia="Times New Roman" w:hAnsi="Arial" w:cs="Arial"/>
          <w:color w:val="000000"/>
          <w:sz w:val="24"/>
          <w:szCs w:val="24"/>
          <w:lang w:eastAsia="es-CO"/>
        </w:rPr>
        <w:t>En el estudio "Modelo de Transferencia de Mercurio en Leche Materna a Mujeres Lactantes residentes en áreas de explotación de oro con alta contaminación ambiental" se evidenció que de una muestra de 150 binomios</w:t>
      </w:r>
      <w:r>
        <w:rPr>
          <w:rFonts w:ascii="Arial" w:eastAsia="Times New Roman" w:hAnsi="Arial" w:cs="Arial"/>
          <w:color w:val="000000"/>
          <w:sz w:val="24"/>
          <w:szCs w:val="24"/>
          <w:lang w:eastAsia="es-CO"/>
        </w:rPr>
        <w:t>,</w:t>
      </w:r>
      <w:r w:rsidRPr="00E8215A">
        <w:rPr>
          <w:rFonts w:ascii="Arial" w:eastAsia="Times New Roman" w:hAnsi="Arial" w:cs="Arial"/>
          <w:color w:val="000000"/>
          <w:sz w:val="24"/>
          <w:szCs w:val="24"/>
          <w:lang w:eastAsia="es-CO"/>
        </w:rPr>
        <w:t xml:space="preserve"> madre-hijo</w:t>
      </w:r>
      <w:r>
        <w:rPr>
          <w:rFonts w:ascii="Arial" w:eastAsia="Times New Roman" w:hAnsi="Arial" w:cs="Arial"/>
          <w:color w:val="000000"/>
          <w:sz w:val="24"/>
          <w:szCs w:val="24"/>
          <w:lang w:eastAsia="es-CO"/>
        </w:rPr>
        <w:t>,</w:t>
      </w:r>
      <w:r w:rsidRPr="00E8215A">
        <w:rPr>
          <w:rFonts w:ascii="Arial" w:eastAsia="Times New Roman" w:hAnsi="Arial" w:cs="Arial"/>
          <w:color w:val="000000"/>
          <w:sz w:val="24"/>
          <w:szCs w:val="24"/>
          <w:lang w:eastAsia="es-CO"/>
        </w:rPr>
        <w:t xml:space="preserve"> el 11,7% tenían niveles altos de Hg en la leche y que los factores de riesgo asociados con esa transferencia tenían que ver con vivir cerca de compras de oro y quema de amalgama de Hg dentro del hogar indicando una liberación importante de vapores del mismo y niveles altos de ellos en el </w:t>
      </w:r>
      <w:r w:rsidRPr="00E8215A">
        <w:rPr>
          <w:rFonts w:ascii="Arial" w:eastAsia="Times New Roman" w:hAnsi="Arial" w:cs="Arial"/>
          <w:color w:val="000000"/>
          <w:sz w:val="24"/>
          <w:szCs w:val="24"/>
          <w:lang w:eastAsia="es-CO"/>
        </w:rPr>
        <w:lastRenderedPageBreak/>
        <w:t>cabello de las maternas con un 50% de menores nacidos con niveles altos de este mineral (8).</w:t>
      </w:r>
    </w:p>
    <w:p w14:paraId="60BB91BD" w14:textId="77777777" w:rsidR="00E8215A" w:rsidRPr="00E8215A" w:rsidRDefault="00E8215A" w:rsidP="00E7481C">
      <w:pPr>
        <w:spacing w:after="0" w:line="240" w:lineRule="auto"/>
        <w:ind w:left="100" w:right="123"/>
        <w:jc w:val="both"/>
        <w:rPr>
          <w:rFonts w:ascii="Times New Roman" w:eastAsia="Times New Roman" w:hAnsi="Times New Roman" w:cs="Times New Roman"/>
          <w:sz w:val="24"/>
          <w:szCs w:val="24"/>
          <w:lang w:eastAsia="es-CO"/>
        </w:rPr>
      </w:pPr>
    </w:p>
    <w:p w14:paraId="6F63A74F" w14:textId="18F46BFC" w:rsidR="000577F3" w:rsidRDefault="00D103C6" w:rsidP="007055A3">
      <w:pPr>
        <w:pBdr>
          <w:top w:val="nil"/>
          <w:left w:val="nil"/>
          <w:bottom w:val="nil"/>
          <w:right w:val="nil"/>
          <w:between w:val="nil"/>
        </w:pBdr>
        <w:ind w:left="284"/>
        <w:jc w:val="both"/>
        <w:rPr>
          <w:rFonts w:ascii="Arial" w:hAnsi="Arial" w:cs="Arial"/>
          <w:color w:val="000000" w:themeColor="text1"/>
          <w:sz w:val="24"/>
          <w:szCs w:val="24"/>
        </w:rPr>
      </w:pPr>
      <w:r w:rsidRPr="00EE006D">
        <w:rPr>
          <w:rFonts w:ascii="Arial" w:hAnsi="Arial" w:cs="Arial"/>
          <w:color w:val="000000" w:themeColor="text1"/>
          <w:sz w:val="24"/>
          <w:szCs w:val="24"/>
        </w:rPr>
        <w:t xml:space="preserve">El </w:t>
      </w:r>
      <w:r w:rsidR="007F08C0">
        <w:rPr>
          <w:rFonts w:ascii="Arial" w:hAnsi="Arial" w:cs="Arial"/>
          <w:color w:val="000000" w:themeColor="text1"/>
          <w:sz w:val="24"/>
          <w:szCs w:val="24"/>
        </w:rPr>
        <w:t>mercurio</w:t>
      </w:r>
      <w:r w:rsidRPr="00EE006D">
        <w:rPr>
          <w:rFonts w:ascii="Arial" w:hAnsi="Arial" w:cs="Arial"/>
          <w:color w:val="000000" w:themeColor="text1"/>
          <w:sz w:val="24"/>
          <w:szCs w:val="24"/>
        </w:rPr>
        <w:t xml:space="preserve"> evaporado viaja al aire, se precipita en forma de lluvia, cae en forma de agua en lagunas, mareas, océanos, lagos y, una vez transformado en forma de microorganismos, se acumula en los peces y alimentos tales como arroz, maíz, verduras, entre otros. Los niños y las madres lactantes se están exponiendo a dos clases de Hg: metálico que se mide en la orina y orgánico o </w:t>
      </w:r>
      <w:r>
        <w:rPr>
          <w:rFonts w:ascii="Arial" w:hAnsi="Arial" w:cs="Arial"/>
          <w:color w:val="000000" w:themeColor="text1"/>
          <w:sz w:val="24"/>
          <w:szCs w:val="24"/>
        </w:rPr>
        <w:t>M</w:t>
      </w:r>
      <w:r w:rsidRPr="00EE006D">
        <w:rPr>
          <w:rFonts w:ascii="Arial" w:hAnsi="Arial" w:cs="Arial"/>
          <w:color w:val="000000" w:themeColor="text1"/>
          <w:sz w:val="24"/>
          <w:szCs w:val="24"/>
        </w:rPr>
        <w:t xml:space="preserve">eHg que pasa a la leche materna y se transfiere a los niños </w:t>
      </w:r>
      <w:r w:rsidRPr="00EE006D">
        <w:rPr>
          <w:rFonts w:ascii="Arial" w:hAnsi="Arial" w:cs="Arial"/>
          <w:color w:val="000000" w:themeColor="text1"/>
          <w:sz w:val="24"/>
          <w:szCs w:val="24"/>
        </w:rPr>
        <w:fldChar w:fldCharType="begin"/>
      </w:r>
      <w:r w:rsidRPr="00EE006D">
        <w:rPr>
          <w:rFonts w:ascii="Arial" w:hAnsi="Arial" w:cs="Arial"/>
          <w:color w:val="000000" w:themeColor="text1"/>
          <w:sz w:val="24"/>
          <w:szCs w:val="24"/>
        </w:rPr>
        <w:instrText xml:space="preserve"> ADDIN ZOTERO_ITEM CSL_CITATION {"citationID":"4GuYZ4FV","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EE006D">
        <w:rPr>
          <w:rFonts w:ascii="Arial" w:hAnsi="Arial" w:cs="Arial"/>
          <w:color w:val="000000" w:themeColor="text1"/>
          <w:sz w:val="24"/>
          <w:szCs w:val="24"/>
        </w:rPr>
        <w:fldChar w:fldCharType="separate"/>
      </w:r>
      <w:r w:rsidRPr="00EE006D">
        <w:rPr>
          <w:rFonts w:ascii="Arial" w:hAnsi="Arial" w:cs="Arial"/>
          <w:color w:val="000000" w:themeColor="text1"/>
          <w:sz w:val="24"/>
          <w:szCs w:val="24"/>
        </w:rPr>
        <w:t>(8)</w:t>
      </w:r>
      <w:r w:rsidRPr="00EE006D">
        <w:rPr>
          <w:rFonts w:ascii="Arial" w:hAnsi="Arial" w:cs="Arial"/>
          <w:color w:val="000000" w:themeColor="text1"/>
          <w:sz w:val="24"/>
          <w:szCs w:val="24"/>
        </w:rPr>
        <w:fldChar w:fldCharType="end"/>
      </w:r>
      <w:r w:rsidRPr="00EE006D">
        <w:rPr>
          <w:rFonts w:ascii="Arial" w:hAnsi="Arial" w:cs="Arial"/>
          <w:color w:val="000000" w:themeColor="text1"/>
          <w:sz w:val="24"/>
          <w:szCs w:val="24"/>
        </w:rPr>
        <w:t>.</w:t>
      </w:r>
    </w:p>
    <w:p w14:paraId="1AD5FFC7" w14:textId="77777777" w:rsidR="00D103C6" w:rsidRPr="00714D21" w:rsidRDefault="00D103C6" w:rsidP="00D103C6">
      <w:pPr>
        <w:jc w:val="both"/>
        <w:rPr>
          <w:rFonts w:ascii="Arial" w:eastAsia="Droid Sans Fallback" w:hAnsi="Arial" w:cs="Arial"/>
          <w:b/>
          <w:bCs/>
          <w:color w:val="000000" w:themeColor="text1"/>
          <w:kern w:val="3"/>
          <w:sz w:val="26"/>
          <w:szCs w:val="26"/>
          <w:lang w:eastAsia="zh-CN"/>
        </w:rPr>
      </w:pPr>
      <w:r w:rsidRPr="00714D21">
        <w:rPr>
          <w:rFonts w:ascii="Arial" w:eastAsia="Droid Sans Fallback" w:hAnsi="Arial" w:cs="Arial"/>
          <w:b/>
          <w:bCs/>
          <w:color w:val="000000" w:themeColor="text1"/>
          <w:kern w:val="3"/>
          <w:sz w:val="26"/>
          <w:szCs w:val="26"/>
          <w:lang w:eastAsia="zh-CN"/>
        </w:rPr>
        <w:t>Recomendaciones Específicas sobre Leche Materna (7)</w:t>
      </w:r>
    </w:p>
    <w:p w14:paraId="1EC22A6B" w14:textId="77777777" w:rsidR="00D103C6" w:rsidRDefault="00D103C6" w:rsidP="007F08C0">
      <w:pPr>
        <w:pStyle w:val="Prrafodelista"/>
        <w:numPr>
          <w:ilvl w:val="0"/>
          <w:numId w:val="15"/>
        </w:numPr>
        <w:autoSpaceDE w:val="0"/>
        <w:autoSpaceDN w:val="0"/>
        <w:adjustRightInd w:val="0"/>
        <w:ind w:left="714" w:hanging="357"/>
        <w:jc w:val="both"/>
        <w:rPr>
          <w:rFonts w:ascii="Arial" w:hAnsi="Arial" w:cs="Arial"/>
          <w:color w:val="000000" w:themeColor="text1"/>
          <w:sz w:val="24"/>
          <w:szCs w:val="24"/>
        </w:rPr>
      </w:pPr>
      <w:r w:rsidRPr="00140E9B">
        <w:rPr>
          <w:rFonts w:ascii="Arial" w:hAnsi="Arial" w:cs="Arial"/>
          <w:color w:val="000000" w:themeColor="text1"/>
          <w:sz w:val="24"/>
          <w:szCs w:val="24"/>
        </w:rPr>
        <w:t>La forma de proteger a las madres y a las niños y niñas de los riesgos derivados de la exposición a metales pesados es reduciendo y eliminado las causas de exposición al Hg especialmente durante el embarazo y la lactancia.</w:t>
      </w:r>
    </w:p>
    <w:p w14:paraId="19E21C65" w14:textId="77777777" w:rsidR="00D103C6" w:rsidRDefault="00D103C6" w:rsidP="00D103C6">
      <w:pPr>
        <w:pStyle w:val="Prrafodelista"/>
        <w:autoSpaceDE w:val="0"/>
        <w:autoSpaceDN w:val="0"/>
        <w:adjustRightInd w:val="0"/>
        <w:ind w:firstLine="0"/>
        <w:jc w:val="both"/>
        <w:rPr>
          <w:rFonts w:ascii="Arial" w:hAnsi="Arial" w:cs="Arial"/>
          <w:color w:val="000000" w:themeColor="text1"/>
          <w:sz w:val="24"/>
          <w:szCs w:val="24"/>
        </w:rPr>
      </w:pPr>
    </w:p>
    <w:p w14:paraId="12681A26" w14:textId="77777777" w:rsidR="00D103C6" w:rsidRDefault="00D103C6" w:rsidP="00D103C6">
      <w:pPr>
        <w:pStyle w:val="Prrafodelista"/>
        <w:numPr>
          <w:ilvl w:val="0"/>
          <w:numId w:val="15"/>
        </w:numPr>
        <w:autoSpaceDE w:val="0"/>
        <w:autoSpaceDN w:val="0"/>
        <w:adjustRightInd w:val="0"/>
        <w:spacing w:afterLines="180" w:after="432"/>
        <w:jc w:val="both"/>
        <w:rPr>
          <w:rFonts w:ascii="Arial" w:hAnsi="Arial" w:cs="Arial"/>
          <w:color w:val="000000" w:themeColor="text1"/>
          <w:sz w:val="24"/>
          <w:szCs w:val="24"/>
        </w:rPr>
      </w:pPr>
      <w:r w:rsidRPr="00140E9B">
        <w:rPr>
          <w:rFonts w:ascii="Arial" w:hAnsi="Arial" w:cs="Arial"/>
          <w:color w:val="000000" w:themeColor="text1"/>
          <w:sz w:val="24"/>
          <w:szCs w:val="24"/>
        </w:rPr>
        <w:t>Seguir las recomendaciones para evitar el consumo de los pescados Dormilón, Bocachico y Pintadillo, propios de la región.</w:t>
      </w:r>
    </w:p>
    <w:p w14:paraId="3EBFD3E9" w14:textId="77777777" w:rsidR="00D103C6" w:rsidRPr="00140E9B" w:rsidRDefault="00D103C6" w:rsidP="00D103C6">
      <w:pPr>
        <w:pStyle w:val="Prrafodelista"/>
        <w:rPr>
          <w:rFonts w:ascii="Arial" w:hAnsi="Arial" w:cs="Arial"/>
          <w:color w:val="000000" w:themeColor="text1"/>
          <w:sz w:val="24"/>
          <w:szCs w:val="24"/>
        </w:rPr>
      </w:pPr>
    </w:p>
    <w:p w14:paraId="60315CA5" w14:textId="77777777" w:rsidR="00D103C6" w:rsidRDefault="00D103C6" w:rsidP="00D103C6">
      <w:pPr>
        <w:pStyle w:val="Prrafodelista"/>
        <w:numPr>
          <w:ilvl w:val="0"/>
          <w:numId w:val="15"/>
        </w:numPr>
        <w:autoSpaceDE w:val="0"/>
        <w:autoSpaceDN w:val="0"/>
        <w:adjustRightInd w:val="0"/>
        <w:spacing w:afterLines="180" w:after="432" w:line="240" w:lineRule="exact"/>
        <w:ind w:left="714" w:hanging="357"/>
        <w:jc w:val="both"/>
        <w:rPr>
          <w:rFonts w:ascii="Arial" w:hAnsi="Arial" w:cs="Arial"/>
          <w:color w:val="000000" w:themeColor="text1"/>
          <w:sz w:val="24"/>
          <w:szCs w:val="24"/>
        </w:rPr>
      </w:pPr>
      <w:r w:rsidRPr="00140E9B">
        <w:rPr>
          <w:rFonts w:ascii="Arial" w:hAnsi="Arial" w:cs="Arial"/>
          <w:color w:val="000000" w:themeColor="text1"/>
          <w:sz w:val="24"/>
          <w:szCs w:val="24"/>
        </w:rPr>
        <w:t>Hacer seguimiento individual del estado nutricional de la gestante y lactante por parte de la institución de salud, para dar la atención médica adecuada.</w:t>
      </w:r>
    </w:p>
    <w:p w14:paraId="60BC1F53" w14:textId="77777777" w:rsidR="00D103C6" w:rsidRPr="00140E9B" w:rsidRDefault="00D103C6" w:rsidP="00D103C6">
      <w:pPr>
        <w:pStyle w:val="Prrafodelista"/>
        <w:rPr>
          <w:rFonts w:ascii="Arial" w:hAnsi="Arial" w:cs="Arial"/>
          <w:color w:val="000000" w:themeColor="text1"/>
          <w:sz w:val="24"/>
          <w:szCs w:val="24"/>
        </w:rPr>
      </w:pPr>
    </w:p>
    <w:p w14:paraId="2C0A96E2" w14:textId="77777777" w:rsidR="00D103C6" w:rsidRDefault="00D103C6" w:rsidP="007F08C0">
      <w:pPr>
        <w:pStyle w:val="Prrafodelista"/>
        <w:numPr>
          <w:ilvl w:val="0"/>
          <w:numId w:val="15"/>
        </w:numPr>
        <w:autoSpaceDE w:val="0"/>
        <w:autoSpaceDN w:val="0"/>
        <w:adjustRightInd w:val="0"/>
        <w:ind w:left="714" w:hanging="357"/>
        <w:jc w:val="both"/>
        <w:rPr>
          <w:rFonts w:ascii="Arial" w:hAnsi="Arial" w:cs="Arial"/>
          <w:color w:val="000000" w:themeColor="text1"/>
          <w:sz w:val="24"/>
          <w:szCs w:val="24"/>
        </w:rPr>
      </w:pPr>
      <w:r w:rsidRPr="00140E9B">
        <w:rPr>
          <w:rFonts w:ascii="Arial" w:hAnsi="Arial" w:cs="Arial"/>
          <w:color w:val="000000" w:themeColor="text1"/>
          <w:sz w:val="24"/>
          <w:szCs w:val="24"/>
        </w:rPr>
        <w:t>Tener en cuenta la conclusión de la Sociedad Española de Pediatría frente la relación de lactancia y Hg es: “La leche materna es el alimento más sano y menos contaminado del planeta en términos de seguridad alimentaria para la infancia. Los beneficios de la lactancia materna superan claramente cualquier riesgo para la salud asociado a los contaminantes químicos presentes en la leche materna”.</w:t>
      </w:r>
    </w:p>
    <w:p w14:paraId="2D4B2CE0" w14:textId="77777777" w:rsidR="00D103C6" w:rsidRPr="00140E9B" w:rsidRDefault="00D103C6" w:rsidP="00D103C6">
      <w:pPr>
        <w:pStyle w:val="Prrafodelista"/>
        <w:rPr>
          <w:rFonts w:ascii="Arial" w:hAnsi="Arial" w:cs="Arial"/>
          <w:color w:val="000000" w:themeColor="text1"/>
          <w:sz w:val="24"/>
          <w:szCs w:val="24"/>
        </w:rPr>
      </w:pPr>
    </w:p>
    <w:p w14:paraId="38055FDF" w14:textId="77777777" w:rsidR="00D103C6" w:rsidRDefault="00D103C6" w:rsidP="007F08C0">
      <w:pPr>
        <w:pStyle w:val="Prrafodelista"/>
        <w:numPr>
          <w:ilvl w:val="0"/>
          <w:numId w:val="15"/>
        </w:numPr>
        <w:autoSpaceDE w:val="0"/>
        <w:autoSpaceDN w:val="0"/>
        <w:adjustRightInd w:val="0"/>
        <w:spacing w:after="18"/>
        <w:ind w:left="714" w:hanging="357"/>
        <w:jc w:val="both"/>
        <w:rPr>
          <w:rFonts w:ascii="Arial" w:hAnsi="Arial" w:cs="Arial"/>
          <w:color w:val="000000" w:themeColor="text1"/>
          <w:sz w:val="24"/>
          <w:szCs w:val="24"/>
        </w:rPr>
      </w:pPr>
      <w:r w:rsidRPr="00140E9B">
        <w:rPr>
          <w:rFonts w:ascii="Arial" w:hAnsi="Arial" w:cs="Arial"/>
          <w:color w:val="000000" w:themeColor="text1"/>
          <w:sz w:val="24"/>
          <w:szCs w:val="24"/>
        </w:rPr>
        <w:t>El cambiar la leche materna a las fórmulas no garantiza una menor exposición a contaminantes ya que estudios han demostrado cargas de metales pesados en lactantes alimentados con fórmula que en los alimentados con leche materna.</w:t>
      </w:r>
    </w:p>
    <w:p w14:paraId="413BC754" w14:textId="77777777" w:rsidR="00D103C6" w:rsidRPr="00140E9B" w:rsidRDefault="00D103C6" w:rsidP="00D103C6">
      <w:pPr>
        <w:pStyle w:val="Prrafodelista"/>
        <w:rPr>
          <w:rFonts w:ascii="Arial" w:hAnsi="Arial" w:cs="Arial"/>
          <w:color w:val="000000" w:themeColor="text1"/>
          <w:sz w:val="24"/>
          <w:szCs w:val="24"/>
        </w:rPr>
      </w:pPr>
    </w:p>
    <w:p w14:paraId="2D5AA8C6" w14:textId="77777777" w:rsidR="00D103C6" w:rsidRPr="00140E9B" w:rsidRDefault="00D103C6" w:rsidP="007F08C0">
      <w:pPr>
        <w:pStyle w:val="Prrafodelista"/>
        <w:numPr>
          <w:ilvl w:val="0"/>
          <w:numId w:val="15"/>
        </w:numPr>
        <w:autoSpaceDE w:val="0"/>
        <w:autoSpaceDN w:val="0"/>
        <w:adjustRightInd w:val="0"/>
        <w:spacing w:after="18"/>
        <w:ind w:left="714" w:hanging="357"/>
        <w:jc w:val="both"/>
        <w:rPr>
          <w:rFonts w:ascii="Arial" w:hAnsi="Arial" w:cs="Arial"/>
          <w:color w:val="000000" w:themeColor="text1"/>
          <w:sz w:val="24"/>
          <w:szCs w:val="24"/>
        </w:rPr>
      </w:pPr>
      <w:r w:rsidRPr="00140E9B">
        <w:rPr>
          <w:rFonts w:ascii="Arial" w:hAnsi="Arial" w:cs="Arial"/>
          <w:color w:val="000000" w:themeColor="text1"/>
          <w:sz w:val="24"/>
          <w:szCs w:val="24"/>
        </w:rPr>
        <w:t>En las acciones que se desarrollen para el seguimiento nutricional de las madres gestantes y lactantes se recomienda vincular al Instituto Colombiano de Bienestar Familiar para revisar las minutas diferenciales, con el fin de revisar los hábitos alimentarios y opciones de intercambio para cubrir los requerimientos nutricionales de la gestante.</w:t>
      </w:r>
    </w:p>
    <w:p w14:paraId="7DB2F979" w14:textId="77777777" w:rsidR="00D103C6" w:rsidRDefault="00D103C6" w:rsidP="00D103C6">
      <w:pPr>
        <w:pBdr>
          <w:top w:val="nil"/>
          <w:left w:val="nil"/>
          <w:bottom w:val="nil"/>
          <w:right w:val="nil"/>
          <w:between w:val="nil"/>
        </w:pBdr>
        <w:spacing w:after="0" w:line="240" w:lineRule="auto"/>
        <w:ind w:left="284"/>
        <w:jc w:val="both"/>
        <w:rPr>
          <w:rFonts w:ascii="Arial" w:hAnsi="Arial" w:cs="Arial"/>
          <w:color w:val="000000" w:themeColor="text1"/>
          <w:sz w:val="24"/>
          <w:szCs w:val="24"/>
        </w:rPr>
      </w:pPr>
    </w:p>
    <w:p w14:paraId="03C8EB0F" w14:textId="1A51D091" w:rsidR="000577F3" w:rsidRDefault="000577F3" w:rsidP="000577F3">
      <w:pPr>
        <w:pBdr>
          <w:top w:val="nil"/>
          <w:left w:val="nil"/>
          <w:bottom w:val="nil"/>
          <w:right w:val="nil"/>
          <w:between w:val="nil"/>
        </w:pBdr>
        <w:spacing w:after="0" w:line="240" w:lineRule="auto"/>
        <w:jc w:val="both"/>
        <w:rPr>
          <w:rFonts w:ascii="Arial" w:hAnsi="Arial" w:cs="Arial"/>
          <w:sz w:val="24"/>
          <w:szCs w:val="24"/>
        </w:rPr>
      </w:pPr>
    </w:p>
    <w:p w14:paraId="4FBB014C" w14:textId="542DAA68"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76EF43E6" w14:textId="066C9CED"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0FCCE453" w14:textId="4E1CA780"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3C52A88D" w14:textId="29AE971A"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29E79497" w14:textId="33BF779E"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535CB340" w14:textId="4F65063D"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71AD2BB2" w14:textId="0FC39689" w:rsidR="00714D21" w:rsidRDefault="00714D21" w:rsidP="000577F3">
      <w:pPr>
        <w:pBdr>
          <w:top w:val="nil"/>
          <w:left w:val="nil"/>
          <w:bottom w:val="nil"/>
          <w:right w:val="nil"/>
          <w:between w:val="nil"/>
        </w:pBdr>
        <w:spacing w:after="0" w:line="240" w:lineRule="auto"/>
        <w:jc w:val="both"/>
        <w:rPr>
          <w:rFonts w:ascii="Arial" w:hAnsi="Arial" w:cs="Arial"/>
          <w:sz w:val="24"/>
          <w:szCs w:val="24"/>
        </w:rPr>
      </w:pPr>
    </w:p>
    <w:p w14:paraId="546AD0DB" w14:textId="70B890E1" w:rsidR="00D103C6" w:rsidRDefault="00D103C6" w:rsidP="00E7243E">
      <w:pPr>
        <w:pStyle w:val="Ttulo1"/>
      </w:pPr>
      <w:bookmarkStart w:id="16" w:name="_Toc75883034"/>
      <w:r w:rsidRPr="00EE006D">
        <w:lastRenderedPageBreak/>
        <w:t>Referencias</w:t>
      </w:r>
      <w:bookmarkEnd w:id="16"/>
    </w:p>
    <w:p w14:paraId="739AEFA9" w14:textId="77777777" w:rsidR="00E7481C" w:rsidRPr="00E7481C" w:rsidRDefault="00E7481C" w:rsidP="00E7481C">
      <w:pPr>
        <w:spacing w:after="0"/>
      </w:pPr>
    </w:p>
    <w:p w14:paraId="20DB4810" w14:textId="77777777" w:rsidR="00D103C6" w:rsidRPr="00EE006D" w:rsidRDefault="00D103C6" w:rsidP="00D103C6">
      <w:pPr>
        <w:pStyle w:val="Prrafodelista"/>
        <w:numPr>
          <w:ilvl w:val="0"/>
          <w:numId w:val="16"/>
        </w:numPr>
        <w:spacing w:after="200" w:line="276" w:lineRule="auto"/>
        <w:jc w:val="both"/>
        <w:rPr>
          <w:rFonts w:ascii="Arial" w:hAnsi="Arial" w:cs="Arial"/>
          <w:color w:val="000000" w:themeColor="text1"/>
          <w:sz w:val="24"/>
          <w:szCs w:val="24"/>
        </w:rPr>
      </w:pPr>
      <w:r w:rsidRPr="00EE006D">
        <w:rPr>
          <w:rFonts w:ascii="Arial" w:eastAsia="Calibri" w:hAnsi="Arial" w:cs="Arial"/>
          <w:bCs/>
          <w:color w:val="000000" w:themeColor="text1"/>
          <w:sz w:val="24"/>
          <w:szCs w:val="24"/>
        </w:rPr>
        <w:t>Grupo de Factores de riesgo Ambiental. Protocolo de Vigilancia en Salud Pública-Intoxicaciones por sustancias químicas. Ministerio de Salud, Instituto Nacional de Salud; Bogotá - Colombia. 2016.</w:t>
      </w:r>
    </w:p>
    <w:p w14:paraId="176853E0" w14:textId="77777777" w:rsidR="00D103C6" w:rsidRPr="00EE006D" w:rsidRDefault="00D103C6" w:rsidP="00D103C6">
      <w:pPr>
        <w:pStyle w:val="Prrafodelista"/>
        <w:numPr>
          <w:ilvl w:val="0"/>
          <w:numId w:val="16"/>
        </w:numPr>
        <w:spacing w:after="200" w:line="276" w:lineRule="auto"/>
        <w:jc w:val="both"/>
        <w:rPr>
          <w:rFonts w:ascii="Arial" w:hAnsi="Arial" w:cs="Arial"/>
          <w:color w:val="000000" w:themeColor="text1"/>
          <w:sz w:val="24"/>
          <w:szCs w:val="24"/>
        </w:rPr>
      </w:pPr>
      <w:r w:rsidRPr="00EE006D">
        <w:rPr>
          <w:rFonts w:ascii="Arial" w:eastAsia="Calibri" w:hAnsi="Arial" w:cs="Arial"/>
          <w:bCs/>
          <w:color w:val="000000" w:themeColor="text1"/>
          <w:sz w:val="24"/>
          <w:szCs w:val="24"/>
        </w:rPr>
        <w:t xml:space="preserve">Congreso de Colombia. Ley 1523 de 2012 [Internet]. de abril de, 2012. Disponible en:   </w:t>
      </w:r>
      <w:hyperlink r:id="rId18" w:history="1">
        <w:r w:rsidRPr="00EE006D">
          <w:rPr>
            <w:rStyle w:val="Hipervnculo"/>
            <w:rFonts w:ascii="Arial" w:eastAsia="Calibri" w:hAnsi="Arial" w:cs="Arial"/>
            <w:bCs/>
            <w:color w:val="000000" w:themeColor="text1"/>
            <w:sz w:val="24"/>
            <w:szCs w:val="24"/>
          </w:rPr>
          <w:t>http://www.alcaldiabogota.gov.co/sisjur/normas/Norma1.jsp?i=47141</w:t>
        </w:r>
      </w:hyperlink>
    </w:p>
    <w:p w14:paraId="1866657C" w14:textId="77DDCC59" w:rsidR="00D103C6" w:rsidRPr="00EE006D" w:rsidRDefault="00D103C6" w:rsidP="00D103C6">
      <w:pPr>
        <w:pStyle w:val="Prrafodelista"/>
        <w:numPr>
          <w:ilvl w:val="0"/>
          <w:numId w:val="16"/>
        </w:numPr>
        <w:spacing w:after="200" w:line="276" w:lineRule="auto"/>
        <w:jc w:val="both"/>
        <w:rPr>
          <w:rFonts w:ascii="Arial" w:hAnsi="Arial" w:cs="Arial"/>
          <w:color w:val="000000" w:themeColor="text1"/>
          <w:sz w:val="24"/>
          <w:szCs w:val="24"/>
        </w:rPr>
      </w:pPr>
      <w:r w:rsidRPr="00EE006D">
        <w:rPr>
          <w:rFonts w:ascii="Arial" w:eastAsia="Calibri" w:hAnsi="Arial" w:cs="Arial"/>
          <w:bCs/>
          <w:color w:val="000000" w:themeColor="text1"/>
          <w:sz w:val="24"/>
          <w:szCs w:val="24"/>
        </w:rPr>
        <w:t>Dirección General de Epidemiología de México. Lineamientos para la Emisión de Alertas</w:t>
      </w:r>
      <w:r w:rsidR="009F4665">
        <w:rPr>
          <w:rFonts w:ascii="Arial" w:eastAsia="Calibri" w:hAnsi="Arial" w:cs="Arial"/>
          <w:bCs/>
          <w:color w:val="000000" w:themeColor="text1"/>
          <w:sz w:val="24"/>
          <w:szCs w:val="24"/>
        </w:rPr>
        <w:t xml:space="preserve"> </w:t>
      </w:r>
      <w:r w:rsidRPr="00EE006D">
        <w:rPr>
          <w:rFonts w:ascii="Arial" w:eastAsia="Calibri" w:hAnsi="Arial" w:cs="Arial"/>
          <w:bCs/>
          <w:color w:val="000000" w:themeColor="text1"/>
          <w:sz w:val="24"/>
          <w:szCs w:val="24"/>
        </w:rPr>
        <w:t xml:space="preserve">Epidemiológicas. [Internet]. Disponible en: </w:t>
      </w:r>
      <w:hyperlink r:id="rId19" w:history="1">
        <w:r w:rsidRPr="00EE006D">
          <w:rPr>
            <w:rStyle w:val="Hipervnculo"/>
            <w:rFonts w:ascii="Arial" w:eastAsia="Calibri" w:hAnsi="Arial" w:cs="Arial"/>
            <w:bCs/>
            <w:color w:val="000000" w:themeColor="text1"/>
            <w:sz w:val="24"/>
            <w:szCs w:val="24"/>
          </w:rPr>
          <w:t>http://187.191.75.115/gobmx/salud/documentos/manuales/01_Lineamientos_Alerta_Epidemiologi ca.pdf</w:t>
        </w:r>
      </w:hyperlink>
    </w:p>
    <w:p w14:paraId="2B5006DD" w14:textId="77777777" w:rsidR="00D103C6" w:rsidRPr="00EE006D" w:rsidRDefault="00D103C6" w:rsidP="00D103C6">
      <w:pPr>
        <w:pStyle w:val="Prrafodelista"/>
        <w:numPr>
          <w:ilvl w:val="0"/>
          <w:numId w:val="16"/>
        </w:numPr>
        <w:spacing w:after="200" w:line="276" w:lineRule="auto"/>
        <w:jc w:val="both"/>
        <w:rPr>
          <w:rFonts w:ascii="Arial" w:hAnsi="Arial" w:cs="Arial"/>
          <w:color w:val="000000" w:themeColor="text1"/>
          <w:sz w:val="24"/>
          <w:szCs w:val="24"/>
        </w:rPr>
      </w:pPr>
      <w:r w:rsidRPr="00EE006D">
        <w:rPr>
          <w:rFonts w:ascii="Arial" w:eastAsia="Calibri" w:hAnsi="Arial" w:cs="Arial"/>
          <w:bCs/>
          <w:color w:val="000000" w:themeColor="text1"/>
          <w:sz w:val="24"/>
          <w:szCs w:val="24"/>
        </w:rPr>
        <w:t>Aristizábal H. Diagnóstico clínico del paciente intoxicado. Toxicol Clínica. 2010.</w:t>
      </w:r>
    </w:p>
    <w:p w14:paraId="38240455" w14:textId="77777777" w:rsidR="00D103C6" w:rsidRPr="00EE006D" w:rsidRDefault="00D103C6" w:rsidP="00D103C6">
      <w:pPr>
        <w:pStyle w:val="Prrafodelista"/>
        <w:numPr>
          <w:ilvl w:val="0"/>
          <w:numId w:val="16"/>
        </w:numPr>
        <w:spacing w:after="200" w:line="276" w:lineRule="auto"/>
        <w:jc w:val="both"/>
        <w:rPr>
          <w:rFonts w:ascii="Arial" w:hAnsi="Arial" w:cs="Arial"/>
          <w:color w:val="000000" w:themeColor="text1"/>
          <w:sz w:val="24"/>
          <w:szCs w:val="24"/>
        </w:rPr>
      </w:pPr>
      <w:r w:rsidRPr="00EE006D">
        <w:rPr>
          <w:rFonts w:ascii="Arial" w:eastAsia="Calibri" w:hAnsi="Arial" w:cs="Arial"/>
          <w:bCs/>
          <w:color w:val="000000" w:themeColor="text1"/>
          <w:sz w:val="24"/>
          <w:szCs w:val="24"/>
        </w:rPr>
        <w:t xml:space="preserve">Instituto Nacional de Salud - República de Colombia. Curso de Métodos Básicos en Epidemiología y Vigilancia en Salud Pública - Investigación de Brotes. </w:t>
      </w:r>
      <w:r w:rsidRPr="00EE006D">
        <w:rPr>
          <w:rFonts w:ascii="Arial" w:eastAsia="Calibri" w:hAnsi="Arial" w:cs="Arial"/>
          <w:bCs/>
          <w:color w:val="000000" w:themeColor="text1"/>
          <w:sz w:val="24"/>
          <w:szCs w:val="24"/>
          <w:lang w:val="en-US"/>
        </w:rPr>
        <w:t>2015.</w:t>
      </w:r>
    </w:p>
    <w:p w14:paraId="58C7059F" w14:textId="77777777" w:rsidR="00D103C6" w:rsidRPr="00EE006D" w:rsidRDefault="00D103C6" w:rsidP="00D103C6">
      <w:pPr>
        <w:pStyle w:val="Prrafodelista"/>
        <w:numPr>
          <w:ilvl w:val="0"/>
          <w:numId w:val="16"/>
        </w:numPr>
        <w:autoSpaceDE w:val="0"/>
        <w:autoSpaceDN w:val="0"/>
        <w:adjustRightInd w:val="0"/>
        <w:spacing w:after="200" w:line="276" w:lineRule="auto"/>
        <w:jc w:val="both"/>
        <w:rPr>
          <w:rFonts w:ascii="Arial" w:eastAsia="Calibri" w:hAnsi="Arial" w:cs="Arial"/>
          <w:bCs/>
          <w:color w:val="000000" w:themeColor="text1"/>
          <w:sz w:val="24"/>
          <w:szCs w:val="24"/>
        </w:rPr>
      </w:pPr>
      <w:r w:rsidRPr="00EE006D">
        <w:rPr>
          <w:rFonts w:ascii="Arial" w:eastAsia="Calibri" w:hAnsi="Arial" w:cs="Arial"/>
          <w:bCs/>
          <w:color w:val="000000" w:themeColor="text1"/>
          <w:sz w:val="24"/>
          <w:szCs w:val="24"/>
        </w:rPr>
        <w:t>Centros para el Control y Prevención de Enfermedades (CDC). Principios de Epidemiología - Una      Introducción a la Epidemiología y a la Bioestadística Aplicadas, Oficina del Programa de Epidemiología, Práctica de la Salud Pública, Curso Autoestudio 3030G. Atlanta Gerogia, 30333, USA.</w:t>
      </w:r>
    </w:p>
    <w:p w14:paraId="662F8F4F" w14:textId="77777777" w:rsidR="00D103C6" w:rsidRPr="00EE006D" w:rsidRDefault="00D103C6" w:rsidP="00D103C6">
      <w:pPr>
        <w:pStyle w:val="Prrafodelista"/>
        <w:numPr>
          <w:ilvl w:val="0"/>
          <w:numId w:val="16"/>
        </w:numPr>
        <w:tabs>
          <w:tab w:val="left" w:pos="0"/>
        </w:tabs>
        <w:spacing w:after="200" w:line="276" w:lineRule="auto"/>
        <w:jc w:val="both"/>
        <w:rPr>
          <w:rFonts w:ascii="Arial" w:hAnsi="Arial" w:cs="Arial"/>
          <w:color w:val="000000" w:themeColor="text1"/>
          <w:sz w:val="24"/>
          <w:szCs w:val="24"/>
        </w:rPr>
      </w:pPr>
      <w:r w:rsidRPr="00EE006D">
        <w:rPr>
          <w:rFonts w:ascii="Arial" w:eastAsia="Calibri" w:hAnsi="Arial" w:cs="Arial"/>
          <w:bCs/>
          <w:color w:val="000000" w:themeColor="text1"/>
          <w:sz w:val="24"/>
          <w:szCs w:val="24"/>
        </w:rPr>
        <w:t xml:space="preserve">Ministerio de Salud y Protección Social, Instituto Nacional de Salud, Instituto de Vigilancia de   Medicamentos y Alimentos. - República de Colombia. Aspectos a tener encuenta al realizar un estudio sobre mercurio. 2015.Molina Castaño C.F. Modelo de Transferencia de Mercurio en Leche Materna a Mujeres Lactantes Residentes en Áreas de Explotación de Oro con alta Contaminación Ambiental por este Mineral. [Internet]. Disponible en: </w:t>
      </w:r>
      <w:hyperlink r:id="rId20" w:history="1">
        <w:r w:rsidRPr="00EE006D">
          <w:rPr>
            <w:rStyle w:val="Hipervnculo"/>
            <w:rFonts w:ascii="Arial" w:eastAsia="Calibri" w:hAnsi="Arial" w:cs="Arial"/>
            <w:bCs/>
            <w:color w:val="000000" w:themeColor="text1"/>
            <w:sz w:val="24"/>
            <w:szCs w:val="24"/>
          </w:rPr>
          <w:t>http://antioquia.gov.co/index.php/component/k2/item/2275-detectan-mercurio-en-mujeres-lactantes-de-zonas-mineras-antioque%C3%B1as</w:t>
        </w:r>
      </w:hyperlink>
    </w:p>
    <w:p w14:paraId="4999AEC7" w14:textId="77777777" w:rsidR="00D103C6" w:rsidRPr="00EE006D" w:rsidRDefault="00D103C6" w:rsidP="00D103C6">
      <w:pPr>
        <w:snapToGrid w:val="0"/>
        <w:spacing w:line="240" w:lineRule="exact"/>
        <w:contextualSpacing/>
        <w:jc w:val="both"/>
        <w:rPr>
          <w:rFonts w:ascii="Arial" w:hAnsi="Arial" w:cs="Arial"/>
          <w:color w:val="000000" w:themeColor="text1"/>
          <w:sz w:val="24"/>
          <w:szCs w:val="24"/>
        </w:rPr>
      </w:pPr>
    </w:p>
    <w:p w14:paraId="0DFFCC8C" w14:textId="45EA42EB" w:rsidR="00D103C6" w:rsidRDefault="00D103C6" w:rsidP="000577F3">
      <w:pPr>
        <w:pBdr>
          <w:top w:val="nil"/>
          <w:left w:val="nil"/>
          <w:bottom w:val="nil"/>
          <w:right w:val="nil"/>
          <w:between w:val="nil"/>
        </w:pBdr>
        <w:spacing w:after="0" w:line="240" w:lineRule="auto"/>
        <w:jc w:val="both"/>
        <w:rPr>
          <w:rFonts w:ascii="Arial" w:hAnsi="Arial" w:cs="Arial"/>
          <w:sz w:val="24"/>
          <w:szCs w:val="24"/>
        </w:rPr>
      </w:pPr>
    </w:p>
    <w:p w14:paraId="471612A1" w14:textId="34D57B7D"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7CEF2B72" w14:textId="7E62A7BA"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29C97964" w14:textId="3142BDAE"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68739992" w14:textId="35D75C51"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21FD66F2" w14:textId="11630B63"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1FB894A8" w14:textId="072BB3A5"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329786C7" w14:textId="7A1A3EDB"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5BEA4B19" w14:textId="464FDB84"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00A54434" w14:textId="5F362BEC"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3C3FDCF2" w14:textId="790BF78B"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5B248236" w14:textId="22A42F0E"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0FADF2F9" w14:textId="1F4EE77E"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3113869F" w14:textId="55203DEE"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50F4A7D4" w14:textId="54D75E16"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6541454F" w14:textId="140CE74E" w:rsidR="00A41243" w:rsidRDefault="00A41243" w:rsidP="000577F3">
      <w:pPr>
        <w:pBdr>
          <w:top w:val="nil"/>
          <w:left w:val="nil"/>
          <w:bottom w:val="nil"/>
          <w:right w:val="nil"/>
          <w:between w:val="nil"/>
        </w:pBdr>
        <w:spacing w:after="0" w:line="240" w:lineRule="auto"/>
        <w:jc w:val="both"/>
        <w:rPr>
          <w:rFonts w:ascii="Arial" w:hAnsi="Arial" w:cs="Arial"/>
          <w:sz w:val="24"/>
          <w:szCs w:val="24"/>
        </w:rPr>
      </w:pPr>
    </w:p>
    <w:p w14:paraId="4E125BA0" w14:textId="6A6C329B" w:rsidR="00A41243" w:rsidRPr="000577F3" w:rsidRDefault="00A41243" w:rsidP="000577F3">
      <w:pPr>
        <w:pBdr>
          <w:top w:val="nil"/>
          <w:left w:val="nil"/>
          <w:bottom w:val="nil"/>
          <w:right w:val="nil"/>
          <w:between w:val="nil"/>
        </w:pBdr>
        <w:spacing w:after="0" w:line="240" w:lineRule="auto"/>
        <w:jc w:val="both"/>
        <w:rPr>
          <w:rFonts w:ascii="Arial" w:hAnsi="Arial" w:cs="Arial"/>
          <w:sz w:val="24"/>
          <w:szCs w:val="24"/>
        </w:rPr>
      </w:pPr>
      <w:r>
        <w:rPr>
          <w:rFonts w:ascii="Arial" w:hAnsi="Arial" w:cs="Arial"/>
          <w:noProof/>
          <w:color w:val="000000" w:themeColor="text1"/>
          <w:sz w:val="24"/>
          <w:szCs w:val="24"/>
          <w:lang w:val="es-ES"/>
        </w:rPr>
        <w:lastRenderedPageBreak/>
        <w:drawing>
          <wp:anchor distT="0" distB="0" distL="114300" distR="114300" simplePos="0" relativeHeight="251672576" behindDoc="1" locked="0" layoutInCell="1" allowOverlap="1" wp14:anchorId="53DE5C91" wp14:editId="085ADE0B">
            <wp:simplePos x="0" y="0"/>
            <wp:positionH relativeFrom="column">
              <wp:posOffset>-879894</wp:posOffset>
            </wp:positionH>
            <wp:positionV relativeFrom="paragraph">
              <wp:posOffset>-897147</wp:posOffset>
            </wp:positionV>
            <wp:extent cx="7772400" cy="10052262"/>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10052262"/>
                    </a:xfrm>
                    <a:prstGeom prst="rect">
                      <a:avLst/>
                    </a:prstGeom>
                  </pic:spPr>
                </pic:pic>
              </a:graphicData>
            </a:graphic>
            <wp14:sizeRelH relativeFrom="page">
              <wp14:pctWidth>0</wp14:pctWidth>
            </wp14:sizeRelH>
            <wp14:sizeRelV relativeFrom="page">
              <wp14:pctHeight>0</wp14:pctHeight>
            </wp14:sizeRelV>
          </wp:anchor>
        </w:drawing>
      </w:r>
    </w:p>
    <w:sectPr w:rsidR="00A41243" w:rsidRPr="000577F3" w:rsidSect="00B3472A">
      <w:headerReference w:type="default" r:id="rId22"/>
      <w:footerReference w:type="even" r:id="rId23"/>
      <w:footerReference w:type="default" r:id="rId24"/>
      <w:headerReference w:type="first" r:id="rId25"/>
      <w:footerReference w:type="first" r:id="rId26"/>
      <w:pgSz w:w="12240" w:h="15840"/>
      <w:pgMar w:top="1440" w:right="1041"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0B503" w14:textId="77777777" w:rsidR="00291600" w:rsidRDefault="00291600" w:rsidP="009114B7">
      <w:pPr>
        <w:spacing w:after="0" w:line="240" w:lineRule="auto"/>
      </w:pPr>
      <w:r>
        <w:separator/>
      </w:r>
    </w:p>
  </w:endnote>
  <w:endnote w:type="continuationSeparator" w:id="0">
    <w:p w14:paraId="33927BA8" w14:textId="77777777" w:rsidR="00291600" w:rsidRDefault="00291600"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roid Sans Fallback">
    <w:panose1 w:val="020B06040202020202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58637152"/>
      <w:docPartObj>
        <w:docPartGallery w:val="Page Numbers (Bottom of Page)"/>
        <w:docPartUnique/>
      </w:docPartObj>
    </w:sdtPr>
    <w:sdtEndPr>
      <w:rPr>
        <w:rStyle w:val="Nmerodepgina"/>
      </w:rPr>
    </w:sdtEndPr>
    <w:sdtContent>
      <w:p w14:paraId="292B0250"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047D1E" w14:textId="77777777" w:rsidR="005A3BCD" w:rsidRDefault="005A3B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8345567"/>
      <w:docPartObj>
        <w:docPartGallery w:val="Page Numbers (Bottom of Page)"/>
        <w:docPartUnique/>
      </w:docPartObj>
    </w:sdtPr>
    <w:sdtEndPr>
      <w:rPr>
        <w:rStyle w:val="Nmerodepgina"/>
      </w:rPr>
    </w:sdtEndPr>
    <w:sdtContent>
      <w:p w14:paraId="2120AA43" w14:textId="77777777" w:rsidR="005A3BCD" w:rsidRDefault="005A3BCD" w:rsidP="006B665F">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7D309252" w14:textId="77777777" w:rsidR="009114B7" w:rsidRPr="00E6762C" w:rsidRDefault="00E11044" w:rsidP="00E6762C">
    <w:pPr>
      <w:pStyle w:val="Piedepgina"/>
    </w:pPr>
    <w:r w:rsidRPr="00CC2A39">
      <w:rPr>
        <w:rFonts w:ascii="Arial" w:hAnsi="Arial" w:cs="Arial"/>
        <w:noProof/>
        <w:lang w:eastAsia="es-CO"/>
      </w:rPr>
      <w:drawing>
        <wp:anchor distT="0" distB="0" distL="114300" distR="114300" simplePos="0" relativeHeight="251661312" behindDoc="1" locked="0" layoutInCell="1" allowOverlap="1" wp14:anchorId="29D6596D" wp14:editId="1F3171A2">
          <wp:simplePos x="0" y="0"/>
          <wp:positionH relativeFrom="margin">
            <wp:align>center</wp:align>
          </wp:positionH>
          <wp:positionV relativeFrom="paragraph">
            <wp:posOffset>-635</wp:posOffset>
          </wp:positionV>
          <wp:extent cx="6876000" cy="148590"/>
          <wp:effectExtent l="0" t="0" r="0" b="3810"/>
          <wp:wrapNone/>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F55C" w14:textId="77777777" w:rsidR="00CC2A39" w:rsidRPr="00CC2A39" w:rsidRDefault="00CC2A39" w:rsidP="005A3BCD">
    <w:pPr>
      <w:pStyle w:val="Piedepgina"/>
      <w:tabs>
        <w:tab w:val="clear" w:pos="4680"/>
        <w:tab w:val="clear" w:pos="9360"/>
      </w:tabs>
      <w:jc w:val="both"/>
      <w:rPr>
        <w:rFonts w:ascii="Arial" w:hAnsi="Arial" w:cs="Arial"/>
        <w:caps/>
        <w:noProof/>
        <w:color w:val="4472C4" w:themeColor="accent1"/>
      </w:rPr>
    </w:pPr>
    <w:r w:rsidRPr="00CC2A39">
      <w:rPr>
        <w:rFonts w:ascii="Arial" w:hAnsi="Arial" w:cs="Arial"/>
        <w:noProof/>
        <w:lang w:eastAsia="es-CO"/>
      </w:rPr>
      <w:drawing>
        <wp:anchor distT="0" distB="0" distL="114300" distR="114300" simplePos="0" relativeHeight="251659264" behindDoc="1" locked="0" layoutInCell="1" allowOverlap="1" wp14:anchorId="4E19AEE5" wp14:editId="4A575484">
          <wp:simplePos x="0" y="0"/>
          <wp:positionH relativeFrom="column">
            <wp:posOffset>-468085</wp:posOffset>
          </wp:positionH>
          <wp:positionV relativeFrom="paragraph">
            <wp:posOffset>13340</wp:posOffset>
          </wp:positionV>
          <wp:extent cx="6876000" cy="148590"/>
          <wp:effectExtent l="0" t="0" r="0" b="3810"/>
          <wp:wrapNone/>
          <wp:docPr id="3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p>
  <w:p w14:paraId="3024A3AA" w14:textId="77777777" w:rsidR="00CC2A39" w:rsidRDefault="00CC2A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05EE4" w14:textId="77777777" w:rsidR="00291600" w:rsidRDefault="00291600" w:rsidP="009114B7">
      <w:pPr>
        <w:spacing w:after="0" w:line="240" w:lineRule="auto"/>
      </w:pPr>
      <w:r>
        <w:separator/>
      </w:r>
    </w:p>
  </w:footnote>
  <w:footnote w:type="continuationSeparator" w:id="0">
    <w:p w14:paraId="072FBF1F" w14:textId="77777777" w:rsidR="00291600" w:rsidRDefault="00291600" w:rsidP="0091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8698" w14:textId="77777777" w:rsidR="009114B7" w:rsidRDefault="00E6762C">
    <w:pPr>
      <w:pStyle w:val="Encabezado"/>
    </w:pPr>
    <w:r>
      <w:rPr>
        <w:noProof/>
        <w:lang w:eastAsia="es-CO"/>
      </w:rPr>
      <w:drawing>
        <wp:inline distT="0" distB="0" distL="0" distR="0" wp14:anchorId="19689E4F" wp14:editId="5D8DF3FF">
          <wp:extent cx="850900" cy="342900"/>
          <wp:effectExtent l="0" t="0" r="0" b="0"/>
          <wp:docPr id="36"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600A" w14:textId="77777777" w:rsidR="00CC2A39" w:rsidRDefault="00CC2A39">
    <w:pPr>
      <w:pStyle w:val="Encabezado"/>
    </w:pPr>
    <w:r>
      <w:rPr>
        <w:noProof/>
        <w:lang w:eastAsia="es-CO"/>
      </w:rPr>
      <w:drawing>
        <wp:inline distT="0" distB="0" distL="0" distR="0" wp14:anchorId="46E10ED2" wp14:editId="43026641">
          <wp:extent cx="850900" cy="342900"/>
          <wp:effectExtent l="0" t="0" r="0" b="0"/>
          <wp:docPr id="38"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688F"/>
    <w:multiLevelType w:val="multilevel"/>
    <w:tmpl w:val="00A065F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B714DB"/>
    <w:multiLevelType w:val="hybridMultilevel"/>
    <w:tmpl w:val="09ECFCF8"/>
    <w:lvl w:ilvl="0" w:tplc="511271A8">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C17617"/>
    <w:multiLevelType w:val="hybridMultilevel"/>
    <w:tmpl w:val="69984CC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1A155D7D"/>
    <w:multiLevelType w:val="hybridMultilevel"/>
    <w:tmpl w:val="878CA9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B27698F"/>
    <w:multiLevelType w:val="hybridMultilevel"/>
    <w:tmpl w:val="A3D24528"/>
    <w:lvl w:ilvl="0" w:tplc="240A0001">
      <w:start w:val="1"/>
      <w:numFmt w:val="bullet"/>
      <w:lvlText w:val=""/>
      <w:lvlJc w:val="left"/>
      <w:pPr>
        <w:ind w:left="1434" w:hanging="360"/>
      </w:pPr>
      <w:rPr>
        <w:rFonts w:ascii="Symbol" w:hAnsi="Symbol" w:hint="default"/>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5" w15:restartNumberingAfterBreak="0">
    <w:nsid w:val="334A6B9A"/>
    <w:multiLevelType w:val="multilevel"/>
    <w:tmpl w:val="02249C84"/>
    <w:lvl w:ilvl="0">
      <w:start w:val="1"/>
      <w:numFmt w:val="decimal"/>
      <w:lvlText w:val="%1."/>
      <w:lvlJc w:val="left"/>
      <w:pPr>
        <w:ind w:left="720" w:hanging="360"/>
      </w:pPr>
    </w:lvl>
    <w:lvl w:ilvl="1">
      <w:start w:val="1"/>
      <w:numFmt w:val="decimal"/>
      <w:lvlText w:val="%2."/>
      <w:lvlJc w:val="left"/>
      <w:pPr>
        <w:ind w:left="1080" w:hanging="360"/>
      </w:pPr>
      <w:rPr>
        <w:rFonts w:ascii="Arial" w:eastAsia="Calibri" w:hAnsi="Arial" w:cs="Arial" w:hint="default"/>
        <w:b/>
        <w:bCs w:val="0"/>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 w15:restartNumberingAfterBreak="0">
    <w:nsid w:val="3C147919"/>
    <w:multiLevelType w:val="multilevel"/>
    <w:tmpl w:val="12582CC2"/>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44511A1F"/>
    <w:multiLevelType w:val="hybridMultilevel"/>
    <w:tmpl w:val="BFE08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4CB744D"/>
    <w:multiLevelType w:val="hybridMultilevel"/>
    <w:tmpl w:val="3A32F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2C7E05"/>
    <w:multiLevelType w:val="multilevel"/>
    <w:tmpl w:val="B41A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F35BB8"/>
    <w:multiLevelType w:val="hybridMultilevel"/>
    <w:tmpl w:val="DFD0C86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5B563973"/>
    <w:multiLevelType w:val="hybridMultilevel"/>
    <w:tmpl w:val="628E3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15C6047"/>
    <w:multiLevelType w:val="hybridMultilevel"/>
    <w:tmpl w:val="7D687D82"/>
    <w:lvl w:ilvl="0" w:tplc="496E932E">
      <w:start w:val="1"/>
      <w:numFmt w:val="decimal"/>
      <w:lvlText w:val="%1."/>
      <w:lvlJc w:val="left"/>
      <w:pPr>
        <w:ind w:left="720" w:hanging="360"/>
      </w:pPr>
      <w:rPr>
        <w:rFonts w:ascii="Arial" w:eastAsia="Calibr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B294700"/>
    <w:multiLevelType w:val="hybridMultilevel"/>
    <w:tmpl w:val="276CC64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4" w15:restartNumberingAfterBreak="0">
    <w:nsid w:val="6CB355E0"/>
    <w:multiLevelType w:val="multilevel"/>
    <w:tmpl w:val="71846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B319FA"/>
    <w:multiLevelType w:val="multilevel"/>
    <w:tmpl w:val="6AEA1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15"/>
  </w:num>
  <w:num w:numId="4">
    <w:abstractNumId w:val="14"/>
  </w:num>
  <w:num w:numId="5">
    <w:abstractNumId w:val="5"/>
  </w:num>
  <w:num w:numId="6">
    <w:abstractNumId w:val="0"/>
  </w:num>
  <w:num w:numId="7">
    <w:abstractNumId w:val="8"/>
  </w:num>
  <w:num w:numId="8">
    <w:abstractNumId w:val="2"/>
  </w:num>
  <w:num w:numId="9">
    <w:abstractNumId w:val="4"/>
  </w:num>
  <w:num w:numId="10">
    <w:abstractNumId w:val="11"/>
  </w:num>
  <w:num w:numId="11">
    <w:abstractNumId w:val="1"/>
  </w:num>
  <w:num w:numId="12">
    <w:abstractNumId w:val="13"/>
  </w:num>
  <w:num w:numId="13">
    <w:abstractNumId w:val="10"/>
  </w:num>
  <w:num w:numId="14">
    <w:abstractNumId w:val="3"/>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31"/>
    <w:rsid w:val="0003390D"/>
    <w:rsid w:val="000577F3"/>
    <w:rsid w:val="00065BFB"/>
    <w:rsid w:val="00073A81"/>
    <w:rsid w:val="000874B2"/>
    <w:rsid w:val="000A2FE8"/>
    <w:rsid w:val="000E4E94"/>
    <w:rsid w:val="00197D78"/>
    <w:rsid w:val="001B0AD3"/>
    <w:rsid w:val="001C5CDF"/>
    <w:rsid w:val="001E43E7"/>
    <w:rsid w:val="002066CA"/>
    <w:rsid w:val="002219C1"/>
    <w:rsid w:val="00225B71"/>
    <w:rsid w:val="00226DA8"/>
    <w:rsid w:val="002425A3"/>
    <w:rsid w:val="00250410"/>
    <w:rsid w:val="00291600"/>
    <w:rsid w:val="002B77A8"/>
    <w:rsid w:val="00300AD7"/>
    <w:rsid w:val="00303356"/>
    <w:rsid w:val="0030408E"/>
    <w:rsid w:val="003406A2"/>
    <w:rsid w:val="00392FFF"/>
    <w:rsid w:val="003A4633"/>
    <w:rsid w:val="003D1F82"/>
    <w:rsid w:val="003E709C"/>
    <w:rsid w:val="00431A3B"/>
    <w:rsid w:val="00475C2C"/>
    <w:rsid w:val="004A4F9C"/>
    <w:rsid w:val="004D3E02"/>
    <w:rsid w:val="004E79EA"/>
    <w:rsid w:val="0050727F"/>
    <w:rsid w:val="00517F91"/>
    <w:rsid w:val="0058326B"/>
    <w:rsid w:val="00590FCA"/>
    <w:rsid w:val="005A3BCD"/>
    <w:rsid w:val="005E354F"/>
    <w:rsid w:val="00611C98"/>
    <w:rsid w:val="00645493"/>
    <w:rsid w:val="0065123A"/>
    <w:rsid w:val="006516B1"/>
    <w:rsid w:val="006A6751"/>
    <w:rsid w:val="006B7B10"/>
    <w:rsid w:val="006D6C31"/>
    <w:rsid w:val="006D7290"/>
    <w:rsid w:val="006E3239"/>
    <w:rsid w:val="007055A3"/>
    <w:rsid w:val="00714D21"/>
    <w:rsid w:val="007358A0"/>
    <w:rsid w:val="00786190"/>
    <w:rsid w:val="007A0E1E"/>
    <w:rsid w:val="007B31C9"/>
    <w:rsid w:val="007D1BD5"/>
    <w:rsid w:val="007F08C0"/>
    <w:rsid w:val="00852F21"/>
    <w:rsid w:val="008B0104"/>
    <w:rsid w:val="008D12F4"/>
    <w:rsid w:val="008E59A2"/>
    <w:rsid w:val="00902CF7"/>
    <w:rsid w:val="009114B7"/>
    <w:rsid w:val="009650CB"/>
    <w:rsid w:val="00987479"/>
    <w:rsid w:val="009B2255"/>
    <w:rsid w:val="009F4665"/>
    <w:rsid w:val="00A41243"/>
    <w:rsid w:val="00A919E5"/>
    <w:rsid w:val="00AD4731"/>
    <w:rsid w:val="00B17710"/>
    <w:rsid w:val="00B3472A"/>
    <w:rsid w:val="00B37173"/>
    <w:rsid w:val="00B57E80"/>
    <w:rsid w:val="00B86399"/>
    <w:rsid w:val="00B926DA"/>
    <w:rsid w:val="00B9499A"/>
    <w:rsid w:val="00BC57C3"/>
    <w:rsid w:val="00BF0AA6"/>
    <w:rsid w:val="00C1208F"/>
    <w:rsid w:val="00C5423D"/>
    <w:rsid w:val="00C771E2"/>
    <w:rsid w:val="00CC2A39"/>
    <w:rsid w:val="00D103C6"/>
    <w:rsid w:val="00D15F60"/>
    <w:rsid w:val="00D92CE7"/>
    <w:rsid w:val="00DA1453"/>
    <w:rsid w:val="00E11044"/>
    <w:rsid w:val="00E6762C"/>
    <w:rsid w:val="00E7243E"/>
    <w:rsid w:val="00E7481C"/>
    <w:rsid w:val="00E8215A"/>
    <w:rsid w:val="00E90A85"/>
    <w:rsid w:val="00ED2DC2"/>
    <w:rsid w:val="00F87F59"/>
    <w:rsid w:val="00F90E7B"/>
    <w:rsid w:val="00FE1D16"/>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2372E"/>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autoRedefine/>
    <w:uiPriority w:val="9"/>
    <w:qFormat/>
    <w:rsid w:val="00645493"/>
    <w:pPr>
      <w:keepNext/>
      <w:keepLines/>
      <w:spacing w:before="360" w:after="0" w:line="240" w:lineRule="auto"/>
      <w:outlineLvl w:val="0"/>
    </w:pPr>
    <w:rPr>
      <w:rFonts w:ascii="Arial" w:eastAsiaTheme="majorEastAsia" w:hAnsi="Arial" w:cstheme="majorBidi"/>
      <w:b/>
      <w:bCs/>
      <w:sz w:val="24"/>
      <w:szCs w:val="28"/>
    </w:rPr>
  </w:style>
  <w:style w:type="paragraph" w:styleId="Ttulo2">
    <w:name w:val="heading 2"/>
    <w:basedOn w:val="Normal"/>
    <w:next w:val="Normal"/>
    <w:link w:val="Ttulo2Car"/>
    <w:autoRedefine/>
    <w:uiPriority w:val="9"/>
    <w:unhideWhenUsed/>
    <w:qFormat/>
    <w:rsid w:val="003E709C"/>
    <w:pPr>
      <w:keepNext/>
      <w:keepLines/>
      <w:spacing w:before="120" w:after="0" w:line="240" w:lineRule="auto"/>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243E"/>
    <w:rPr>
      <w:rFonts w:ascii="Arial" w:eastAsiaTheme="majorEastAsia" w:hAnsi="Arial" w:cstheme="majorBidi"/>
      <w:b/>
      <w:bCs/>
      <w:sz w:val="26"/>
      <w:szCs w:val="28"/>
    </w:rPr>
  </w:style>
  <w:style w:type="character" w:customStyle="1" w:styleId="Ttulo2Car">
    <w:name w:val="Título 2 Car"/>
    <w:basedOn w:val="Fuentedeprrafopredeter"/>
    <w:link w:val="Ttulo2"/>
    <w:uiPriority w:val="9"/>
    <w:rsid w:val="003E709C"/>
    <w:rPr>
      <w:rFonts w:ascii="Arial" w:eastAsiaTheme="majorEastAsia" w:hAnsi="Arial" w:cstheme="majorBidi"/>
      <w:b/>
      <w:bCs/>
      <w:sz w:val="24"/>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Ttulo">
    <w:name w:val="Title"/>
    <w:basedOn w:val="Normal"/>
    <w:next w:val="Normal"/>
    <w:link w:val="Ttul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TDC">
    <w:name w:val="TOC Heading"/>
    <w:basedOn w:val="Ttulo1"/>
    <w:next w:val="Normal"/>
    <w:uiPriority w:val="39"/>
    <w:semiHidden/>
    <w:unhideWhenUsed/>
    <w:qFormat/>
    <w:rsid w:val="006E3239"/>
    <w:pPr>
      <w:spacing w:before="480" w:line="264" w:lineRule="auto"/>
      <w:outlineLvl w:val="9"/>
    </w:pPr>
    <w:rPr>
      <w:b w:val="0"/>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Ttulo"/>
    <w:qFormat/>
    <w:rsid w:val="006E3239"/>
    <w:rPr>
      <w:b/>
      <w:caps/>
      <w:color w:val="000000"/>
      <w:sz w:val="28"/>
      <w:szCs w:val="28"/>
    </w:rPr>
  </w:style>
  <w:style w:type="table" w:customStyle="1" w:styleId="TableNormal">
    <w:name w:val="Table Normal"/>
    <w:rsid w:val="000577F3"/>
    <w:pPr>
      <w:spacing w:after="180" w:line="274" w:lineRule="auto"/>
    </w:pPr>
    <w:rPr>
      <w:rFonts w:ascii="Calibri" w:eastAsia="Calibri" w:hAnsi="Calibri" w:cs="Calibri"/>
      <w:lang w:eastAsia="es-CO"/>
    </w:rPr>
    <w:tblPr>
      <w:tblCellMar>
        <w:top w:w="0" w:type="dxa"/>
        <w:left w:w="0" w:type="dxa"/>
        <w:bottom w:w="0" w:type="dxa"/>
        <w:right w:w="0" w:type="dxa"/>
      </w:tblCellMar>
    </w:tblPr>
  </w:style>
  <w:style w:type="character" w:styleId="Hipervnculo">
    <w:name w:val="Hyperlink"/>
    <w:basedOn w:val="Fuentedeprrafopredeter"/>
    <w:uiPriority w:val="99"/>
    <w:unhideWhenUsed/>
    <w:rsid w:val="000577F3"/>
    <w:rPr>
      <w:color w:val="0563C1" w:themeColor="hyperlink"/>
      <w:u w:val="single"/>
    </w:rPr>
  </w:style>
  <w:style w:type="paragraph" w:styleId="TDC1">
    <w:name w:val="toc 1"/>
    <w:basedOn w:val="Normal"/>
    <w:next w:val="Normal"/>
    <w:autoRedefine/>
    <w:uiPriority w:val="39"/>
    <w:unhideWhenUsed/>
    <w:rsid w:val="001B0AD3"/>
    <w:pPr>
      <w:spacing w:after="100"/>
    </w:pPr>
  </w:style>
  <w:style w:type="paragraph" w:styleId="TDC2">
    <w:name w:val="toc 2"/>
    <w:basedOn w:val="Normal"/>
    <w:next w:val="Normal"/>
    <w:autoRedefine/>
    <w:uiPriority w:val="39"/>
    <w:unhideWhenUsed/>
    <w:rsid w:val="001B0AD3"/>
    <w:pPr>
      <w:spacing w:after="100"/>
      <w:ind w:left="220"/>
    </w:pPr>
  </w:style>
  <w:style w:type="paragraph" w:styleId="NormalWeb">
    <w:name w:val="Normal (Web)"/>
    <w:basedOn w:val="Normal"/>
    <w:uiPriority w:val="99"/>
    <w:rsid w:val="000E4E9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11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alcaldiabogota.gov.co/sisjur/normas/Norma1.jsp?i=47141"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antioquia.gov.co/index.php/component/k2/item/2275-detectan-mercurio-en-mujeres-lactantes-de-zonas-mineras-antioque%C3%B1a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187.191.75.115/gobmx/salud/documentos/manuales/01_Lineamientos_Alerta_Epidemiologi%20ca.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Versión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 xsi:nil="true"/>
    <LikesCount xmlns="http://schemas.microsoft.com/sharepoint/v3" xsi:nil="true"/>
    <C_x00f3_digo xmlns="c55f4233-694a-42b1-bd72-cc55cefea4b3" xsi:nil="true"/>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Estratégicos</Nivel_x0020_de_x0020_Proceso>
    <Tipo_x0020_de_x0020_Documento xmlns="c55f4233-694a-42b1-bd72-cc55cefea4b3">Plantilla</Tipo_x0020_de_x0020_Documento>
    <Proceso xmlns="c55f4233-694a-42b1-bd72-cc55cefea4b3">D03 – Comunicación Institucional</Proceso>
    <RatedBy xmlns="http://schemas.microsoft.com/sharepoint/v3">
      <UserInfo>
        <DisplayName/>
        <AccountId xsi:nil="true"/>
        <AccountType/>
      </UserInfo>
    </RatedBy>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923A99-01AF-4713-9B1C-AA82AFA77C01}">
  <ds:schemaRefs>
    <ds:schemaRef ds:uri="http://schemas.openxmlformats.org/officeDocument/2006/bibliography"/>
  </ds:schemaRefs>
</ds:datastoreItem>
</file>

<file path=customXml/itemProps3.xml><?xml version="1.0" encoding="utf-8"?>
<ds:datastoreItem xmlns:ds="http://schemas.openxmlformats.org/officeDocument/2006/customXml" ds:itemID="{ECA75A23-D4CF-43D9-91E2-1F5C4C4E3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5.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6.xml><?xml version="1.0" encoding="utf-8"?>
<ds:datastoreItem xmlns:ds="http://schemas.openxmlformats.org/officeDocument/2006/customXml" ds:itemID="{058DDE7C-4965-44E2-B397-D7AD973BC2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C:\Users\Carolina\Downloads\Membrete INS (1).dotx</Template>
  <TotalTime>230</TotalTime>
  <Pages>12</Pages>
  <Words>3718</Words>
  <Characters>20451</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 2021</dc:creator>
  <cp:keywords/>
  <dc:description/>
  <cp:lastModifiedBy>Karen Viviana Zabaleta Rodríguez</cp:lastModifiedBy>
  <cp:revision>59</cp:revision>
  <cp:lastPrinted>2021-06-29T23:22:00Z</cp:lastPrinted>
  <dcterms:created xsi:type="dcterms:W3CDTF">2021-06-19T21:56:00Z</dcterms:created>
  <dcterms:modified xsi:type="dcterms:W3CDTF">2021-08-02T20:43:00Z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